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A1A2E"/>
          <w:sz w:val="44"/>
        </w:rPr>
        <w:t>INVETTE — PODSUMOWANIE AUDYTU GOOGLE ADS</w:t>
      </w:r>
    </w:p>
    <w:p>
      <w:pPr>
        <w:spacing w:after="80"/>
        <w:jc w:val="center"/>
      </w:pPr>
      <w:r>
        <w:rPr>
          <w:color w:val="555555"/>
          <w:sz w:val="24"/>
        </w:rPr>
        <w:t>Executive Summary | MCC 934-203-1404</w:t>
      </w:r>
    </w:p>
    <w:p>
      <w:pPr>
        <w:spacing w:after="400"/>
        <w:jc w:val="center"/>
      </w:pPr>
      <w:r>
        <w:rPr>
          <w:color w:val="888888"/>
          <w:sz w:val="20"/>
        </w:rPr>
        <w:t>Marzec–Kwiecień 2026 | MCC 934-203-1404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MCC 934-203-1404 | Marzec–Kwiecień 2026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KLUCZOWE LICZBY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Metryka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Wartość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zarządzanych łącznie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150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aktywnych z wydatkami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90–94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 (konta produktowe)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5.7x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Wydatki portfela (marzec)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~450 000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Wart. konwersji (portfel produktowy, marzec)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1 618 388 PLN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ROAS &lt;2x (e-commerce)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22 konta / ~107 000 PLN/msc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Kont z 0 konwersjami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10 kont / ~12 700 PLN/msc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Produktów w bazie BCG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57 222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SEGMENTACJA PORTFELA</w:t>
      </w:r>
    </w:p>
    <w:p/>
    <w:p>
      <w:pPr>
        <w:ind w:left="567"/>
      </w:pPr>
      <w:r>
        <w:rPr>
          <w:rFonts w:ascii="Courier New" w:hAnsi="Courier New"/>
          <w:color w:val="206020"/>
          <w:sz w:val="16"/>
        </w:rPr>
        <w:t>✅ OK         (~22 konta)  Brak krytycznych problemów, ROAS akceptowalny</w:t>
        <w:br/>
        <w:t>⚠️ Uwaga      (~16 kont)   Kampanie bez konwersji lub ROAS do poprawy</w:t>
        <w:br/>
        <w:t>🔴 Problem    (~22 konta)  Aktywne straty lub brak efektów — pilna interwencja</w:t>
        <w:br/>
        <w:t>ℹ️ Lead gen   (~20 kont)   Brak wartości konwersji — wymaga konfiguracji</w:t>
        <w:br/>
        <w:t>💤 Nieaktywne (60 kont)    Zero wydatków — weryfikacja kontraktów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TOP 5 PROBLEMÓW SYSTEMOWYCH</w:t>
      </w:r>
    </w:p>
    <w:p/>
    <w:p>
      <w:pPr>
        <w:spacing w:before="120" w:after="80"/>
      </w:pPr>
      <w:r>
        <w:rPr>
          <w:b/>
          <w:color w:val="0F3D66"/>
          <w:sz w:val="22"/>
        </w:rPr>
        <w:t>1. 🔴 22 konta e-commerce generują straty (~107 000 PLN/msc)</w:t>
      </w:r>
    </w:p>
    <w:p>
      <w:pPr>
        <w:spacing w:before="20" w:after="20"/>
      </w:pPr>
      <w:r>
        <w:rPr>
          <w:sz w:val="20"/>
        </w:rPr>
        <w:t>Konta sprzedażowe z ROAS &lt;2x. Najgorzej: TOMA (ROAS 0.1x, 8 268 PLN), Maxdent (ROAS 0.1x, 4 113 PLN), forcopy (ROAS 0.7x, 12 747 PLN). Łączne straty licząc minimalną marżę 30%: szacunkowo -30 000 PLN/msc dla klientów.</w:t>
      </w:r>
    </w:p>
    <w:p/>
    <w:p>
      <w:pPr>
        <w:spacing w:before="120" w:after="80"/>
      </w:pPr>
      <w:r>
        <w:rPr>
          <w:b/>
          <w:color w:val="0F3D66"/>
          <w:sz w:val="22"/>
        </w:rPr>
        <w:t>2. 🐕 48.6% budżetu produktowego trafia w "Psy" BCG (ROAS 0.8x)</w:t>
      </w:r>
    </w:p>
    <w:p>
      <w:pPr>
        <w:spacing w:before="20" w:after="20"/>
      </w:pPr>
      <w:r>
        <w:rPr>
          <w:sz w:val="20"/>
        </w:rPr>
        <w:t>Z 282 382 PLN wydatków na kontach e-commerce, 137 195 PLN trafia na produkty bez konwersji. Gwiazdy (16.4% produktów) generują 55.2% przychodu przy 21.5% wydatków — algorytm jest niedożywiony sygnałami. Znaki Zapytania mają ROAS 21.3x ale pochłaniają tylko 1.9% budżetu — kluczowy quick win.</w:t>
      </w:r>
    </w:p>
    <w:p/>
    <w:p>
      <w:pPr>
        <w:spacing w:before="120" w:after="80"/>
      </w:pPr>
      <w:r>
        <w:rPr>
          <w:b/>
          <w:color w:val="0F3D66"/>
          <w:sz w:val="22"/>
        </w:rPr>
        <w:t>3. 🔴 10 kont z zerowymi konwersjami (12 700 PLN/msc bez efektu)</w:t>
      </w:r>
    </w:p>
    <w:p>
      <w:pPr>
        <w:spacing w:before="20" w:after="20"/>
      </w:pPr>
      <w:r>
        <w:rPr>
          <w:sz w:val="20"/>
        </w:rPr>
        <w:t>Konta aktywne z wydatkami ale zero konwersji: Fizjoterapia Mazur, Omega Kserokopiarki, PenPol, CRMC, NOWE medihurt, INVETTE własne, Zakatek Fantastyki, Sklep UQUINA, Polskie Meble REVES, Pet Vital. Wymaga natychmiastowej diagnostyki śledzenia lub wstrzymania kampanii.</w:t>
      </w:r>
    </w:p>
    <w:p/>
    <w:p>
      <w:pPr>
        <w:spacing w:before="120" w:after="80"/>
      </w:pPr>
      <w:r>
        <w:rPr>
          <w:b/>
          <w:color w:val="0F3D66"/>
          <w:sz w:val="22"/>
        </w:rPr>
        <w:t>4. ⚠️ Quality Score krytycznie niski na dużych kontach</w:t>
      </w:r>
    </w:p>
    <w:p>
      <w:pPr>
        <w:spacing w:before="20" w:after="20"/>
      </w:pPr>
      <w:r>
        <w:rPr>
          <w:sz w:val="20"/>
        </w:rPr>
        <w:t>Janda (QS 2.8, 14 160 PLN), TABLE4U (QS 3.3, 66 998 PLN), PaDrew (QS 3.4, 19 598 PLN). Niski QS = wyższy CPC, gorsze pozycje, zmarnowany budżet. Przy TABLE4U (66K PLN/msc) nawet +1 punkt QS może obniżyć CPC o 10–15%.</w:t>
      </w:r>
    </w:p>
    <w:p/>
    <w:p>
      <w:pPr>
        <w:spacing w:before="120" w:after="80"/>
      </w:pPr>
      <w:r>
        <w:rPr>
          <w:b/>
          <w:color w:val="0F3D66"/>
          <w:sz w:val="22"/>
        </w:rPr>
        <w:t>5. 📊 Liderzy portfela są niedoinwestowani</w:t>
      </w:r>
    </w:p>
    <w:p>
      <w:pPr>
        <w:spacing w:before="20" w:after="20"/>
      </w:pPr>
      <w:r>
        <w:rPr>
          <w:sz w:val="20"/>
        </w:rPr>
        <w:t>IN-SKYCAMP (ROAS 101.7x, budżet tylko 6 521 PLN/msc), ASKO (ROAS 58.2x, 7 721 PLN/msc), Expertia Naturals (ROAS 17.0x, 15 179 PLN/msc). Przy takim ROAS każda złotówka dodanego budżetu generuje natychmiastowy zwrot. Brak proaktywnej rekomendacji skalowania to koszt utraconych przychodów dla klientów.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ANALIZA BCG — WNIOSKI PORTFELOWE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Kwadrant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Produkty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Udział w wydatkach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ROAS</w:t>
            </w:r>
          </w:p>
        </w:tc>
        <w:tc>
          <w:tcPr>
            <w:tcW w:type="dxa" w:w="188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⭐ Gwiazdy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632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21.5%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14.7x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Skaluj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🐄 Dojne Krowy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354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28.0%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6.2x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Utrzymaj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❓ Znaki Zapytania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416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1.9%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21.3x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Niedoinwestowane — priorytet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🐕 Psy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14 527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48.6%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0.8x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17"/>
              </w:rPr>
              <w:t>Ogranicz lub zoptymalizuj feed</w:t>
            </w:r>
          </w:p>
        </w:tc>
      </w:tr>
    </w:tbl>
    <w:p/>
    <w:p>
      <w:pPr>
        <w:spacing w:before="20" w:after="20"/>
      </w:pPr>
      <w:r>
        <w:rPr>
          <w:sz w:val="20"/>
        </w:rPr>
        <w:t>Kluczowy wniosek: Realokacja choćby 10% budżetu z Psów (–13 700 PLN) na Znaki Zapytania (+13 700 PLN) przy zachowaniu proporcji ROAS 21.3x oznacza potencjalnie +291 000 PLN dodatkowych przychodów miesięcznie.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ACTION PLAN — PRIORYTETY</w:t>
      </w:r>
    </w:p>
    <w:p/>
    <w:p>
      <w:pPr>
        <w:spacing w:before="120" w:after="80"/>
      </w:pPr>
      <w:r>
        <w:rPr>
          <w:b/>
          <w:color w:val="0F3D66"/>
          <w:sz w:val="22"/>
        </w:rPr>
        <w:t>Tydzień 1 — Zatamowanie strat</w:t>
      </w:r>
    </w:p>
    <w:p>
      <w:pPr>
        <w:pStyle w:val="ListBullet"/>
        <w:spacing w:before="20" w:after="20"/>
      </w:pPr>
      <w:r>
        <w:rPr>
          <w:sz w:val="19"/>
        </w:rPr>
        <w:t>[ ] Wstrzymaj kampanie z &gt;300 PLN / 0 konwersji: ASKO (4), stercontrol (3), TOMA (wszystko)</w:t>
      </w:r>
    </w:p>
    <w:p>
      <w:pPr>
        <w:pStyle w:val="ListBullet"/>
        <w:spacing w:before="20" w:after="20"/>
      </w:pPr>
      <w:r>
        <w:rPr>
          <w:sz w:val="19"/>
        </w:rPr>
        <w:t>[ ] Zdiagnozuj śledzenie konwersji: forcopy, Maxdent, GT-serwiskawowy, Smart Clinic</w:t>
      </w:r>
    </w:p>
    <w:p>
      <w:pPr>
        <w:pStyle w:val="ListBullet"/>
        <w:spacing w:before="20" w:after="20"/>
      </w:pPr>
      <w:r>
        <w:rPr>
          <w:sz w:val="19"/>
        </w:rPr>
        <w:t>[ ] Zweryfikuj konta 0 konwersji: PenPol, Fizjoterapia Mazur, CRMC</w:t>
      </w:r>
    </w:p>
    <w:p/>
    <w:p>
      <w:pPr>
        <w:spacing w:before="120" w:after="80"/>
      </w:pPr>
      <w:r>
        <w:rPr>
          <w:b/>
          <w:color w:val="0F3D66"/>
          <w:sz w:val="22"/>
        </w:rPr>
        <w:t>Miesiąc 1 — Optymalizacja</w:t>
      </w:r>
    </w:p>
    <w:p>
      <w:pPr>
        <w:pStyle w:val="ListBullet"/>
        <w:spacing w:before="20" w:after="20"/>
      </w:pPr>
      <w:r>
        <w:rPr>
          <w:sz w:val="19"/>
        </w:rPr>
        <w:t>[ ] Poprawa QS: Janda (2.8), TABLE4U (3.3), PaDrew (3.4) — cross-check słów kluczowych/LP</w:t>
      </w:r>
    </w:p>
    <w:p>
      <w:pPr>
        <w:pStyle w:val="ListBullet"/>
        <w:spacing w:before="20" w:after="20"/>
      </w:pPr>
      <w:r>
        <w:rPr>
          <w:sz w:val="19"/>
        </w:rPr>
        <w:t>[ ] Feed audit BCG: TABLE4U (195 Psów), IdeaShirt (93%), Optimum BHP (96%)</w:t>
      </w:r>
    </w:p>
    <w:p>
      <w:pPr>
        <w:pStyle w:val="ListBullet"/>
        <w:spacing w:before="20" w:after="20"/>
      </w:pPr>
      <w:r>
        <w:rPr>
          <w:sz w:val="19"/>
        </w:rPr>
        <w:t>[ ] Wydziel Znaki Zapytania do osobnych kampanii: IdeaShirt (66 ZQ), Optimum BHP (29 ZQ)</w:t>
      </w:r>
    </w:p>
    <w:p/>
    <w:p>
      <w:pPr>
        <w:spacing w:before="120" w:after="80"/>
      </w:pPr>
      <w:r>
        <w:rPr>
          <w:b/>
          <w:color w:val="0F3D66"/>
          <w:sz w:val="22"/>
        </w:rPr>
        <w:t>Miesiąc 2–3 — Skalowanie i konfiguracja</w:t>
      </w:r>
    </w:p>
    <w:p>
      <w:pPr>
        <w:pStyle w:val="ListBullet"/>
        <w:spacing w:before="20" w:after="20"/>
      </w:pPr>
      <w:r>
        <w:rPr>
          <w:sz w:val="19"/>
        </w:rPr>
        <w:t>[ ] Skaluj liderów: IN-SKYCAMP (3–5x budżet), ASKO (2–3x), Expertia (2x)</w:t>
      </w:r>
    </w:p>
    <w:p>
      <w:pPr>
        <w:pStyle w:val="ListBullet"/>
        <w:spacing w:before="20" w:after="20"/>
      </w:pPr>
      <w:r>
        <w:rPr>
          <w:sz w:val="19"/>
        </w:rPr>
        <w:t>[ ] Enhanced Conversions: wszystkie konta e-commerce</w:t>
      </w:r>
    </w:p>
    <w:p>
      <w:pPr>
        <w:pStyle w:val="ListBullet"/>
        <w:spacing w:before="20" w:after="20"/>
      </w:pPr>
      <w:r>
        <w:rPr>
          <w:sz w:val="19"/>
        </w:rPr>
        <w:t>[ ] Customer Match: TABLE4U, PaDrew, Pastform, Janda</w:t>
      </w:r>
    </w:p>
    <w:p>
      <w:pPr>
        <w:pStyle w:val="ListBullet"/>
        <w:spacing w:before="20" w:after="20"/>
      </w:pPr>
      <w:r>
        <w:rPr>
          <w:sz w:val="19"/>
        </w:rPr>
        <w:t>[ ] GA4 autoryzacja: bdos auth --add analytics → pełny cross-platform audit</w:t>
      </w:r>
    </w:p>
    <w:p>
      <w:pPr>
        <w:pStyle w:val="ListBullet"/>
        <w:spacing w:before="20" w:after="20"/>
      </w:pPr>
      <w:r>
        <w:rPr>
          <w:sz w:val="19"/>
        </w:rPr>
        <w:t>[ ] Wartości konwersji dla lead gen: ustalenie z klientami i konfiguracja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0" w:after="80"/>
      </w:pPr>
      <w:r>
        <w:rPr>
          <w:b/>
          <w:color w:val="16213E"/>
          <w:sz w:val="26"/>
        </w:rPr>
        <w:t>OCENA AGENCJI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ROAS portfela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⚠️ Dobry (5.7x) ale nierówny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Reagowanie na problemy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🔴 Reaktywne (nie proaktywne)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Konfiguracja śledzenia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🔴 Liczne błędy i luki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Feed management (BCG)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🔴 48.6% budżetu na Psach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Quality Score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⚠️ 25% kont QS&lt;5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Skalowanie liderów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7"/>
              </w:rPr>
              <w:t>🔴 Niedoinwestowani</w:t>
            </w:r>
          </w:p>
        </w:tc>
      </w:tr>
    </w:tbl>
    <w:p/>
    <w:p>
      <w:r>
        <w:rPr>
          <w:b/>
          <w:sz w:val="20"/>
        </w:rPr>
        <w:t>Ocena ogólna: ⭐⭐ / 5</w:t>
      </w:r>
    </w:p>
    <w:p/>
    <w:p>
      <w:pPr>
        <w:spacing w:before="20" w:after="20"/>
      </w:pPr>
      <w:r>
        <w:rPr>
          <w:sz w:val="20"/>
        </w:rPr>
        <w:t>Portfel Invette ma silnych liderów, ale dolna ćwiartka kont generuje straty bez interwencji. Główne problemy: brak proaktywnego monitoringu, błędne konfiguracje konwersji i brak BCG-driven zarządzania feedem. Potencjał wzrostu przychodów portfela o 20–35% bez zwiększania łącznego budżetu — przez realokację z Psów na Znaki Zapytania i skalowanie liderów.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0" w:after="20"/>
      </w:pPr>
      <w:r>
        <w:rPr>
          <w:sz w:val="20"/>
        </w:rPr>
        <w:t>Dane: BDOS AI v1.0.9 | MCC 934-203-1404 | Invette.pl | Marzec–Kwiecień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