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F22" w:rsidRPr="00CC5F22" w:rsidRDefault="00CC5F22" w:rsidP="00CC5F22">
      <w:pPr>
        <w:jc w:val="center"/>
        <w:rPr>
          <w:b/>
          <w:lang w:val="en-US"/>
        </w:rPr>
      </w:pPr>
      <w:r w:rsidRPr="00CC5F22">
        <w:rPr>
          <w:b/>
          <w:lang w:val="en-US"/>
        </w:rPr>
        <w:t>Executive Summary</w:t>
      </w:r>
    </w:p>
    <w:p w:rsidR="00CC5F22" w:rsidRPr="00CC5F22" w:rsidRDefault="00CC5F22" w:rsidP="00CC5F22">
      <w:pPr>
        <w:jc w:val="both"/>
        <w:rPr>
          <w:lang w:val="en-US"/>
        </w:rPr>
      </w:pPr>
      <w:r>
        <w:rPr>
          <w:lang w:val="en-US"/>
        </w:rPr>
        <w:t xml:space="preserve">This </w:t>
      </w:r>
      <w:r w:rsidRPr="00CC5F22">
        <w:rPr>
          <w:lang w:val="en-US"/>
        </w:rPr>
        <w:t>is the complete, professional Executive Summary Document.</w:t>
      </w:r>
      <w:r w:rsidR="00684A70">
        <w:rPr>
          <w:lang w:val="en-US"/>
        </w:rPr>
        <w:t xml:space="preserve"> </w:t>
      </w:r>
      <w:r w:rsidRPr="00CC5F22">
        <w:rPr>
          <w:lang w:val="en-US"/>
        </w:rPr>
        <w:t>While the technical whitepaper is designed for engineers and the presentation is for live delivery, this document is designed to be read by the C-Suite, Board of Directors, and VP-level stakeholders. It strips away the deep technical jargon and focuses entirely on business value, risk mitigation, ROI, and strategic advantage.</w:t>
      </w:r>
    </w:p>
    <w:p w:rsidR="00CC5F22" w:rsidRPr="00CC5F22" w:rsidRDefault="00CC5F22" w:rsidP="00CC5F22">
      <w:pPr>
        <w:jc w:val="both"/>
        <w:rPr>
          <w:lang w:val="en-US"/>
        </w:rPr>
      </w:pPr>
      <w:r w:rsidRPr="00CC5F22">
        <w:rPr>
          <w:lang w:val="en-US"/>
        </w:rPr>
        <w:t>Executive Summary</w:t>
      </w:r>
    </w:p>
    <w:p w:rsidR="00CC5F22" w:rsidRPr="00CC5F22" w:rsidRDefault="00CC5F22" w:rsidP="00CC5F22">
      <w:pPr>
        <w:jc w:val="both"/>
        <w:rPr>
          <w:lang w:val="en-US"/>
        </w:rPr>
      </w:pPr>
      <w:r w:rsidRPr="00CC5F22">
        <w:rPr>
          <w:lang w:val="en-US"/>
        </w:rPr>
        <w:t>Autonomous Physical AI Platform for Critical Pipeline Infrastructure</w:t>
      </w:r>
    </w:p>
    <w:p w:rsidR="00CC5F22" w:rsidRPr="00CC5F22" w:rsidRDefault="00CC5F22" w:rsidP="00CC5F22">
      <w:pPr>
        <w:jc w:val="both"/>
        <w:rPr>
          <w:lang w:val="en-US"/>
        </w:rPr>
      </w:pPr>
      <w:r w:rsidRPr="00CC5F22">
        <w:rPr>
          <w:lang w:val="en-US"/>
        </w:rPr>
        <w:t xml:space="preserve">Date: </w:t>
      </w:r>
      <w:r w:rsidR="00684A70">
        <w:rPr>
          <w:lang w:val="en-US"/>
        </w:rPr>
        <w:t>October</w:t>
      </w:r>
      <w:bookmarkStart w:id="0" w:name="_GoBack"/>
      <w:bookmarkEnd w:id="0"/>
      <w:r w:rsidRPr="00CC5F22">
        <w:rPr>
          <w:lang w:val="en-US"/>
        </w:rPr>
        <w:t xml:space="preserve"> 2026</w:t>
      </w:r>
    </w:p>
    <w:p w:rsidR="00CC5F22" w:rsidRPr="00CC5F22" w:rsidRDefault="00CC5F22" w:rsidP="00CC5F22">
      <w:pPr>
        <w:jc w:val="both"/>
        <w:rPr>
          <w:lang w:val="en-US"/>
        </w:rPr>
      </w:pPr>
      <w:r w:rsidRPr="00CC5F22">
        <w:rPr>
          <w:lang w:val="en-US"/>
        </w:rPr>
        <w:t>Prepared For: Executive Leadership Team &amp; Board of Directors</w:t>
      </w:r>
    </w:p>
    <w:p w:rsidR="00CC5F22" w:rsidRPr="00CC5F22" w:rsidRDefault="00CC5F22" w:rsidP="00CC5F22">
      <w:pPr>
        <w:jc w:val="both"/>
        <w:rPr>
          <w:lang w:val="en-US"/>
        </w:rPr>
      </w:pPr>
      <w:r w:rsidRPr="00CC5F22">
        <w:rPr>
          <w:lang w:val="en-US"/>
        </w:rPr>
        <w:t>Prepared By: Platform Engineering &amp; AI Innovation Team</w:t>
      </w:r>
    </w:p>
    <w:p w:rsidR="00CC5F22" w:rsidRPr="00CC5F22" w:rsidRDefault="00CC5F22" w:rsidP="00CC5F22">
      <w:pPr>
        <w:jc w:val="both"/>
        <w:rPr>
          <w:lang w:val="en-US"/>
        </w:rPr>
      </w:pPr>
      <w:r w:rsidRPr="00CC5F22">
        <w:rPr>
          <w:lang w:val="en-US"/>
        </w:rPr>
        <w:t>1. Executive Overview</w:t>
      </w:r>
    </w:p>
    <w:p w:rsidR="00CC5F22" w:rsidRPr="00CC5F22" w:rsidRDefault="00CC5F22" w:rsidP="00CC5F22">
      <w:pPr>
        <w:jc w:val="both"/>
        <w:rPr>
          <w:lang w:val="en-US"/>
        </w:rPr>
      </w:pPr>
      <w:r w:rsidRPr="00CC5F22">
        <w:rPr>
          <w:lang w:val="en-US"/>
        </w:rPr>
        <w:t>The midstream oil and gas industry faces escalating risks from aging infrastructure, stringent environmental regulations, and the catastrophic financial impact of pipeline failures. Traditional leak detection systems are reactive, relying on human intervention that takes 15 to 45 minutes to execute.</w:t>
      </w:r>
    </w:p>
    <w:p w:rsidR="00CC5F22" w:rsidRPr="00CC5F22" w:rsidRDefault="00CC5F22" w:rsidP="00CC5F22">
      <w:pPr>
        <w:jc w:val="both"/>
        <w:rPr>
          <w:lang w:val="en-US"/>
        </w:rPr>
      </w:pPr>
      <w:r w:rsidRPr="00CC5F22">
        <w:rPr>
          <w:lang w:val="en-US"/>
        </w:rPr>
        <w:t xml:space="preserve">This document outlines the Autonomous Physical AI Platform, a next-generation infrastructure protection system. By fusing 11 distinct sensor modalities with Physics-Informed AI, Multi-Agent reasoning, and deterministic safety controls, this platform shifts our operational paradigm from reactive human monitoring to proactive, autonomous mitigation. The system detects micro-fractures and autonomously isolates pipeline segments in </w:t>
      </w:r>
      <w:proofErr w:type="gramStart"/>
      <w:r w:rsidRPr="00CC5F22">
        <w:rPr>
          <w:lang w:val="en-US"/>
        </w:rPr>
        <w:t>under</w:t>
      </w:r>
      <w:proofErr w:type="gramEnd"/>
      <w:r w:rsidRPr="00CC5F22">
        <w:rPr>
          <w:lang w:val="en-US"/>
        </w:rPr>
        <w:t xml:space="preserve"> 5 seconds, reducing potential spill volumes by 95% and ensuring strict compliance with PHMSA and IEC 61508 safety standards.</w:t>
      </w:r>
    </w:p>
    <w:p w:rsidR="00CC5F22" w:rsidRPr="00CC5F22" w:rsidRDefault="00CC5F22" w:rsidP="00CC5F22">
      <w:pPr>
        <w:jc w:val="both"/>
        <w:rPr>
          <w:lang w:val="en-US"/>
        </w:rPr>
      </w:pPr>
      <w:r w:rsidRPr="00CC5F22">
        <w:rPr>
          <w:lang w:val="en-US"/>
        </w:rPr>
        <w:t>2. The Business Challenge</w:t>
      </w:r>
    </w:p>
    <w:p w:rsidR="00CC5F22" w:rsidRPr="00CC5F22" w:rsidRDefault="00CC5F22" w:rsidP="00CC5F22">
      <w:pPr>
        <w:jc w:val="both"/>
        <w:rPr>
          <w:lang w:val="en-US"/>
        </w:rPr>
      </w:pPr>
      <w:r w:rsidRPr="00CC5F22">
        <w:rPr>
          <w:lang w:val="en-US"/>
        </w:rPr>
        <w:t>Catastrophic Financial Risk: The average cost of a hazardous liquid pipeline incident is $1.5 million, with catastrophic failures (e.g., the 2010 Enbridge spill) exceeding $1.2 billion in cleanup, fines, and lost throughput.</w:t>
      </w:r>
    </w:p>
    <w:p w:rsidR="00CC5F22" w:rsidRPr="00CC5F22" w:rsidRDefault="00CC5F22" w:rsidP="00CC5F22">
      <w:pPr>
        <w:jc w:val="both"/>
        <w:rPr>
          <w:lang w:val="en-US"/>
        </w:rPr>
      </w:pPr>
      <w:r w:rsidRPr="00CC5F22">
        <w:rPr>
          <w:lang w:val="en-US"/>
        </w:rPr>
        <w:t>Human Latency: Legacy Computational Pipeline Monitoring (CPM) relies on human operators to interpret alarms and manually close valves. This 15–45 minute delay allows minor leaks to become environmental disasters.</w:t>
      </w:r>
    </w:p>
    <w:p w:rsidR="00CC5F22" w:rsidRPr="00CC5F22" w:rsidRDefault="00CC5F22" w:rsidP="00CC5F22">
      <w:pPr>
        <w:jc w:val="both"/>
        <w:rPr>
          <w:lang w:val="en-US"/>
        </w:rPr>
      </w:pPr>
      <w:r w:rsidRPr="00CC5F22">
        <w:rPr>
          <w:lang w:val="en-US"/>
        </w:rPr>
        <w:t>Regulatory Pressure: The PHMSA "Mega Rule" and global ESG mandates require operators to prove proactive integrity management and rapid automated shutdown capabilities.</w:t>
      </w:r>
    </w:p>
    <w:p w:rsidR="00CC5F22" w:rsidRPr="00CC5F22" w:rsidRDefault="00CC5F22" w:rsidP="00CC5F22">
      <w:pPr>
        <w:jc w:val="both"/>
        <w:rPr>
          <w:lang w:val="en-US"/>
        </w:rPr>
      </w:pPr>
      <w:r w:rsidRPr="00CC5F22">
        <w:rPr>
          <w:lang w:val="en-US"/>
        </w:rPr>
        <w:t>Data Privacy Concerns: Cloud-based AI solutions require uploading proprietary operational data to third-party servers, creating unacceptable cybersecurity and competitive risks.</w:t>
      </w:r>
    </w:p>
    <w:p w:rsidR="00CC5F22" w:rsidRPr="00CC5F22" w:rsidRDefault="00CC5F22" w:rsidP="00CC5F22">
      <w:pPr>
        <w:jc w:val="both"/>
        <w:rPr>
          <w:lang w:val="en-US"/>
        </w:rPr>
      </w:pPr>
      <w:r w:rsidRPr="00CC5F22">
        <w:rPr>
          <w:lang w:val="en-US"/>
        </w:rPr>
        <w:t>3. The Solution: A Paradigm Shift in Integrity Management</w:t>
      </w:r>
    </w:p>
    <w:p w:rsidR="00CC5F22" w:rsidRPr="00CC5F22" w:rsidRDefault="00CC5F22" w:rsidP="00CC5F22">
      <w:pPr>
        <w:jc w:val="both"/>
        <w:rPr>
          <w:lang w:val="en-US"/>
        </w:rPr>
      </w:pPr>
      <w:r w:rsidRPr="00CC5F22">
        <w:rPr>
          <w:lang w:val="en-US"/>
        </w:rPr>
        <w:t>Our platform is a comprehensive, closed-loop Physical AI ecosystem deployed across three layers:</w:t>
      </w:r>
    </w:p>
    <w:p w:rsidR="00CC5F22" w:rsidRPr="00CC5F22" w:rsidRDefault="00CC5F22" w:rsidP="00CC5F22">
      <w:pPr>
        <w:jc w:val="both"/>
        <w:rPr>
          <w:lang w:val="en-US"/>
        </w:rPr>
      </w:pPr>
      <w:r w:rsidRPr="00CC5F22">
        <w:rPr>
          <w:lang w:val="en-US"/>
        </w:rPr>
        <w:t>The Physical Layer: Integrates 11 heterogeneous sensors (acoustic, pressure, fiber optics, etc.) and automated emergency shutdown valves (ESDVs).</w:t>
      </w:r>
    </w:p>
    <w:p w:rsidR="00CC5F22" w:rsidRPr="00CC5F22" w:rsidRDefault="00CC5F22" w:rsidP="00CC5F22">
      <w:pPr>
        <w:jc w:val="both"/>
        <w:rPr>
          <w:lang w:val="en-US"/>
        </w:rPr>
      </w:pPr>
      <w:r w:rsidRPr="00CC5F22">
        <w:rPr>
          <w:lang w:val="en-US"/>
        </w:rPr>
        <w:t>The Edge Layer (NVIDIA Jetson Orin): Houses a Multi-Agent AI system that perceives anomalies, reasons about them, and executes physical valve closures locally. Crucially, it operates autonomously even if cloud connectivity is lost.</w:t>
      </w:r>
    </w:p>
    <w:p w:rsidR="00CC5F22" w:rsidRPr="00CC5F22" w:rsidRDefault="00CC5F22" w:rsidP="00CC5F22">
      <w:pPr>
        <w:jc w:val="both"/>
        <w:rPr>
          <w:lang w:val="en-US"/>
        </w:rPr>
      </w:pPr>
      <w:r w:rsidRPr="00CC5F22">
        <w:rPr>
          <w:lang w:val="en-US"/>
        </w:rPr>
        <w:lastRenderedPageBreak/>
        <w:t>The Cloud Layer (</w:t>
      </w:r>
      <w:proofErr w:type="spellStart"/>
      <w:r w:rsidRPr="00CC5F22">
        <w:rPr>
          <w:lang w:val="en-US"/>
        </w:rPr>
        <w:t>Nebius</w:t>
      </w:r>
      <w:proofErr w:type="spellEnd"/>
      <w:r w:rsidRPr="00CC5F22">
        <w:rPr>
          <w:lang w:val="en-US"/>
        </w:rPr>
        <w:t xml:space="preserve"> AI Cloud): Handles global Federated Learning (improving the AI without exposing raw data), dynamic risk assessment, and automated enterprise integration (SAP/Maximo work orders and PHMSA regulatory reporting).</w:t>
      </w:r>
    </w:p>
    <w:p w:rsidR="00CC5F22" w:rsidRPr="00CC5F22" w:rsidRDefault="00CC5F22" w:rsidP="00CC5F22">
      <w:pPr>
        <w:jc w:val="both"/>
        <w:rPr>
          <w:lang w:val="en-US"/>
        </w:rPr>
      </w:pPr>
      <w:r w:rsidRPr="00CC5F22">
        <w:rPr>
          <w:lang w:val="en-US"/>
        </w:rPr>
        <w:t>4. Core Competitive Differentiators</w:t>
      </w:r>
    </w:p>
    <w:p w:rsidR="00CC5F22" w:rsidRPr="00CC5F22" w:rsidRDefault="00CC5F22" w:rsidP="00CC5F22">
      <w:pPr>
        <w:jc w:val="both"/>
        <w:rPr>
          <w:lang w:val="en-US"/>
        </w:rPr>
      </w:pPr>
      <w:r w:rsidRPr="00CC5F22">
        <w:rPr>
          <w:lang w:val="en-US"/>
        </w:rPr>
        <w:t>Unlike legacy SCADA overlays or single-sensor fiber optic monitors, our platform offers unique, defensible advantages:</w:t>
      </w:r>
    </w:p>
    <w:p w:rsidR="00CC5F22" w:rsidRPr="00CC5F22" w:rsidRDefault="00CC5F22" w:rsidP="00CC5F22">
      <w:pPr>
        <w:jc w:val="both"/>
        <w:rPr>
          <w:lang w:val="en-US"/>
        </w:rPr>
      </w:pPr>
      <w:r w:rsidRPr="00CC5F22">
        <w:rPr>
          <w:lang w:val="en-US"/>
        </w:rPr>
        <w:t>Deterministic Safety Interlock (IEC 61508): The AI proposes actions, but a hard-coded, non-AI mathematical rule engine validates them. If the AI suggests a physically dangerous action, the system overrides it. This guarantees functional safety and builds operational trust.</w:t>
      </w:r>
    </w:p>
    <w:p w:rsidR="00CC5F22" w:rsidRPr="00CC5F22" w:rsidRDefault="00CC5F22" w:rsidP="00CC5F22">
      <w:pPr>
        <w:jc w:val="both"/>
        <w:rPr>
          <w:lang w:val="en-US"/>
        </w:rPr>
      </w:pPr>
      <w:r w:rsidRPr="00CC5F22">
        <w:rPr>
          <w:lang w:val="en-US"/>
        </w:rPr>
        <w:t>Physics-Informed AI (</w:t>
      </w:r>
      <w:proofErr w:type="spellStart"/>
      <w:r w:rsidRPr="00CC5F22">
        <w:rPr>
          <w:lang w:val="en-US"/>
        </w:rPr>
        <w:t>PhysicsNeMo</w:t>
      </w:r>
      <w:proofErr w:type="spellEnd"/>
      <w:r w:rsidRPr="00CC5F22">
        <w:rPr>
          <w:lang w:val="en-US"/>
        </w:rPr>
        <w:t>): Instead of relying solely on historical data patterns, our AI embeds the actual fluid dynamics equations (</w:t>
      </w:r>
      <w:proofErr w:type="spellStart"/>
      <w:r w:rsidRPr="00CC5F22">
        <w:rPr>
          <w:lang w:val="en-US"/>
        </w:rPr>
        <w:t>Navier</w:t>
      </w:r>
      <w:proofErr w:type="spellEnd"/>
      <w:r w:rsidRPr="00CC5F22">
        <w:rPr>
          <w:lang w:val="en-US"/>
        </w:rPr>
        <w:t>-Stokes) into its neural network. This drastically reduces false positives caused by environmental noise.</w:t>
      </w:r>
    </w:p>
    <w:p w:rsidR="00CC5F22" w:rsidRPr="00CC5F22" w:rsidRDefault="00CC5F22" w:rsidP="00CC5F22">
      <w:pPr>
        <w:jc w:val="both"/>
        <w:rPr>
          <w:lang w:val="en-US"/>
        </w:rPr>
      </w:pPr>
      <w:r w:rsidRPr="00CC5F22">
        <w:rPr>
          <w:lang w:val="en-US"/>
        </w:rPr>
        <w:t>Swarm Intelligence: Edge nodes communicate directly with one another via a decentralized mesh. If a rupture occurs, neighboring nodes predict the pressure wave and pre-emptively isolate themselves, preventing network-wide cascading failures.</w:t>
      </w:r>
    </w:p>
    <w:p w:rsidR="00CC5F22" w:rsidRPr="00CC5F22" w:rsidRDefault="00CC5F22" w:rsidP="00CC5F22">
      <w:pPr>
        <w:jc w:val="both"/>
        <w:rPr>
          <w:lang w:val="en-US"/>
        </w:rPr>
      </w:pPr>
      <w:r w:rsidRPr="00CC5F22">
        <w:rPr>
          <w:lang w:val="en-US"/>
        </w:rPr>
        <w:t>Data Sovereignty via Federated Learning: Raw, proprietary sensor data never leaves the edge device. Only encrypted mathematical model updates are sent to the cloud, solving the industry's biggest data privacy hurdle.</w:t>
      </w:r>
    </w:p>
    <w:p w:rsidR="00CC5F22" w:rsidRPr="00CC5F22" w:rsidRDefault="00CC5F22" w:rsidP="00CC5F22">
      <w:pPr>
        <w:jc w:val="both"/>
        <w:rPr>
          <w:lang w:val="en-US"/>
        </w:rPr>
      </w:pPr>
      <w:r w:rsidRPr="00CC5F22">
        <w:rPr>
          <w:lang w:val="en-US"/>
        </w:rPr>
        <w:t>5. Financial Impact and ROI</w:t>
      </w:r>
    </w:p>
    <w:p w:rsidR="00CC5F22" w:rsidRPr="00CC5F22" w:rsidRDefault="00CC5F22" w:rsidP="00CC5F22">
      <w:pPr>
        <w:jc w:val="both"/>
        <w:rPr>
          <w:lang w:val="en-US"/>
        </w:rPr>
      </w:pPr>
      <w:r w:rsidRPr="00CC5F22">
        <w:rPr>
          <w:lang w:val="en-US"/>
        </w:rPr>
        <w:t>Deploying this platform transforms pipeline integrity from a cost center into a strategic risk-mitigation asset.</w:t>
      </w:r>
    </w:p>
    <w:p w:rsidR="00CC5F22" w:rsidRPr="00CC5F22" w:rsidRDefault="00CC5F22" w:rsidP="00CC5F22">
      <w:pPr>
        <w:jc w:val="both"/>
        <w:rPr>
          <w:lang w:val="en-US"/>
        </w:rPr>
      </w:pPr>
      <w:proofErr w:type="gramStart"/>
      <w:r w:rsidRPr="00CC5F22">
        <w:rPr>
          <w:lang w:val="en-US"/>
        </w:rPr>
        <w:t xml:space="preserve">Risk Mitigation: Preventing a single catastrophic spill saves upwards of $1.2 billion, instantly justifying the </w:t>
      </w:r>
      <w:proofErr w:type="spellStart"/>
      <w:r w:rsidRPr="00CC5F22">
        <w:rPr>
          <w:lang w:val="en-US"/>
        </w:rPr>
        <w:t>CapEx</w:t>
      </w:r>
      <w:proofErr w:type="spellEnd"/>
      <w:r w:rsidRPr="00CC5F22">
        <w:rPr>
          <w:lang w:val="en-US"/>
        </w:rPr>
        <w:t xml:space="preserve"> for network-wide deployment.</w:t>
      </w:r>
      <w:proofErr w:type="gramEnd"/>
    </w:p>
    <w:p w:rsidR="00CC5F22" w:rsidRPr="00CC5F22" w:rsidRDefault="00CC5F22" w:rsidP="00CC5F22">
      <w:pPr>
        <w:jc w:val="both"/>
        <w:rPr>
          <w:lang w:val="en-US"/>
        </w:rPr>
      </w:pPr>
      <w:r w:rsidRPr="00CC5F22">
        <w:rPr>
          <w:lang w:val="en-US"/>
        </w:rPr>
        <w:t>Operational Efficiency (</w:t>
      </w:r>
      <w:proofErr w:type="spellStart"/>
      <w:r w:rsidRPr="00CC5F22">
        <w:rPr>
          <w:lang w:val="en-US"/>
        </w:rPr>
        <w:t>OpEx</w:t>
      </w:r>
      <w:proofErr w:type="spellEnd"/>
      <w:r w:rsidRPr="00CC5F22">
        <w:rPr>
          <w:lang w:val="en-US"/>
        </w:rPr>
        <w:t>): By utilizing the Dynamic Risk Engine for Risk-Based Inspection (RBI), we can reduce In-Line Inspection (Smart Pig) and manual patrol OPEX by 20% to 30%.</w:t>
      </w:r>
    </w:p>
    <w:p w:rsidR="00CC5F22" w:rsidRPr="00CC5F22" w:rsidRDefault="00CC5F22" w:rsidP="00CC5F22">
      <w:pPr>
        <w:jc w:val="both"/>
        <w:rPr>
          <w:lang w:val="en-US"/>
        </w:rPr>
      </w:pPr>
      <w:r w:rsidRPr="00CC5F22">
        <w:rPr>
          <w:lang w:val="en-US"/>
        </w:rPr>
        <w:t>Throughput Protection: Reducing leak response time from 30 minutes to 5 seconds minimizes downtime, saving an estimated $500,000 to $2 million per day in lost throughput and contractual penalties.</w:t>
      </w:r>
    </w:p>
    <w:p w:rsidR="00CC5F22" w:rsidRPr="00CC5F22" w:rsidRDefault="00CC5F22" w:rsidP="00CC5F22">
      <w:pPr>
        <w:jc w:val="both"/>
        <w:rPr>
          <w:lang w:val="en-US"/>
        </w:rPr>
      </w:pPr>
      <w:r w:rsidRPr="00CC5F22">
        <w:rPr>
          <w:lang w:val="en-US"/>
        </w:rPr>
        <w:t>Insurance &amp; Compliance: Advanced autonomous leak detection qualifies the network for 10-15% reductions in liability insurance premiums and ensures proactive compliance with PHMSA mandates, avoiding fines of up to $200,000 per day.</w:t>
      </w:r>
    </w:p>
    <w:p w:rsidR="00CC5F22" w:rsidRPr="00CC5F22" w:rsidRDefault="00CC5F22" w:rsidP="00CC5F22">
      <w:pPr>
        <w:jc w:val="both"/>
        <w:rPr>
          <w:lang w:val="en-US"/>
        </w:rPr>
      </w:pPr>
      <w:r w:rsidRPr="00CC5F22">
        <w:rPr>
          <w:lang w:val="en-US"/>
        </w:rPr>
        <w:t>6. Implementation Strategy</w:t>
      </w:r>
    </w:p>
    <w:p w:rsidR="00CC5F22" w:rsidRPr="00CC5F22" w:rsidRDefault="00CC5F22" w:rsidP="00CC5F22">
      <w:pPr>
        <w:jc w:val="both"/>
        <w:rPr>
          <w:lang w:val="en-US"/>
        </w:rPr>
      </w:pPr>
      <w:r w:rsidRPr="00CC5F22">
        <w:rPr>
          <w:lang w:val="en-US"/>
        </w:rPr>
        <w:t>To ensure operational continuity and build stakeholder trust, we propose a phased rollout:</w:t>
      </w:r>
    </w:p>
    <w:p w:rsidR="00CC5F22" w:rsidRPr="00CC5F22" w:rsidRDefault="00CC5F22" w:rsidP="00CC5F22">
      <w:pPr>
        <w:jc w:val="both"/>
        <w:rPr>
          <w:lang w:val="en-US"/>
        </w:rPr>
      </w:pPr>
      <w:r w:rsidRPr="00CC5F22">
        <w:rPr>
          <w:lang w:val="en-US"/>
        </w:rPr>
        <w:t>Phase 1: Shadow Mode (Months 1-6): The AI runs in parallel with human operators, logging what it would do. This validates the 99.9% alignment between AI and human decision-making.</w:t>
      </w:r>
    </w:p>
    <w:p w:rsidR="00CC5F22" w:rsidRPr="00CC5F22" w:rsidRDefault="00CC5F22" w:rsidP="00CC5F22">
      <w:pPr>
        <w:jc w:val="both"/>
        <w:rPr>
          <w:lang w:val="en-US"/>
        </w:rPr>
      </w:pPr>
      <w:r w:rsidRPr="00CC5F22">
        <w:rPr>
          <w:lang w:val="en-US"/>
        </w:rPr>
        <w:t>Phase 2: Recommendation Mode (Months 6-12): The system sends automated alerts and SAP work orders, but humans still execute physical valve closures.</w:t>
      </w:r>
    </w:p>
    <w:p w:rsidR="00CC5F22" w:rsidRPr="00CC5F22" w:rsidRDefault="00CC5F22" w:rsidP="00CC5F22">
      <w:pPr>
        <w:jc w:val="both"/>
        <w:rPr>
          <w:lang w:val="en-US"/>
        </w:rPr>
      </w:pPr>
      <w:r w:rsidRPr="00CC5F22">
        <w:rPr>
          <w:lang w:val="en-US"/>
        </w:rPr>
        <w:t>Phase 3: Autonomous Actuation (Months 12+): Following SIL-2 certification, the system is granted authority to autonomously close valves in critical High Consequence Areas (HCAs).</w:t>
      </w:r>
    </w:p>
    <w:p w:rsidR="00CC5F22" w:rsidRPr="00CC5F22" w:rsidRDefault="00CC5F22" w:rsidP="00CC5F22">
      <w:pPr>
        <w:jc w:val="both"/>
        <w:rPr>
          <w:lang w:val="en-US"/>
        </w:rPr>
      </w:pPr>
      <w:r w:rsidRPr="00CC5F22">
        <w:rPr>
          <w:lang w:val="en-US"/>
        </w:rPr>
        <w:lastRenderedPageBreak/>
        <w:t>7. Strategic Roadmap</w:t>
      </w:r>
    </w:p>
    <w:p w:rsidR="00CC5F22" w:rsidRPr="00CC5F22" w:rsidRDefault="00CC5F22" w:rsidP="00CC5F22">
      <w:pPr>
        <w:jc w:val="both"/>
        <w:rPr>
          <w:lang w:val="en-US"/>
        </w:rPr>
      </w:pPr>
      <w:r w:rsidRPr="00CC5F22">
        <w:rPr>
          <w:lang w:val="en-US"/>
        </w:rPr>
        <w:t>Looking beyond immediate leak detection, this platform serves as the foundational "nervous system" for future Industry 5.0 initiatives:</w:t>
      </w:r>
    </w:p>
    <w:p w:rsidR="00CC5F22" w:rsidRPr="00CC5F22" w:rsidRDefault="00CC5F22" w:rsidP="00CC5F22">
      <w:pPr>
        <w:jc w:val="both"/>
        <w:rPr>
          <w:lang w:val="en-US"/>
        </w:rPr>
      </w:pPr>
      <w:r w:rsidRPr="00CC5F22">
        <w:rPr>
          <w:lang w:val="en-US"/>
        </w:rPr>
        <w:t xml:space="preserve">Digital Twin Integration: Creating </w:t>
      </w:r>
      <w:proofErr w:type="gramStart"/>
      <w:r w:rsidRPr="00CC5F22">
        <w:rPr>
          <w:lang w:val="en-US"/>
        </w:rPr>
        <w:t>a 3D</w:t>
      </w:r>
      <w:proofErr w:type="gramEnd"/>
      <w:r w:rsidRPr="00CC5F22">
        <w:rPr>
          <w:lang w:val="en-US"/>
        </w:rPr>
        <w:t>, physics-accurate virtual replica of the pipeline for VR training and "what-if" scenario modeling.</w:t>
      </w:r>
    </w:p>
    <w:p w:rsidR="00CC5F22" w:rsidRPr="00CC5F22" w:rsidRDefault="00CC5F22" w:rsidP="00CC5F22">
      <w:pPr>
        <w:jc w:val="both"/>
        <w:rPr>
          <w:lang w:val="en-US"/>
        </w:rPr>
      </w:pPr>
      <w:r w:rsidRPr="00CC5F22">
        <w:rPr>
          <w:lang w:val="en-US"/>
        </w:rPr>
        <w:t>Voice-First Control Rooms: Enabling natural language interaction between control room operators and the AI during high-stress emergencies.</w:t>
      </w:r>
    </w:p>
    <w:p w:rsidR="00CC5F22" w:rsidRPr="00CC5F22" w:rsidRDefault="00CC5F22" w:rsidP="00CC5F22">
      <w:pPr>
        <w:jc w:val="both"/>
        <w:rPr>
          <w:lang w:val="en-US"/>
        </w:rPr>
      </w:pPr>
      <w:r w:rsidRPr="00CC5F22">
        <w:rPr>
          <w:lang w:val="en-US"/>
        </w:rPr>
        <w:t>Autonomous Physical Repair: Integrating with in-pipe robotics and drone swarms to not just detect, but physically seal leaks without human intervention.</w:t>
      </w:r>
    </w:p>
    <w:p w:rsidR="00CC5F22" w:rsidRPr="00CC5F22" w:rsidRDefault="00CC5F22" w:rsidP="00CC5F22">
      <w:pPr>
        <w:jc w:val="both"/>
        <w:rPr>
          <w:lang w:val="en-US"/>
        </w:rPr>
      </w:pPr>
      <w:r w:rsidRPr="00CC5F22">
        <w:rPr>
          <w:lang w:val="en-US"/>
        </w:rPr>
        <w:t>8. Recommendations and Next Steps</w:t>
      </w:r>
    </w:p>
    <w:p w:rsidR="00CC5F22" w:rsidRPr="00CC5F22" w:rsidRDefault="00CC5F22" w:rsidP="00CC5F22">
      <w:pPr>
        <w:jc w:val="both"/>
        <w:rPr>
          <w:lang w:val="en-US"/>
        </w:rPr>
      </w:pPr>
      <w:r w:rsidRPr="00CC5F22">
        <w:rPr>
          <w:lang w:val="en-US"/>
        </w:rPr>
        <w:t>To realize these strategic and financial benefits, the Platform Engineering team requests executive approval for the following immediate actions:</w:t>
      </w:r>
    </w:p>
    <w:p w:rsidR="00CC5F22" w:rsidRPr="00CC5F22" w:rsidRDefault="00CC5F22" w:rsidP="00CC5F22">
      <w:pPr>
        <w:jc w:val="both"/>
        <w:rPr>
          <w:lang w:val="en-US"/>
        </w:rPr>
      </w:pPr>
      <w:r w:rsidRPr="00CC5F22">
        <w:rPr>
          <w:lang w:val="en-US"/>
        </w:rPr>
        <w:t>Approve Pilot Deployment: Authorize the installation of the platform on the EMPCO Mustang Segment (346 km), a high-consequence heavy crude line, to serve as a live proving ground.</w:t>
      </w:r>
    </w:p>
    <w:p w:rsidR="00CC5F22" w:rsidRPr="00CC5F22" w:rsidRDefault="00CC5F22" w:rsidP="00CC5F22">
      <w:pPr>
        <w:jc w:val="both"/>
        <w:rPr>
          <w:lang w:val="en-US"/>
        </w:rPr>
      </w:pPr>
      <w:r w:rsidRPr="00CC5F22">
        <w:rPr>
          <w:lang w:val="en-US"/>
        </w:rPr>
        <w:t xml:space="preserve">Allocate </w:t>
      </w:r>
      <w:proofErr w:type="spellStart"/>
      <w:r w:rsidRPr="00CC5F22">
        <w:rPr>
          <w:lang w:val="en-US"/>
        </w:rPr>
        <w:t>CapEx</w:t>
      </w:r>
      <w:proofErr w:type="spellEnd"/>
      <w:r w:rsidRPr="00CC5F22">
        <w:rPr>
          <w:lang w:val="en-US"/>
        </w:rPr>
        <w:t xml:space="preserve"> for SIL-2 Certification: Fund the rigorous IEC 61508 functional safety audit required to legally authorize autonomous SCADA actuation.</w:t>
      </w:r>
    </w:p>
    <w:p w:rsidR="00CC5F22" w:rsidRPr="00CC5F22" w:rsidRDefault="00CC5F22" w:rsidP="00CC5F22">
      <w:pPr>
        <w:jc w:val="both"/>
        <w:rPr>
          <w:lang w:val="en-US"/>
        </w:rPr>
      </w:pPr>
      <w:r w:rsidRPr="00CC5F22">
        <w:rPr>
          <w:lang w:val="en-US"/>
        </w:rPr>
        <w:t>Establish Cross-Functional Steering Committee: Form a joint task force comprising Operations, IT/Cybersecurity, and Regulatory Compliance to oversee the transition from Shadow Mode to Autonomous Actuation.</w:t>
      </w:r>
    </w:p>
    <w:p w:rsidR="003A71BA" w:rsidRPr="00CC5F22" w:rsidRDefault="00CC5F22" w:rsidP="00CC5F22">
      <w:pPr>
        <w:jc w:val="both"/>
        <w:rPr>
          <w:lang w:val="en-US"/>
        </w:rPr>
      </w:pPr>
      <w:r w:rsidRPr="00CC5F22">
        <w:rPr>
          <w:lang w:val="en-US"/>
        </w:rPr>
        <w:t>For detailed technical specifications, algorithmic methodologies, and performance benchmarks, please refer to the companion Technical Whitepaper (Version 1.0).</w:t>
      </w:r>
    </w:p>
    <w:sectPr w:rsidR="003A71BA" w:rsidRPr="00CC5F22" w:rsidSect="00CC5F22">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0B0A" w:rsidRDefault="00B30B0A" w:rsidP="00CF1E62">
      <w:pPr>
        <w:spacing w:after="0" w:line="240" w:lineRule="auto"/>
      </w:pPr>
      <w:r>
        <w:separator/>
      </w:r>
    </w:p>
  </w:endnote>
  <w:endnote w:type="continuationSeparator" w:id="0">
    <w:p w:rsidR="00B30B0A" w:rsidRDefault="00B30B0A" w:rsidP="00CF1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9799917"/>
      <w:docPartObj>
        <w:docPartGallery w:val="Page Numbers (Bottom of Page)"/>
        <w:docPartUnique/>
      </w:docPartObj>
    </w:sdtPr>
    <w:sdtContent>
      <w:p w:rsidR="00CF1E62" w:rsidRDefault="00CF1E62">
        <w:pPr>
          <w:pStyle w:val="a5"/>
          <w:jc w:val="right"/>
        </w:pPr>
        <w:r>
          <w:fldChar w:fldCharType="begin"/>
        </w:r>
        <w:r>
          <w:instrText>PAGE   \* MERGEFORMAT</w:instrText>
        </w:r>
        <w:r>
          <w:fldChar w:fldCharType="separate"/>
        </w:r>
        <w:r w:rsidR="00684A70">
          <w:rPr>
            <w:noProof/>
          </w:rPr>
          <w:t>1</w:t>
        </w:r>
        <w:r>
          <w:fldChar w:fldCharType="end"/>
        </w:r>
      </w:p>
    </w:sdtContent>
  </w:sdt>
  <w:p w:rsidR="00CF1E62" w:rsidRDefault="00CF1E6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0B0A" w:rsidRDefault="00B30B0A" w:rsidP="00CF1E62">
      <w:pPr>
        <w:spacing w:after="0" w:line="240" w:lineRule="auto"/>
      </w:pPr>
      <w:r>
        <w:separator/>
      </w:r>
    </w:p>
  </w:footnote>
  <w:footnote w:type="continuationSeparator" w:id="0">
    <w:p w:rsidR="00B30B0A" w:rsidRDefault="00B30B0A" w:rsidP="00CF1E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EAB"/>
    <w:rsid w:val="003A71BA"/>
    <w:rsid w:val="00684A70"/>
    <w:rsid w:val="00945EF0"/>
    <w:rsid w:val="00A01EAB"/>
    <w:rsid w:val="00B30B0A"/>
    <w:rsid w:val="00CC5F22"/>
    <w:rsid w:val="00CF1E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1E6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F1E62"/>
  </w:style>
  <w:style w:type="paragraph" w:styleId="a5">
    <w:name w:val="footer"/>
    <w:basedOn w:val="a"/>
    <w:link w:val="a6"/>
    <w:uiPriority w:val="99"/>
    <w:unhideWhenUsed/>
    <w:rsid w:val="00CF1E6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F1E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1E62"/>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F1E62"/>
  </w:style>
  <w:style w:type="paragraph" w:styleId="a5">
    <w:name w:val="footer"/>
    <w:basedOn w:val="a"/>
    <w:link w:val="a6"/>
    <w:uiPriority w:val="99"/>
    <w:unhideWhenUsed/>
    <w:rsid w:val="00CF1E62"/>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F1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2026-09-13T01:43:00Z</dcterms:created>
  <dcterms:modified xsi:type="dcterms:W3CDTF">2026-09-13T01:45:00Z</dcterms:modified>
</cp:coreProperties>
</file>