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AF6D1" w14:textId="77777777" w:rsidR="004B4AA5" w:rsidRDefault="00000000">
      <w:pPr>
        <w:pStyle w:val="Title"/>
      </w:pPr>
      <w:r>
        <w:t>Structural Breaks in the Distributional Incidence of U.S. Federal Fiscal Policy, FY2000–FY2025</w:t>
      </w:r>
    </w:p>
    <w:p w14:paraId="0D0AF6D2" w14:textId="77777777" w:rsidR="004B4AA5" w:rsidRDefault="00000000">
      <w:pPr>
        <w:pStyle w:val="Author"/>
      </w:pPr>
      <w:r>
        <w:t>Andy Salazar</w:t>
      </w:r>
    </w:p>
    <w:p w14:paraId="0D0AF6D3" w14:textId="77777777" w:rsidR="004B4AA5" w:rsidRDefault="00000000">
      <w:pPr>
        <w:pStyle w:val="Date"/>
      </w:pPr>
      <w:r>
        <w:t>March 2026 (Revised)</w:t>
      </w:r>
    </w:p>
    <w:p w14:paraId="0D0AF6D4" w14:textId="77777777" w:rsidR="004B4AA5" w:rsidRDefault="00000000">
      <w:pPr>
        <w:pStyle w:val="AbstractTitle"/>
      </w:pPr>
      <w:r>
        <w:t>Abstract</w:t>
      </w:r>
    </w:p>
    <w:p w14:paraId="0D0AF6D5" w14:textId="77777777" w:rsidR="004B4AA5" w:rsidRDefault="00000000">
      <w:pPr>
        <w:pStyle w:val="Abstract"/>
      </w:pPr>
      <w:r>
        <w:t>Does fiscal year 2025 represent a structural break in the distributional incidence of U.S. federal fiscal policy, or a continuation of quarter-century trends? I embed FY2025 within a 26-year panel (FY2000–FY2025) of CBO budget data, Treasury administrative records, and CPS ASEC microdata (1.4 million person-records), applying out-of-sample structural break tests to four distributional indicators. Two indicators register as genuine discontinuities: customs revenue’s share of total revenue jumped from 1.0% to 3.7% (z = 25.8), and the interest-to-safety-net crowding ratio doubled to 0.91 (z = 2.4). Two others—the regressive revenue share and the safety-net outlay share—remain within pre-existing trends. The channels identified as structural breaks are precisely those that burden the bottom 50% most heavily: the combined fiscal burden on the B50 is $1,331 per person (10.6% of pretax income). Distinguishing trend from discontinuity matters for policy: secular trends require structural reform, while discrete discontinuities are potentially reversible through targeted policy action.</w:t>
      </w:r>
    </w:p>
    <w:sdt>
      <w:sdtPr>
        <w:rPr>
          <w:rFonts w:asciiTheme="minorHAnsi" w:eastAsiaTheme="minorEastAsia" w:hAnsiTheme="minorHAnsi" w:cstheme="minorBidi"/>
          <w:color w:val="auto"/>
          <w:sz w:val="24"/>
          <w:szCs w:val="24"/>
        </w:rPr>
        <w:id w:val="-1039964807"/>
        <w:docPartObj>
          <w:docPartGallery w:val="Table of Contents"/>
          <w:docPartUnique/>
        </w:docPartObj>
      </w:sdtPr>
      <w:sdtContent>
        <w:p w14:paraId="0D0AF6D6" w14:textId="77777777" w:rsidR="004B4AA5" w:rsidRDefault="00000000">
          <w:pPr>
            <w:pStyle w:val="TOCHeading"/>
          </w:pPr>
          <w:r>
            <w:t>Table of Contents</w:t>
          </w:r>
        </w:p>
        <w:p w14:paraId="7107C71E" w14:textId="320CC0C6" w:rsidR="007E514D" w:rsidRDefault="00000000">
          <w:pPr>
            <w:pStyle w:val="TOC2"/>
            <w:tabs>
              <w:tab w:val="right" w:leader="dot" w:pos="9350"/>
            </w:tabs>
            <w:rPr>
              <w:noProof/>
            </w:rPr>
          </w:pPr>
          <w:r>
            <w:fldChar w:fldCharType="begin"/>
          </w:r>
          <w:r>
            <w:instrText>TOC \o "1-3" \h \z \u</w:instrText>
          </w:r>
          <w:r>
            <w:fldChar w:fldCharType="separate"/>
          </w:r>
          <w:hyperlink w:anchor="_Toc223873418" w:history="1">
            <w:r w:rsidR="007E514D" w:rsidRPr="0086095D">
              <w:rPr>
                <w:rStyle w:val="Hyperlink"/>
                <w:noProof/>
              </w:rPr>
              <w:t>1. Introduction</w:t>
            </w:r>
            <w:r w:rsidR="007E514D">
              <w:rPr>
                <w:noProof/>
                <w:webHidden/>
              </w:rPr>
              <w:tab/>
            </w:r>
            <w:r w:rsidR="007E514D">
              <w:rPr>
                <w:noProof/>
                <w:webHidden/>
              </w:rPr>
              <w:fldChar w:fldCharType="begin"/>
            </w:r>
            <w:r w:rsidR="007E514D">
              <w:rPr>
                <w:noProof/>
                <w:webHidden/>
              </w:rPr>
              <w:instrText xml:space="preserve"> PAGEREF _Toc223873418 \h </w:instrText>
            </w:r>
            <w:r w:rsidR="007E514D">
              <w:rPr>
                <w:noProof/>
                <w:webHidden/>
              </w:rPr>
            </w:r>
            <w:r w:rsidR="007E514D">
              <w:rPr>
                <w:noProof/>
                <w:webHidden/>
              </w:rPr>
              <w:fldChar w:fldCharType="separate"/>
            </w:r>
            <w:r w:rsidR="007E514D">
              <w:rPr>
                <w:noProof/>
                <w:webHidden/>
              </w:rPr>
              <w:t>3</w:t>
            </w:r>
            <w:r w:rsidR="007E514D">
              <w:rPr>
                <w:noProof/>
                <w:webHidden/>
              </w:rPr>
              <w:fldChar w:fldCharType="end"/>
            </w:r>
          </w:hyperlink>
        </w:p>
        <w:p w14:paraId="526ECDEC" w14:textId="3C012C10" w:rsidR="007E514D" w:rsidRDefault="007E514D">
          <w:pPr>
            <w:pStyle w:val="TOC3"/>
            <w:tabs>
              <w:tab w:val="right" w:leader="dot" w:pos="9350"/>
            </w:tabs>
            <w:rPr>
              <w:noProof/>
            </w:rPr>
          </w:pPr>
          <w:hyperlink w:anchor="_Toc223873419" w:history="1">
            <w:r w:rsidRPr="0086095D">
              <w:rPr>
                <w:rStyle w:val="Hyperlink"/>
                <w:noProof/>
              </w:rPr>
              <w:t>1.1 Related Literature</w:t>
            </w:r>
            <w:r>
              <w:rPr>
                <w:noProof/>
                <w:webHidden/>
              </w:rPr>
              <w:tab/>
            </w:r>
            <w:r>
              <w:rPr>
                <w:noProof/>
                <w:webHidden/>
              </w:rPr>
              <w:fldChar w:fldCharType="begin"/>
            </w:r>
            <w:r>
              <w:rPr>
                <w:noProof/>
                <w:webHidden/>
              </w:rPr>
              <w:instrText xml:space="preserve"> PAGEREF _Toc223873419 \h </w:instrText>
            </w:r>
            <w:r>
              <w:rPr>
                <w:noProof/>
                <w:webHidden/>
              </w:rPr>
            </w:r>
            <w:r>
              <w:rPr>
                <w:noProof/>
                <w:webHidden/>
              </w:rPr>
              <w:fldChar w:fldCharType="separate"/>
            </w:r>
            <w:r>
              <w:rPr>
                <w:noProof/>
                <w:webHidden/>
              </w:rPr>
              <w:t>4</w:t>
            </w:r>
            <w:r>
              <w:rPr>
                <w:noProof/>
                <w:webHidden/>
              </w:rPr>
              <w:fldChar w:fldCharType="end"/>
            </w:r>
          </w:hyperlink>
        </w:p>
        <w:p w14:paraId="7FDEB2AB" w14:textId="7FF8B847" w:rsidR="007E514D" w:rsidRDefault="007E514D">
          <w:pPr>
            <w:pStyle w:val="TOC2"/>
            <w:tabs>
              <w:tab w:val="right" w:leader="dot" w:pos="9350"/>
            </w:tabs>
            <w:rPr>
              <w:noProof/>
            </w:rPr>
          </w:pPr>
          <w:hyperlink w:anchor="_Toc223873420" w:history="1">
            <w:r w:rsidRPr="0086095D">
              <w:rPr>
                <w:rStyle w:val="Hyperlink"/>
                <w:noProof/>
              </w:rPr>
              <w:t>2. Data</w:t>
            </w:r>
            <w:r>
              <w:rPr>
                <w:noProof/>
                <w:webHidden/>
              </w:rPr>
              <w:tab/>
            </w:r>
            <w:r>
              <w:rPr>
                <w:noProof/>
                <w:webHidden/>
              </w:rPr>
              <w:fldChar w:fldCharType="begin"/>
            </w:r>
            <w:r>
              <w:rPr>
                <w:noProof/>
                <w:webHidden/>
              </w:rPr>
              <w:instrText xml:space="preserve"> PAGEREF _Toc223873420 \h </w:instrText>
            </w:r>
            <w:r>
              <w:rPr>
                <w:noProof/>
                <w:webHidden/>
              </w:rPr>
            </w:r>
            <w:r>
              <w:rPr>
                <w:noProof/>
                <w:webHidden/>
              </w:rPr>
              <w:fldChar w:fldCharType="separate"/>
            </w:r>
            <w:r>
              <w:rPr>
                <w:noProof/>
                <w:webHidden/>
              </w:rPr>
              <w:t>4</w:t>
            </w:r>
            <w:r>
              <w:rPr>
                <w:noProof/>
                <w:webHidden/>
              </w:rPr>
              <w:fldChar w:fldCharType="end"/>
            </w:r>
          </w:hyperlink>
        </w:p>
        <w:p w14:paraId="1D794575" w14:textId="5774D373" w:rsidR="007E514D" w:rsidRDefault="007E514D">
          <w:pPr>
            <w:pStyle w:val="TOC3"/>
            <w:tabs>
              <w:tab w:val="right" w:leader="dot" w:pos="9350"/>
            </w:tabs>
            <w:rPr>
              <w:noProof/>
            </w:rPr>
          </w:pPr>
          <w:hyperlink w:anchor="_Toc223873421" w:history="1">
            <w:r w:rsidRPr="0086095D">
              <w:rPr>
                <w:rStyle w:val="Hyperlink"/>
                <w:noProof/>
              </w:rPr>
              <w:t>2.1 Administrative Budget Data</w:t>
            </w:r>
            <w:r>
              <w:rPr>
                <w:noProof/>
                <w:webHidden/>
              </w:rPr>
              <w:tab/>
            </w:r>
            <w:r>
              <w:rPr>
                <w:noProof/>
                <w:webHidden/>
              </w:rPr>
              <w:fldChar w:fldCharType="begin"/>
            </w:r>
            <w:r>
              <w:rPr>
                <w:noProof/>
                <w:webHidden/>
              </w:rPr>
              <w:instrText xml:space="preserve"> PAGEREF _Toc223873421 \h </w:instrText>
            </w:r>
            <w:r>
              <w:rPr>
                <w:noProof/>
                <w:webHidden/>
              </w:rPr>
            </w:r>
            <w:r>
              <w:rPr>
                <w:noProof/>
                <w:webHidden/>
              </w:rPr>
              <w:fldChar w:fldCharType="separate"/>
            </w:r>
            <w:r>
              <w:rPr>
                <w:noProof/>
                <w:webHidden/>
              </w:rPr>
              <w:t>4</w:t>
            </w:r>
            <w:r>
              <w:rPr>
                <w:noProof/>
                <w:webHidden/>
              </w:rPr>
              <w:fldChar w:fldCharType="end"/>
            </w:r>
          </w:hyperlink>
        </w:p>
        <w:p w14:paraId="506A4C61" w14:textId="43D069A6" w:rsidR="007E514D" w:rsidRDefault="007E514D">
          <w:pPr>
            <w:pStyle w:val="TOC3"/>
            <w:tabs>
              <w:tab w:val="right" w:leader="dot" w:pos="9350"/>
            </w:tabs>
            <w:rPr>
              <w:noProof/>
            </w:rPr>
          </w:pPr>
          <w:hyperlink w:anchor="_Toc223873422" w:history="1">
            <w:r w:rsidRPr="0086095D">
              <w:rPr>
                <w:rStyle w:val="Hyperlink"/>
                <w:noProof/>
              </w:rPr>
              <w:t>2.2 Census Income Distribution Data</w:t>
            </w:r>
            <w:r>
              <w:rPr>
                <w:noProof/>
                <w:webHidden/>
              </w:rPr>
              <w:tab/>
            </w:r>
            <w:r>
              <w:rPr>
                <w:noProof/>
                <w:webHidden/>
              </w:rPr>
              <w:fldChar w:fldCharType="begin"/>
            </w:r>
            <w:r>
              <w:rPr>
                <w:noProof/>
                <w:webHidden/>
              </w:rPr>
              <w:instrText xml:space="preserve"> PAGEREF _Toc223873422 \h </w:instrText>
            </w:r>
            <w:r>
              <w:rPr>
                <w:noProof/>
                <w:webHidden/>
              </w:rPr>
            </w:r>
            <w:r>
              <w:rPr>
                <w:noProof/>
                <w:webHidden/>
              </w:rPr>
              <w:fldChar w:fldCharType="separate"/>
            </w:r>
            <w:r>
              <w:rPr>
                <w:noProof/>
                <w:webHidden/>
              </w:rPr>
              <w:t>5</w:t>
            </w:r>
            <w:r>
              <w:rPr>
                <w:noProof/>
                <w:webHidden/>
              </w:rPr>
              <w:fldChar w:fldCharType="end"/>
            </w:r>
          </w:hyperlink>
        </w:p>
        <w:p w14:paraId="19010BE5" w14:textId="036DCCEC" w:rsidR="007E514D" w:rsidRDefault="007E514D">
          <w:pPr>
            <w:pStyle w:val="TOC3"/>
            <w:tabs>
              <w:tab w:val="right" w:leader="dot" w:pos="9350"/>
            </w:tabs>
            <w:rPr>
              <w:noProof/>
            </w:rPr>
          </w:pPr>
          <w:hyperlink w:anchor="_Toc223873423" w:history="1">
            <w:r w:rsidRPr="0086095D">
              <w:rPr>
                <w:rStyle w:val="Hyperlink"/>
                <w:noProof/>
              </w:rPr>
              <w:t>2.3 Consumer Expenditure Survey</w:t>
            </w:r>
            <w:r>
              <w:rPr>
                <w:noProof/>
                <w:webHidden/>
              </w:rPr>
              <w:tab/>
            </w:r>
            <w:r>
              <w:rPr>
                <w:noProof/>
                <w:webHidden/>
              </w:rPr>
              <w:fldChar w:fldCharType="begin"/>
            </w:r>
            <w:r>
              <w:rPr>
                <w:noProof/>
                <w:webHidden/>
              </w:rPr>
              <w:instrText xml:space="preserve"> PAGEREF _Toc223873423 \h </w:instrText>
            </w:r>
            <w:r>
              <w:rPr>
                <w:noProof/>
                <w:webHidden/>
              </w:rPr>
            </w:r>
            <w:r>
              <w:rPr>
                <w:noProof/>
                <w:webHidden/>
              </w:rPr>
              <w:fldChar w:fldCharType="separate"/>
            </w:r>
            <w:r>
              <w:rPr>
                <w:noProof/>
                <w:webHidden/>
              </w:rPr>
              <w:t>5</w:t>
            </w:r>
            <w:r>
              <w:rPr>
                <w:noProof/>
                <w:webHidden/>
              </w:rPr>
              <w:fldChar w:fldCharType="end"/>
            </w:r>
          </w:hyperlink>
        </w:p>
        <w:p w14:paraId="5831FDD2" w14:textId="10B77B41" w:rsidR="007E514D" w:rsidRDefault="007E514D">
          <w:pPr>
            <w:pStyle w:val="TOC3"/>
            <w:tabs>
              <w:tab w:val="right" w:leader="dot" w:pos="9350"/>
            </w:tabs>
            <w:rPr>
              <w:noProof/>
            </w:rPr>
          </w:pPr>
          <w:hyperlink w:anchor="_Toc223873424" w:history="1">
            <w:r w:rsidRPr="0086095D">
              <w:rPr>
                <w:rStyle w:val="Hyperlink"/>
                <w:noProof/>
              </w:rPr>
              <w:t>2.4 CPI Sub-Indices</w:t>
            </w:r>
            <w:r>
              <w:rPr>
                <w:noProof/>
                <w:webHidden/>
              </w:rPr>
              <w:tab/>
            </w:r>
            <w:r>
              <w:rPr>
                <w:noProof/>
                <w:webHidden/>
              </w:rPr>
              <w:fldChar w:fldCharType="begin"/>
            </w:r>
            <w:r>
              <w:rPr>
                <w:noProof/>
                <w:webHidden/>
              </w:rPr>
              <w:instrText xml:space="preserve"> PAGEREF _Toc223873424 \h </w:instrText>
            </w:r>
            <w:r>
              <w:rPr>
                <w:noProof/>
                <w:webHidden/>
              </w:rPr>
            </w:r>
            <w:r>
              <w:rPr>
                <w:noProof/>
                <w:webHidden/>
              </w:rPr>
              <w:fldChar w:fldCharType="separate"/>
            </w:r>
            <w:r>
              <w:rPr>
                <w:noProof/>
                <w:webHidden/>
              </w:rPr>
              <w:t>5</w:t>
            </w:r>
            <w:r>
              <w:rPr>
                <w:noProof/>
                <w:webHidden/>
              </w:rPr>
              <w:fldChar w:fldCharType="end"/>
            </w:r>
          </w:hyperlink>
        </w:p>
        <w:p w14:paraId="10E352E2" w14:textId="2040D686" w:rsidR="007E514D" w:rsidRDefault="007E514D">
          <w:pPr>
            <w:pStyle w:val="TOC3"/>
            <w:tabs>
              <w:tab w:val="right" w:leader="dot" w:pos="9350"/>
            </w:tabs>
            <w:rPr>
              <w:noProof/>
            </w:rPr>
          </w:pPr>
          <w:hyperlink w:anchor="_Toc223873425" w:history="1">
            <w:r w:rsidRPr="0086095D">
              <w:rPr>
                <w:rStyle w:val="Hyperlink"/>
                <w:noProof/>
              </w:rPr>
              <w:t>2.5 Inflation Adjustment</w:t>
            </w:r>
            <w:r>
              <w:rPr>
                <w:noProof/>
                <w:webHidden/>
              </w:rPr>
              <w:tab/>
            </w:r>
            <w:r>
              <w:rPr>
                <w:noProof/>
                <w:webHidden/>
              </w:rPr>
              <w:fldChar w:fldCharType="begin"/>
            </w:r>
            <w:r>
              <w:rPr>
                <w:noProof/>
                <w:webHidden/>
              </w:rPr>
              <w:instrText xml:space="preserve"> PAGEREF _Toc223873425 \h </w:instrText>
            </w:r>
            <w:r>
              <w:rPr>
                <w:noProof/>
                <w:webHidden/>
              </w:rPr>
            </w:r>
            <w:r>
              <w:rPr>
                <w:noProof/>
                <w:webHidden/>
              </w:rPr>
              <w:fldChar w:fldCharType="separate"/>
            </w:r>
            <w:r>
              <w:rPr>
                <w:noProof/>
                <w:webHidden/>
              </w:rPr>
              <w:t>6</w:t>
            </w:r>
            <w:r>
              <w:rPr>
                <w:noProof/>
                <w:webHidden/>
              </w:rPr>
              <w:fldChar w:fldCharType="end"/>
            </w:r>
          </w:hyperlink>
        </w:p>
        <w:p w14:paraId="7BEF69A9" w14:textId="3094070E" w:rsidR="007E514D" w:rsidRDefault="007E514D">
          <w:pPr>
            <w:pStyle w:val="TOC2"/>
            <w:tabs>
              <w:tab w:val="right" w:leader="dot" w:pos="9350"/>
            </w:tabs>
            <w:rPr>
              <w:noProof/>
            </w:rPr>
          </w:pPr>
          <w:hyperlink w:anchor="_Toc223873426" w:history="1">
            <w:r w:rsidRPr="0086095D">
              <w:rPr>
                <w:rStyle w:val="Hyperlink"/>
                <w:noProof/>
              </w:rPr>
              <w:t>3. Conceptual Framework</w:t>
            </w:r>
            <w:r>
              <w:rPr>
                <w:noProof/>
                <w:webHidden/>
              </w:rPr>
              <w:tab/>
            </w:r>
            <w:r>
              <w:rPr>
                <w:noProof/>
                <w:webHidden/>
              </w:rPr>
              <w:fldChar w:fldCharType="begin"/>
            </w:r>
            <w:r>
              <w:rPr>
                <w:noProof/>
                <w:webHidden/>
              </w:rPr>
              <w:instrText xml:space="preserve"> PAGEREF _Toc223873426 \h </w:instrText>
            </w:r>
            <w:r>
              <w:rPr>
                <w:noProof/>
                <w:webHidden/>
              </w:rPr>
            </w:r>
            <w:r>
              <w:rPr>
                <w:noProof/>
                <w:webHidden/>
              </w:rPr>
              <w:fldChar w:fldCharType="separate"/>
            </w:r>
            <w:r>
              <w:rPr>
                <w:noProof/>
                <w:webHidden/>
              </w:rPr>
              <w:t>6</w:t>
            </w:r>
            <w:r>
              <w:rPr>
                <w:noProof/>
                <w:webHidden/>
              </w:rPr>
              <w:fldChar w:fldCharType="end"/>
            </w:r>
          </w:hyperlink>
        </w:p>
        <w:p w14:paraId="2AB57620" w14:textId="4C900E8C" w:rsidR="007E514D" w:rsidRDefault="007E514D">
          <w:pPr>
            <w:pStyle w:val="TOC3"/>
            <w:tabs>
              <w:tab w:val="right" w:leader="dot" w:pos="9350"/>
            </w:tabs>
            <w:rPr>
              <w:noProof/>
            </w:rPr>
          </w:pPr>
          <w:hyperlink w:anchor="_Toc223873427" w:history="1">
            <w:r w:rsidRPr="0086095D">
              <w:rPr>
                <w:rStyle w:val="Hyperlink"/>
                <w:noProof/>
              </w:rPr>
              <w:t>3.1 Three Channels of Fiscal Incidence</w:t>
            </w:r>
            <w:r>
              <w:rPr>
                <w:noProof/>
                <w:webHidden/>
              </w:rPr>
              <w:tab/>
            </w:r>
            <w:r>
              <w:rPr>
                <w:noProof/>
                <w:webHidden/>
              </w:rPr>
              <w:fldChar w:fldCharType="begin"/>
            </w:r>
            <w:r>
              <w:rPr>
                <w:noProof/>
                <w:webHidden/>
              </w:rPr>
              <w:instrText xml:space="preserve"> PAGEREF _Toc223873427 \h </w:instrText>
            </w:r>
            <w:r>
              <w:rPr>
                <w:noProof/>
                <w:webHidden/>
              </w:rPr>
            </w:r>
            <w:r>
              <w:rPr>
                <w:noProof/>
                <w:webHidden/>
              </w:rPr>
              <w:fldChar w:fldCharType="separate"/>
            </w:r>
            <w:r>
              <w:rPr>
                <w:noProof/>
                <w:webHidden/>
              </w:rPr>
              <w:t>6</w:t>
            </w:r>
            <w:r>
              <w:rPr>
                <w:noProof/>
                <w:webHidden/>
              </w:rPr>
              <w:fldChar w:fldCharType="end"/>
            </w:r>
          </w:hyperlink>
        </w:p>
        <w:p w14:paraId="0E817BAD" w14:textId="65E4A07D" w:rsidR="007E514D" w:rsidRDefault="007E514D">
          <w:pPr>
            <w:pStyle w:val="TOC3"/>
            <w:tabs>
              <w:tab w:val="right" w:leader="dot" w:pos="9350"/>
            </w:tabs>
            <w:rPr>
              <w:noProof/>
            </w:rPr>
          </w:pPr>
          <w:hyperlink w:anchor="_Toc223873428" w:history="1">
            <w:r w:rsidRPr="0086095D">
              <w:rPr>
                <w:rStyle w:val="Hyperlink"/>
                <w:noProof/>
              </w:rPr>
              <w:t>3.2 Trend vs. Discontinuity</w:t>
            </w:r>
            <w:r>
              <w:rPr>
                <w:noProof/>
                <w:webHidden/>
              </w:rPr>
              <w:tab/>
            </w:r>
            <w:r>
              <w:rPr>
                <w:noProof/>
                <w:webHidden/>
              </w:rPr>
              <w:fldChar w:fldCharType="begin"/>
            </w:r>
            <w:r>
              <w:rPr>
                <w:noProof/>
                <w:webHidden/>
              </w:rPr>
              <w:instrText xml:space="preserve"> PAGEREF _Toc223873428 \h </w:instrText>
            </w:r>
            <w:r>
              <w:rPr>
                <w:noProof/>
                <w:webHidden/>
              </w:rPr>
            </w:r>
            <w:r>
              <w:rPr>
                <w:noProof/>
                <w:webHidden/>
              </w:rPr>
              <w:fldChar w:fldCharType="separate"/>
            </w:r>
            <w:r>
              <w:rPr>
                <w:noProof/>
                <w:webHidden/>
              </w:rPr>
              <w:t>6</w:t>
            </w:r>
            <w:r>
              <w:rPr>
                <w:noProof/>
                <w:webHidden/>
              </w:rPr>
              <w:fldChar w:fldCharType="end"/>
            </w:r>
          </w:hyperlink>
        </w:p>
        <w:p w14:paraId="18724B5B" w14:textId="5517B2D4" w:rsidR="007E514D" w:rsidRDefault="007E514D">
          <w:pPr>
            <w:pStyle w:val="TOC3"/>
            <w:tabs>
              <w:tab w:val="right" w:leader="dot" w:pos="9350"/>
            </w:tabs>
            <w:rPr>
              <w:noProof/>
            </w:rPr>
          </w:pPr>
          <w:hyperlink w:anchor="_Toc223873429" w:history="1">
            <w:r w:rsidRPr="0086095D">
              <w:rPr>
                <w:rStyle w:val="Hyperlink"/>
                <w:noProof/>
              </w:rPr>
              <w:t>3.3 Interaction Effects</w:t>
            </w:r>
            <w:r>
              <w:rPr>
                <w:noProof/>
                <w:webHidden/>
              </w:rPr>
              <w:tab/>
            </w:r>
            <w:r>
              <w:rPr>
                <w:noProof/>
                <w:webHidden/>
              </w:rPr>
              <w:fldChar w:fldCharType="begin"/>
            </w:r>
            <w:r>
              <w:rPr>
                <w:noProof/>
                <w:webHidden/>
              </w:rPr>
              <w:instrText xml:space="preserve"> PAGEREF _Toc223873429 \h </w:instrText>
            </w:r>
            <w:r>
              <w:rPr>
                <w:noProof/>
                <w:webHidden/>
              </w:rPr>
            </w:r>
            <w:r>
              <w:rPr>
                <w:noProof/>
                <w:webHidden/>
              </w:rPr>
              <w:fldChar w:fldCharType="separate"/>
            </w:r>
            <w:r>
              <w:rPr>
                <w:noProof/>
                <w:webHidden/>
              </w:rPr>
              <w:t>7</w:t>
            </w:r>
            <w:r>
              <w:rPr>
                <w:noProof/>
                <w:webHidden/>
              </w:rPr>
              <w:fldChar w:fldCharType="end"/>
            </w:r>
          </w:hyperlink>
        </w:p>
        <w:p w14:paraId="73C19BAD" w14:textId="37293C3B" w:rsidR="007E514D" w:rsidRDefault="007E514D">
          <w:pPr>
            <w:pStyle w:val="TOC2"/>
            <w:tabs>
              <w:tab w:val="right" w:leader="dot" w:pos="9350"/>
            </w:tabs>
            <w:rPr>
              <w:noProof/>
            </w:rPr>
          </w:pPr>
          <w:hyperlink w:anchor="_Toc223873430" w:history="1">
            <w:r w:rsidRPr="0086095D">
              <w:rPr>
                <w:rStyle w:val="Hyperlink"/>
                <w:noProof/>
              </w:rPr>
              <w:t>4. Empirical Strategy</w:t>
            </w:r>
            <w:r>
              <w:rPr>
                <w:noProof/>
                <w:webHidden/>
              </w:rPr>
              <w:tab/>
            </w:r>
            <w:r>
              <w:rPr>
                <w:noProof/>
                <w:webHidden/>
              </w:rPr>
              <w:fldChar w:fldCharType="begin"/>
            </w:r>
            <w:r>
              <w:rPr>
                <w:noProof/>
                <w:webHidden/>
              </w:rPr>
              <w:instrText xml:space="preserve"> PAGEREF _Toc223873430 \h </w:instrText>
            </w:r>
            <w:r>
              <w:rPr>
                <w:noProof/>
                <w:webHidden/>
              </w:rPr>
            </w:r>
            <w:r>
              <w:rPr>
                <w:noProof/>
                <w:webHidden/>
              </w:rPr>
              <w:fldChar w:fldCharType="separate"/>
            </w:r>
            <w:r>
              <w:rPr>
                <w:noProof/>
                <w:webHidden/>
              </w:rPr>
              <w:t>7</w:t>
            </w:r>
            <w:r>
              <w:rPr>
                <w:noProof/>
                <w:webHidden/>
              </w:rPr>
              <w:fldChar w:fldCharType="end"/>
            </w:r>
          </w:hyperlink>
        </w:p>
        <w:p w14:paraId="657E2FD6" w14:textId="2C331766" w:rsidR="007E514D" w:rsidRDefault="007E514D">
          <w:pPr>
            <w:pStyle w:val="TOC3"/>
            <w:tabs>
              <w:tab w:val="right" w:leader="dot" w:pos="9350"/>
            </w:tabs>
            <w:rPr>
              <w:noProof/>
            </w:rPr>
          </w:pPr>
          <w:hyperlink w:anchor="_Toc223873431" w:history="1">
            <w:r w:rsidRPr="0086095D">
              <w:rPr>
                <w:rStyle w:val="Hyperlink"/>
                <w:noProof/>
              </w:rPr>
              <w:t>4.1 Structural Break Identification</w:t>
            </w:r>
            <w:r>
              <w:rPr>
                <w:noProof/>
                <w:webHidden/>
              </w:rPr>
              <w:tab/>
            </w:r>
            <w:r>
              <w:rPr>
                <w:noProof/>
                <w:webHidden/>
              </w:rPr>
              <w:fldChar w:fldCharType="begin"/>
            </w:r>
            <w:r>
              <w:rPr>
                <w:noProof/>
                <w:webHidden/>
              </w:rPr>
              <w:instrText xml:space="preserve"> PAGEREF _Toc223873431 \h </w:instrText>
            </w:r>
            <w:r>
              <w:rPr>
                <w:noProof/>
                <w:webHidden/>
              </w:rPr>
            </w:r>
            <w:r>
              <w:rPr>
                <w:noProof/>
                <w:webHidden/>
              </w:rPr>
              <w:fldChar w:fldCharType="separate"/>
            </w:r>
            <w:r>
              <w:rPr>
                <w:noProof/>
                <w:webHidden/>
              </w:rPr>
              <w:t>7</w:t>
            </w:r>
            <w:r>
              <w:rPr>
                <w:noProof/>
                <w:webHidden/>
              </w:rPr>
              <w:fldChar w:fldCharType="end"/>
            </w:r>
          </w:hyperlink>
        </w:p>
        <w:p w14:paraId="34FE057A" w14:textId="36748CE6" w:rsidR="007E514D" w:rsidRDefault="007E514D">
          <w:pPr>
            <w:pStyle w:val="TOC3"/>
            <w:tabs>
              <w:tab w:val="right" w:leader="dot" w:pos="9350"/>
            </w:tabs>
            <w:rPr>
              <w:noProof/>
            </w:rPr>
          </w:pPr>
          <w:hyperlink w:anchor="_Toc223873432" w:history="1">
            <w:r w:rsidRPr="0086095D">
              <w:rPr>
                <w:rStyle w:val="Hyperlink"/>
                <w:noProof/>
              </w:rPr>
              <w:t>4.2 Aggregate Fiscal Accounting</w:t>
            </w:r>
            <w:r>
              <w:rPr>
                <w:noProof/>
                <w:webHidden/>
              </w:rPr>
              <w:tab/>
            </w:r>
            <w:r>
              <w:rPr>
                <w:noProof/>
                <w:webHidden/>
              </w:rPr>
              <w:fldChar w:fldCharType="begin"/>
            </w:r>
            <w:r>
              <w:rPr>
                <w:noProof/>
                <w:webHidden/>
              </w:rPr>
              <w:instrText xml:space="preserve"> PAGEREF _Toc223873432 \h </w:instrText>
            </w:r>
            <w:r>
              <w:rPr>
                <w:noProof/>
                <w:webHidden/>
              </w:rPr>
            </w:r>
            <w:r>
              <w:rPr>
                <w:noProof/>
                <w:webHidden/>
              </w:rPr>
              <w:fldChar w:fldCharType="separate"/>
            </w:r>
            <w:r>
              <w:rPr>
                <w:noProof/>
                <w:webHidden/>
              </w:rPr>
              <w:t>8</w:t>
            </w:r>
            <w:r>
              <w:rPr>
                <w:noProof/>
                <w:webHidden/>
              </w:rPr>
              <w:fldChar w:fldCharType="end"/>
            </w:r>
          </w:hyperlink>
        </w:p>
        <w:p w14:paraId="1024DFE8" w14:textId="41501773" w:rsidR="007E514D" w:rsidRDefault="007E514D">
          <w:pPr>
            <w:pStyle w:val="TOC3"/>
            <w:tabs>
              <w:tab w:val="right" w:leader="dot" w:pos="9350"/>
            </w:tabs>
            <w:rPr>
              <w:noProof/>
            </w:rPr>
          </w:pPr>
          <w:hyperlink w:anchor="_Toc223873433" w:history="1">
            <w:r w:rsidRPr="0086095D">
              <w:rPr>
                <w:rStyle w:val="Hyperlink"/>
                <w:noProof/>
              </w:rPr>
              <w:t>4.3 Tariff Price Pass-Through</w:t>
            </w:r>
            <w:r>
              <w:rPr>
                <w:noProof/>
                <w:webHidden/>
              </w:rPr>
              <w:tab/>
            </w:r>
            <w:r>
              <w:rPr>
                <w:noProof/>
                <w:webHidden/>
              </w:rPr>
              <w:fldChar w:fldCharType="begin"/>
            </w:r>
            <w:r>
              <w:rPr>
                <w:noProof/>
                <w:webHidden/>
              </w:rPr>
              <w:instrText xml:space="preserve"> PAGEREF _Toc223873433 \h </w:instrText>
            </w:r>
            <w:r>
              <w:rPr>
                <w:noProof/>
                <w:webHidden/>
              </w:rPr>
            </w:r>
            <w:r>
              <w:rPr>
                <w:noProof/>
                <w:webHidden/>
              </w:rPr>
              <w:fldChar w:fldCharType="separate"/>
            </w:r>
            <w:r>
              <w:rPr>
                <w:noProof/>
                <w:webHidden/>
              </w:rPr>
              <w:t>8</w:t>
            </w:r>
            <w:r>
              <w:rPr>
                <w:noProof/>
                <w:webHidden/>
              </w:rPr>
              <w:fldChar w:fldCharType="end"/>
            </w:r>
          </w:hyperlink>
        </w:p>
        <w:p w14:paraId="71AE7ECD" w14:textId="002996C3" w:rsidR="007E514D" w:rsidRDefault="007E514D">
          <w:pPr>
            <w:pStyle w:val="TOC3"/>
            <w:tabs>
              <w:tab w:val="right" w:leader="dot" w:pos="9350"/>
            </w:tabs>
            <w:rPr>
              <w:noProof/>
            </w:rPr>
          </w:pPr>
          <w:hyperlink w:anchor="_Toc223873434" w:history="1">
            <w:r w:rsidRPr="0086095D">
              <w:rPr>
                <w:rStyle w:val="Hyperlink"/>
                <w:noProof/>
              </w:rPr>
              <w:t>4.4 Distributional Attribution</w:t>
            </w:r>
            <w:r>
              <w:rPr>
                <w:noProof/>
                <w:webHidden/>
              </w:rPr>
              <w:tab/>
            </w:r>
            <w:r>
              <w:rPr>
                <w:noProof/>
                <w:webHidden/>
              </w:rPr>
              <w:fldChar w:fldCharType="begin"/>
            </w:r>
            <w:r>
              <w:rPr>
                <w:noProof/>
                <w:webHidden/>
              </w:rPr>
              <w:instrText xml:space="preserve"> PAGEREF _Toc223873434 \h </w:instrText>
            </w:r>
            <w:r>
              <w:rPr>
                <w:noProof/>
                <w:webHidden/>
              </w:rPr>
            </w:r>
            <w:r>
              <w:rPr>
                <w:noProof/>
                <w:webHidden/>
              </w:rPr>
              <w:fldChar w:fldCharType="separate"/>
            </w:r>
            <w:r>
              <w:rPr>
                <w:noProof/>
                <w:webHidden/>
              </w:rPr>
              <w:t>8</w:t>
            </w:r>
            <w:r>
              <w:rPr>
                <w:noProof/>
                <w:webHidden/>
              </w:rPr>
              <w:fldChar w:fldCharType="end"/>
            </w:r>
          </w:hyperlink>
        </w:p>
        <w:p w14:paraId="4E436F2A" w14:textId="6F8FC4CE" w:rsidR="007E514D" w:rsidRDefault="007E514D">
          <w:pPr>
            <w:pStyle w:val="TOC3"/>
            <w:tabs>
              <w:tab w:val="right" w:leader="dot" w:pos="9350"/>
            </w:tabs>
            <w:rPr>
              <w:noProof/>
            </w:rPr>
          </w:pPr>
          <w:hyperlink w:anchor="_Toc223873435" w:history="1">
            <w:r w:rsidRPr="0086095D">
              <w:rPr>
                <w:rStyle w:val="Hyperlink"/>
                <w:noProof/>
              </w:rPr>
              <w:t>4.5 Robustness Design</w:t>
            </w:r>
            <w:r>
              <w:rPr>
                <w:noProof/>
                <w:webHidden/>
              </w:rPr>
              <w:tab/>
            </w:r>
            <w:r>
              <w:rPr>
                <w:noProof/>
                <w:webHidden/>
              </w:rPr>
              <w:fldChar w:fldCharType="begin"/>
            </w:r>
            <w:r>
              <w:rPr>
                <w:noProof/>
                <w:webHidden/>
              </w:rPr>
              <w:instrText xml:space="preserve"> PAGEREF _Toc223873435 \h </w:instrText>
            </w:r>
            <w:r>
              <w:rPr>
                <w:noProof/>
                <w:webHidden/>
              </w:rPr>
            </w:r>
            <w:r>
              <w:rPr>
                <w:noProof/>
                <w:webHidden/>
              </w:rPr>
              <w:fldChar w:fldCharType="separate"/>
            </w:r>
            <w:r>
              <w:rPr>
                <w:noProof/>
                <w:webHidden/>
              </w:rPr>
              <w:t>9</w:t>
            </w:r>
            <w:r>
              <w:rPr>
                <w:noProof/>
                <w:webHidden/>
              </w:rPr>
              <w:fldChar w:fldCharType="end"/>
            </w:r>
          </w:hyperlink>
        </w:p>
        <w:p w14:paraId="0C0C7F4B" w14:textId="733D48EE" w:rsidR="007E514D" w:rsidRDefault="007E514D">
          <w:pPr>
            <w:pStyle w:val="TOC2"/>
            <w:tabs>
              <w:tab w:val="right" w:leader="dot" w:pos="9350"/>
            </w:tabs>
            <w:rPr>
              <w:noProof/>
            </w:rPr>
          </w:pPr>
          <w:hyperlink w:anchor="_Toc223873436" w:history="1">
            <w:r w:rsidRPr="0086095D">
              <w:rPr>
                <w:rStyle w:val="Hyperlink"/>
                <w:noProof/>
              </w:rPr>
              <w:t>5. Results I: Structural Break Classification</w:t>
            </w:r>
            <w:r>
              <w:rPr>
                <w:noProof/>
                <w:webHidden/>
              </w:rPr>
              <w:tab/>
            </w:r>
            <w:r>
              <w:rPr>
                <w:noProof/>
                <w:webHidden/>
              </w:rPr>
              <w:fldChar w:fldCharType="begin"/>
            </w:r>
            <w:r>
              <w:rPr>
                <w:noProof/>
                <w:webHidden/>
              </w:rPr>
              <w:instrText xml:space="preserve"> PAGEREF _Toc223873436 \h </w:instrText>
            </w:r>
            <w:r>
              <w:rPr>
                <w:noProof/>
                <w:webHidden/>
              </w:rPr>
            </w:r>
            <w:r>
              <w:rPr>
                <w:noProof/>
                <w:webHidden/>
              </w:rPr>
              <w:fldChar w:fldCharType="separate"/>
            </w:r>
            <w:r>
              <w:rPr>
                <w:noProof/>
                <w:webHidden/>
              </w:rPr>
              <w:t>9</w:t>
            </w:r>
            <w:r>
              <w:rPr>
                <w:noProof/>
                <w:webHidden/>
              </w:rPr>
              <w:fldChar w:fldCharType="end"/>
            </w:r>
          </w:hyperlink>
        </w:p>
        <w:p w14:paraId="567C1C56" w14:textId="25E29AAE" w:rsidR="007E514D" w:rsidRDefault="007E514D">
          <w:pPr>
            <w:pStyle w:val="TOC3"/>
            <w:tabs>
              <w:tab w:val="right" w:leader="dot" w:pos="9350"/>
            </w:tabs>
            <w:rPr>
              <w:noProof/>
            </w:rPr>
          </w:pPr>
          <w:hyperlink w:anchor="_Toc223873437" w:history="1">
            <w:r w:rsidRPr="0086095D">
              <w:rPr>
                <w:rStyle w:val="Hyperlink"/>
                <w:noProof/>
              </w:rPr>
              <w:t>5.1 The 26-Year Fiscal Trajectory</w:t>
            </w:r>
            <w:r>
              <w:rPr>
                <w:noProof/>
                <w:webHidden/>
              </w:rPr>
              <w:tab/>
            </w:r>
            <w:r>
              <w:rPr>
                <w:noProof/>
                <w:webHidden/>
              </w:rPr>
              <w:fldChar w:fldCharType="begin"/>
            </w:r>
            <w:r>
              <w:rPr>
                <w:noProof/>
                <w:webHidden/>
              </w:rPr>
              <w:instrText xml:space="preserve"> PAGEREF _Toc223873437 \h </w:instrText>
            </w:r>
            <w:r>
              <w:rPr>
                <w:noProof/>
                <w:webHidden/>
              </w:rPr>
            </w:r>
            <w:r>
              <w:rPr>
                <w:noProof/>
                <w:webHidden/>
              </w:rPr>
              <w:fldChar w:fldCharType="separate"/>
            </w:r>
            <w:r>
              <w:rPr>
                <w:noProof/>
                <w:webHidden/>
              </w:rPr>
              <w:t>9</w:t>
            </w:r>
            <w:r>
              <w:rPr>
                <w:noProof/>
                <w:webHidden/>
              </w:rPr>
              <w:fldChar w:fldCharType="end"/>
            </w:r>
          </w:hyperlink>
        </w:p>
        <w:p w14:paraId="72580301" w14:textId="2CED0AB4" w:rsidR="007E514D" w:rsidRDefault="007E514D">
          <w:pPr>
            <w:pStyle w:val="TOC3"/>
            <w:tabs>
              <w:tab w:val="right" w:leader="dot" w:pos="9350"/>
            </w:tabs>
            <w:rPr>
              <w:noProof/>
            </w:rPr>
          </w:pPr>
          <w:hyperlink w:anchor="_Toc223873438" w:history="1">
            <w:r w:rsidRPr="0086095D">
              <w:rPr>
                <w:rStyle w:val="Hyperlink"/>
                <w:noProof/>
              </w:rPr>
              <w:t>5.2 Structural Break Test Results</w:t>
            </w:r>
            <w:r>
              <w:rPr>
                <w:noProof/>
                <w:webHidden/>
              </w:rPr>
              <w:tab/>
            </w:r>
            <w:r>
              <w:rPr>
                <w:noProof/>
                <w:webHidden/>
              </w:rPr>
              <w:fldChar w:fldCharType="begin"/>
            </w:r>
            <w:r>
              <w:rPr>
                <w:noProof/>
                <w:webHidden/>
              </w:rPr>
              <w:instrText xml:space="preserve"> PAGEREF _Toc223873438 \h </w:instrText>
            </w:r>
            <w:r>
              <w:rPr>
                <w:noProof/>
                <w:webHidden/>
              </w:rPr>
            </w:r>
            <w:r>
              <w:rPr>
                <w:noProof/>
                <w:webHidden/>
              </w:rPr>
              <w:fldChar w:fldCharType="separate"/>
            </w:r>
            <w:r>
              <w:rPr>
                <w:noProof/>
                <w:webHidden/>
              </w:rPr>
              <w:t>9</w:t>
            </w:r>
            <w:r>
              <w:rPr>
                <w:noProof/>
                <w:webHidden/>
              </w:rPr>
              <w:fldChar w:fldCharType="end"/>
            </w:r>
          </w:hyperlink>
        </w:p>
        <w:p w14:paraId="35782F8E" w14:textId="1A6D4301" w:rsidR="007E514D" w:rsidRDefault="007E514D">
          <w:pPr>
            <w:pStyle w:val="TOC3"/>
            <w:tabs>
              <w:tab w:val="right" w:leader="dot" w:pos="9350"/>
            </w:tabs>
            <w:rPr>
              <w:noProof/>
            </w:rPr>
          </w:pPr>
          <w:hyperlink w:anchor="_Toc223873439" w:history="1">
            <w:r w:rsidRPr="0086095D">
              <w:rPr>
                <w:rStyle w:val="Hyperlink"/>
                <w:noProof/>
              </w:rPr>
              <w:t>5.3 The Aggregate FY2025 Fiscal Shift</w:t>
            </w:r>
            <w:r>
              <w:rPr>
                <w:noProof/>
                <w:webHidden/>
              </w:rPr>
              <w:tab/>
            </w:r>
            <w:r>
              <w:rPr>
                <w:noProof/>
                <w:webHidden/>
              </w:rPr>
              <w:fldChar w:fldCharType="begin"/>
            </w:r>
            <w:r>
              <w:rPr>
                <w:noProof/>
                <w:webHidden/>
              </w:rPr>
              <w:instrText xml:space="preserve"> PAGEREF _Toc223873439 \h </w:instrText>
            </w:r>
            <w:r>
              <w:rPr>
                <w:noProof/>
                <w:webHidden/>
              </w:rPr>
            </w:r>
            <w:r>
              <w:rPr>
                <w:noProof/>
                <w:webHidden/>
              </w:rPr>
              <w:fldChar w:fldCharType="separate"/>
            </w:r>
            <w:r>
              <w:rPr>
                <w:noProof/>
                <w:webHidden/>
              </w:rPr>
              <w:t>10</w:t>
            </w:r>
            <w:r>
              <w:rPr>
                <w:noProof/>
                <w:webHidden/>
              </w:rPr>
              <w:fldChar w:fldCharType="end"/>
            </w:r>
          </w:hyperlink>
        </w:p>
        <w:p w14:paraId="5EC52D88" w14:textId="3EBD24CC" w:rsidR="007E514D" w:rsidRDefault="007E514D">
          <w:pPr>
            <w:pStyle w:val="TOC3"/>
            <w:tabs>
              <w:tab w:val="right" w:leader="dot" w:pos="9350"/>
            </w:tabs>
            <w:rPr>
              <w:noProof/>
            </w:rPr>
          </w:pPr>
          <w:hyperlink w:anchor="_Toc223873440" w:history="1">
            <w:r w:rsidRPr="0086095D">
              <w:rPr>
                <w:rStyle w:val="Hyperlink"/>
                <w:noProof/>
              </w:rPr>
              <w:t>5.4 Tariff Price Pass-Through</w:t>
            </w:r>
            <w:r>
              <w:rPr>
                <w:noProof/>
                <w:webHidden/>
              </w:rPr>
              <w:tab/>
            </w:r>
            <w:r>
              <w:rPr>
                <w:noProof/>
                <w:webHidden/>
              </w:rPr>
              <w:fldChar w:fldCharType="begin"/>
            </w:r>
            <w:r>
              <w:rPr>
                <w:noProof/>
                <w:webHidden/>
              </w:rPr>
              <w:instrText xml:space="preserve"> PAGEREF _Toc223873440 \h </w:instrText>
            </w:r>
            <w:r>
              <w:rPr>
                <w:noProof/>
                <w:webHidden/>
              </w:rPr>
            </w:r>
            <w:r>
              <w:rPr>
                <w:noProof/>
                <w:webHidden/>
              </w:rPr>
              <w:fldChar w:fldCharType="separate"/>
            </w:r>
            <w:r>
              <w:rPr>
                <w:noProof/>
                <w:webHidden/>
              </w:rPr>
              <w:t>11</w:t>
            </w:r>
            <w:r>
              <w:rPr>
                <w:noProof/>
                <w:webHidden/>
              </w:rPr>
              <w:fldChar w:fldCharType="end"/>
            </w:r>
          </w:hyperlink>
        </w:p>
        <w:p w14:paraId="4D70972B" w14:textId="2FF9876A" w:rsidR="007E514D" w:rsidRDefault="007E514D">
          <w:pPr>
            <w:pStyle w:val="TOC2"/>
            <w:tabs>
              <w:tab w:val="right" w:leader="dot" w:pos="9350"/>
            </w:tabs>
            <w:rPr>
              <w:noProof/>
            </w:rPr>
          </w:pPr>
          <w:hyperlink w:anchor="_Toc223873441" w:history="1">
            <w:r w:rsidRPr="0086095D">
              <w:rPr>
                <w:rStyle w:val="Hyperlink"/>
                <w:noProof/>
              </w:rPr>
              <w:t>6. Results II: Distributional Consequences of the Structural Breaks</w:t>
            </w:r>
            <w:r>
              <w:rPr>
                <w:noProof/>
                <w:webHidden/>
              </w:rPr>
              <w:tab/>
            </w:r>
            <w:r>
              <w:rPr>
                <w:noProof/>
                <w:webHidden/>
              </w:rPr>
              <w:fldChar w:fldCharType="begin"/>
            </w:r>
            <w:r>
              <w:rPr>
                <w:noProof/>
                <w:webHidden/>
              </w:rPr>
              <w:instrText xml:space="preserve"> PAGEREF _Toc223873441 \h </w:instrText>
            </w:r>
            <w:r>
              <w:rPr>
                <w:noProof/>
                <w:webHidden/>
              </w:rPr>
            </w:r>
            <w:r>
              <w:rPr>
                <w:noProof/>
                <w:webHidden/>
              </w:rPr>
              <w:fldChar w:fldCharType="separate"/>
            </w:r>
            <w:r>
              <w:rPr>
                <w:noProof/>
                <w:webHidden/>
              </w:rPr>
              <w:t>12</w:t>
            </w:r>
            <w:r>
              <w:rPr>
                <w:noProof/>
                <w:webHidden/>
              </w:rPr>
              <w:fldChar w:fldCharType="end"/>
            </w:r>
          </w:hyperlink>
        </w:p>
        <w:p w14:paraId="73642183" w14:textId="51CC9840" w:rsidR="007E514D" w:rsidRDefault="007E514D">
          <w:pPr>
            <w:pStyle w:val="TOC3"/>
            <w:tabs>
              <w:tab w:val="right" w:leader="dot" w:pos="9350"/>
            </w:tabs>
            <w:rPr>
              <w:noProof/>
            </w:rPr>
          </w:pPr>
          <w:hyperlink w:anchor="_Toc223873442" w:history="1">
            <w:r w:rsidRPr="0086095D">
              <w:rPr>
                <w:rStyle w:val="Hyperlink"/>
                <w:noProof/>
              </w:rPr>
              <w:t>6.1 Who Bears the FY2025 Fiscal Shift?</w:t>
            </w:r>
            <w:r>
              <w:rPr>
                <w:noProof/>
                <w:webHidden/>
              </w:rPr>
              <w:tab/>
            </w:r>
            <w:r>
              <w:rPr>
                <w:noProof/>
                <w:webHidden/>
              </w:rPr>
              <w:fldChar w:fldCharType="begin"/>
            </w:r>
            <w:r>
              <w:rPr>
                <w:noProof/>
                <w:webHidden/>
              </w:rPr>
              <w:instrText xml:space="preserve"> PAGEREF _Toc223873442 \h </w:instrText>
            </w:r>
            <w:r>
              <w:rPr>
                <w:noProof/>
                <w:webHidden/>
              </w:rPr>
            </w:r>
            <w:r>
              <w:rPr>
                <w:noProof/>
                <w:webHidden/>
              </w:rPr>
              <w:fldChar w:fldCharType="separate"/>
            </w:r>
            <w:r>
              <w:rPr>
                <w:noProof/>
                <w:webHidden/>
              </w:rPr>
              <w:t>12</w:t>
            </w:r>
            <w:r>
              <w:rPr>
                <w:noProof/>
                <w:webHidden/>
              </w:rPr>
              <w:fldChar w:fldCharType="end"/>
            </w:r>
          </w:hyperlink>
        </w:p>
        <w:p w14:paraId="63669713" w14:textId="746B6DF0" w:rsidR="007E514D" w:rsidRDefault="007E514D">
          <w:pPr>
            <w:pStyle w:val="TOC3"/>
            <w:tabs>
              <w:tab w:val="right" w:leader="dot" w:pos="9350"/>
            </w:tabs>
            <w:rPr>
              <w:noProof/>
            </w:rPr>
          </w:pPr>
          <w:hyperlink w:anchor="_Toc223873443" w:history="1">
            <w:r w:rsidRPr="0086095D">
              <w:rPr>
                <w:rStyle w:val="Hyperlink"/>
                <w:noProof/>
              </w:rPr>
              <w:t>6.2 Combined B50 Burden</w:t>
            </w:r>
            <w:r>
              <w:rPr>
                <w:noProof/>
                <w:webHidden/>
              </w:rPr>
              <w:tab/>
            </w:r>
            <w:r>
              <w:rPr>
                <w:noProof/>
                <w:webHidden/>
              </w:rPr>
              <w:fldChar w:fldCharType="begin"/>
            </w:r>
            <w:r>
              <w:rPr>
                <w:noProof/>
                <w:webHidden/>
              </w:rPr>
              <w:instrText xml:space="preserve"> PAGEREF _Toc223873443 \h </w:instrText>
            </w:r>
            <w:r>
              <w:rPr>
                <w:noProof/>
                <w:webHidden/>
              </w:rPr>
            </w:r>
            <w:r>
              <w:rPr>
                <w:noProof/>
                <w:webHidden/>
              </w:rPr>
              <w:fldChar w:fldCharType="separate"/>
            </w:r>
            <w:r>
              <w:rPr>
                <w:noProof/>
                <w:webHidden/>
              </w:rPr>
              <w:t>12</w:t>
            </w:r>
            <w:r>
              <w:rPr>
                <w:noProof/>
                <w:webHidden/>
              </w:rPr>
              <w:fldChar w:fldCharType="end"/>
            </w:r>
          </w:hyperlink>
        </w:p>
        <w:p w14:paraId="71BE90BC" w14:textId="4BC8996B" w:rsidR="007E514D" w:rsidRDefault="007E514D">
          <w:pPr>
            <w:pStyle w:val="TOC3"/>
            <w:tabs>
              <w:tab w:val="right" w:leader="dot" w:pos="9350"/>
            </w:tabs>
            <w:rPr>
              <w:noProof/>
            </w:rPr>
          </w:pPr>
          <w:hyperlink w:anchor="_Toc223873444" w:history="1">
            <w:r w:rsidRPr="0086095D">
              <w:rPr>
                <w:rStyle w:val="Hyperlink"/>
                <w:noProof/>
              </w:rPr>
              <w:t>6.3 The Regressivity Gradient</w:t>
            </w:r>
            <w:r>
              <w:rPr>
                <w:noProof/>
                <w:webHidden/>
              </w:rPr>
              <w:tab/>
            </w:r>
            <w:r>
              <w:rPr>
                <w:noProof/>
                <w:webHidden/>
              </w:rPr>
              <w:fldChar w:fldCharType="begin"/>
            </w:r>
            <w:r>
              <w:rPr>
                <w:noProof/>
                <w:webHidden/>
              </w:rPr>
              <w:instrText xml:space="preserve"> PAGEREF _Toc223873444 \h </w:instrText>
            </w:r>
            <w:r>
              <w:rPr>
                <w:noProof/>
                <w:webHidden/>
              </w:rPr>
            </w:r>
            <w:r>
              <w:rPr>
                <w:noProof/>
                <w:webHidden/>
              </w:rPr>
              <w:fldChar w:fldCharType="separate"/>
            </w:r>
            <w:r>
              <w:rPr>
                <w:noProof/>
                <w:webHidden/>
              </w:rPr>
              <w:t>13</w:t>
            </w:r>
            <w:r>
              <w:rPr>
                <w:noProof/>
                <w:webHidden/>
              </w:rPr>
              <w:fldChar w:fldCharType="end"/>
            </w:r>
          </w:hyperlink>
        </w:p>
        <w:p w14:paraId="36C37E86" w14:textId="0064DEBF" w:rsidR="007E514D" w:rsidRDefault="007E514D">
          <w:pPr>
            <w:pStyle w:val="TOC3"/>
            <w:tabs>
              <w:tab w:val="right" w:leader="dot" w:pos="9350"/>
            </w:tabs>
            <w:rPr>
              <w:noProof/>
            </w:rPr>
          </w:pPr>
          <w:hyperlink w:anchor="_Toc223873445" w:history="1">
            <w:r w:rsidRPr="0086095D">
              <w:rPr>
                <w:rStyle w:val="Hyperlink"/>
                <w:noProof/>
              </w:rPr>
              <w:t>6.4 The Interest-Crowding Mechanism</w:t>
            </w:r>
            <w:r>
              <w:rPr>
                <w:noProof/>
                <w:webHidden/>
              </w:rPr>
              <w:tab/>
            </w:r>
            <w:r>
              <w:rPr>
                <w:noProof/>
                <w:webHidden/>
              </w:rPr>
              <w:fldChar w:fldCharType="begin"/>
            </w:r>
            <w:r>
              <w:rPr>
                <w:noProof/>
                <w:webHidden/>
              </w:rPr>
              <w:instrText xml:space="preserve"> PAGEREF _Toc223873445 \h </w:instrText>
            </w:r>
            <w:r>
              <w:rPr>
                <w:noProof/>
                <w:webHidden/>
              </w:rPr>
            </w:r>
            <w:r>
              <w:rPr>
                <w:noProof/>
                <w:webHidden/>
              </w:rPr>
              <w:fldChar w:fldCharType="separate"/>
            </w:r>
            <w:r>
              <w:rPr>
                <w:noProof/>
                <w:webHidden/>
              </w:rPr>
              <w:t>13</w:t>
            </w:r>
            <w:r>
              <w:rPr>
                <w:noProof/>
                <w:webHidden/>
              </w:rPr>
              <w:fldChar w:fldCharType="end"/>
            </w:r>
          </w:hyperlink>
        </w:p>
        <w:p w14:paraId="04D9A8D5" w14:textId="06665197" w:rsidR="007E514D" w:rsidRDefault="007E514D">
          <w:pPr>
            <w:pStyle w:val="TOC2"/>
            <w:tabs>
              <w:tab w:val="right" w:leader="dot" w:pos="9350"/>
            </w:tabs>
            <w:rPr>
              <w:noProof/>
            </w:rPr>
          </w:pPr>
          <w:hyperlink w:anchor="_Toc223873446" w:history="1">
            <w:r w:rsidRPr="0086095D">
              <w:rPr>
                <w:rStyle w:val="Hyperlink"/>
                <w:noProof/>
              </w:rPr>
              <w:t>7. Robustness</w:t>
            </w:r>
            <w:r>
              <w:rPr>
                <w:noProof/>
                <w:webHidden/>
              </w:rPr>
              <w:tab/>
            </w:r>
            <w:r>
              <w:rPr>
                <w:noProof/>
                <w:webHidden/>
              </w:rPr>
              <w:fldChar w:fldCharType="begin"/>
            </w:r>
            <w:r>
              <w:rPr>
                <w:noProof/>
                <w:webHidden/>
              </w:rPr>
              <w:instrText xml:space="preserve"> PAGEREF _Toc223873446 \h </w:instrText>
            </w:r>
            <w:r>
              <w:rPr>
                <w:noProof/>
                <w:webHidden/>
              </w:rPr>
            </w:r>
            <w:r>
              <w:rPr>
                <w:noProof/>
                <w:webHidden/>
              </w:rPr>
              <w:fldChar w:fldCharType="separate"/>
            </w:r>
            <w:r>
              <w:rPr>
                <w:noProof/>
                <w:webHidden/>
              </w:rPr>
              <w:t>13</w:t>
            </w:r>
            <w:r>
              <w:rPr>
                <w:noProof/>
                <w:webHidden/>
              </w:rPr>
              <w:fldChar w:fldCharType="end"/>
            </w:r>
          </w:hyperlink>
        </w:p>
        <w:p w14:paraId="2D2EB82A" w14:textId="3344DA2A" w:rsidR="007E514D" w:rsidRDefault="007E514D">
          <w:pPr>
            <w:pStyle w:val="TOC2"/>
            <w:tabs>
              <w:tab w:val="right" w:leader="dot" w:pos="9350"/>
            </w:tabs>
            <w:rPr>
              <w:noProof/>
            </w:rPr>
          </w:pPr>
          <w:hyperlink w:anchor="_Toc223873447" w:history="1">
            <w:r w:rsidRPr="0086095D">
              <w:rPr>
                <w:rStyle w:val="Hyperlink"/>
                <w:noProof/>
              </w:rPr>
              <w:t>8. Limitations</w:t>
            </w:r>
            <w:r>
              <w:rPr>
                <w:noProof/>
                <w:webHidden/>
              </w:rPr>
              <w:tab/>
            </w:r>
            <w:r>
              <w:rPr>
                <w:noProof/>
                <w:webHidden/>
              </w:rPr>
              <w:fldChar w:fldCharType="begin"/>
            </w:r>
            <w:r>
              <w:rPr>
                <w:noProof/>
                <w:webHidden/>
              </w:rPr>
              <w:instrText xml:space="preserve"> PAGEREF _Toc223873447 \h </w:instrText>
            </w:r>
            <w:r>
              <w:rPr>
                <w:noProof/>
                <w:webHidden/>
              </w:rPr>
            </w:r>
            <w:r>
              <w:rPr>
                <w:noProof/>
                <w:webHidden/>
              </w:rPr>
              <w:fldChar w:fldCharType="separate"/>
            </w:r>
            <w:r>
              <w:rPr>
                <w:noProof/>
                <w:webHidden/>
              </w:rPr>
              <w:t>14</w:t>
            </w:r>
            <w:r>
              <w:rPr>
                <w:noProof/>
                <w:webHidden/>
              </w:rPr>
              <w:fldChar w:fldCharType="end"/>
            </w:r>
          </w:hyperlink>
        </w:p>
        <w:p w14:paraId="745BF35A" w14:textId="053F035A" w:rsidR="007E514D" w:rsidRDefault="007E514D">
          <w:pPr>
            <w:pStyle w:val="TOC2"/>
            <w:tabs>
              <w:tab w:val="right" w:leader="dot" w:pos="9350"/>
            </w:tabs>
            <w:rPr>
              <w:noProof/>
            </w:rPr>
          </w:pPr>
          <w:hyperlink w:anchor="_Toc223873448" w:history="1">
            <w:r w:rsidRPr="0086095D">
              <w:rPr>
                <w:rStyle w:val="Hyperlink"/>
                <w:noProof/>
              </w:rPr>
              <w:t>9. Conclusion</w:t>
            </w:r>
            <w:r>
              <w:rPr>
                <w:noProof/>
                <w:webHidden/>
              </w:rPr>
              <w:tab/>
            </w:r>
            <w:r>
              <w:rPr>
                <w:noProof/>
                <w:webHidden/>
              </w:rPr>
              <w:fldChar w:fldCharType="begin"/>
            </w:r>
            <w:r>
              <w:rPr>
                <w:noProof/>
                <w:webHidden/>
              </w:rPr>
              <w:instrText xml:space="preserve"> PAGEREF _Toc223873448 \h </w:instrText>
            </w:r>
            <w:r>
              <w:rPr>
                <w:noProof/>
                <w:webHidden/>
              </w:rPr>
            </w:r>
            <w:r>
              <w:rPr>
                <w:noProof/>
                <w:webHidden/>
              </w:rPr>
              <w:fldChar w:fldCharType="separate"/>
            </w:r>
            <w:r>
              <w:rPr>
                <w:noProof/>
                <w:webHidden/>
              </w:rPr>
              <w:t>14</w:t>
            </w:r>
            <w:r>
              <w:rPr>
                <w:noProof/>
                <w:webHidden/>
              </w:rPr>
              <w:fldChar w:fldCharType="end"/>
            </w:r>
          </w:hyperlink>
        </w:p>
        <w:p w14:paraId="0693CA92" w14:textId="3772B424" w:rsidR="007E514D" w:rsidRDefault="007E514D">
          <w:pPr>
            <w:pStyle w:val="TOC2"/>
            <w:tabs>
              <w:tab w:val="right" w:leader="dot" w:pos="9350"/>
            </w:tabs>
            <w:rPr>
              <w:noProof/>
            </w:rPr>
          </w:pPr>
          <w:hyperlink w:anchor="_Toc223873449" w:history="1">
            <w:r w:rsidRPr="0086095D">
              <w:rPr>
                <w:rStyle w:val="Hyperlink"/>
                <w:noProof/>
              </w:rPr>
              <w:t>Declaration of Interest</w:t>
            </w:r>
            <w:r>
              <w:rPr>
                <w:noProof/>
                <w:webHidden/>
              </w:rPr>
              <w:tab/>
            </w:r>
            <w:r>
              <w:rPr>
                <w:noProof/>
                <w:webHidden/>
              </w:rPr>
              <w:fldChar w:fldCharType="begin"/>
            </w:r>
            <w:r>
              <w:rPr>
                <w:noProof/>
                <w:webHidden/>
              </w:rPr>
              <w:instrText xml:space="preserve"> PAGEREF _Toc223873449 \h </w:instrText>
            </w:r>
            <w:r>
              <w:rPr>
                <w:noProof/>
                <w:webHidden/>
              </w:rPr>
            </w:r>
            <w:r>
              <w:rPr>
                <w:noProof/>
                <w:webHidden/>
              </w:rPr>
              <w:fldChar w:fldCharType="separate"/>
            </w:r>
            <w:r>
              <w:rPr>
                <w:noProof/>
                <w:webHidden/>
              </w:rPr>
              <w:t>15</w:t>
            </w:r>
            <w:r>
              <w:rPr>
                <w:noProof/>
                <w:webHidden/>
              </w:rPr>
              <w:fldChar w:fldCharType="end"/>
            </w:r>
          </w:hyperlink>
        </w:p>
        <w:p w14:paraId="6ECEF4B7" w14:textId="276E4046" w:rsidR="007E514D" w:rsidRDefault="007E514D">
          <w:pPr>
            <w:pStyle w:val="TOC2"/>
            <w:tabs>
              <w:tab w:val="right" w:leader="dot" w:pos="9350"/>
            </w:tabs>
            <w:rPr>
              <w:noProof/>
            </w:rPr>
          </w:pPr>
          <w:hyperlink w:anchor="_Toc223873450" w:history="1">
            <w:r w:rsidRPr="0086095D">
              <w:rPr>
                <w:rStyle w:val="Hyperlink"/>
                <w:noProof/>
              </w:rPr>
              <w:t>Declaration of Generative AI and AI-Assisted Technologies in the Manuscript Preparation Process</w:t>
            </w:r>
            <w:r>
              <w:rPr>
                <w:noProof/>
                <w:webHidden/>
              </w:rPr>
              <w:tab/>
            </w:r>
            <w:r>
              <w:rPr>
                <w:noProof/>
                <w:webHidden/>
              </w:rPr>
              <w:fldChar w:fldCharType="begin"/>
            </w:r>
            <w:r>
              <w:rPr>
                <w:noProof/>
                <w:webHidden/>
              </w:rPr>
              <w:instrText xml:space="preserve"> PAGEREF _Toc223873450 \h </w:instrText>
            </w:r>
            <w:r>
              <w:rPr>
                <w:noProof/>
                <w:webHidden/>
              </w:rPr>
            </w:r>
            <w:r>
              <w:rPr>
                <w:noProof/>
                <w:webHidden/>
              </w:rPr>
              <w:fldChar w:fldCharType="separate"/>
            </w:r>
            <w:r>
              <w:rPr>
                <w:noProof/>
                <w:webHidden/>
              </w:rPr>
              <w:t>15</w:t>
            </w:r>
            <w:r>
              <w:rPr>
                <w:noProof/>
                <w:webHidden/>
              </w:rPr>
              <w:fldChar w:fldCharType="end"/>
            </w:r>
          </w:hyperlink>
        </w:p>
        <w:p w14:paraId="148EFABB" w14:textId="0013345E" w:rsidR="007E514D" w:rsidRDefault="007E514D">
          <w:pPr>
            <w:pStyle w:val="TOC2"/>
            <w:tabs>
              <w:tab w:val="right" w:leader="dot" w:pos="9350"/>
            </w:tabs>
            <w:rPr>
              <w:noProof/>
            </w:rPr>
          </w:pPr>
          <w:hyperlink w:anchor="_Toc223873451" w:history="1">
            <w:r w:rsidRPr="0086095D">
              <w:rPr>
                <w:rStyle w:val="Hyperlink"/>
                <w:noProof/>
              </w:rPr>
              <w:t>References</w:t>
            </w:r>
            <w:r>
              <w:rPr>
                <w:noProof/>
                <w:webHidden/>
              </w:rPr>
              <w:tab/>
            </w:r>
            <w:r>
              <w:rPr>
                <w:noProof/>
                <w:webHidden/>
              </w:rPr>
              <w:fldChar w:fldCharType="begin"/>
            </w:r>
            <w:r>
              <w:rPr>
                <w:noProof/>
                <w:webHidden/>
              </w:rPr>
              <w:instrText xml:space="preserve"> PAGEREF _Toc223873451 \h </w:instrText>
            </w:r>
            <w:r>
              <w:rPr>
                <w:noProof/>
                <w:webHidden/>
              </w:rPr>
            </w:r>
            <w:r>
              <w:rPr>
                <w:noProof/>
                <w:webHidden/>
              </w:rPr>
              <w:fldChar w:fldCharType="separate"/>
            </w:r>
            <w:r>
              <w:rPr>
                <w:noProof/>
                <w:webHidden/>
              </w:rPr>
              <w:t>16</w:t>
            </w:r>
            <w:r>
              <w:rPr>
                <w:noProof/>
                <w:webHidden/>
              </w:rPr>
              <w:fldChar w:fldCharType="end"/>
            </w:r>
          </w:hyperlink>
        </w:p>
        <w:p w14:paraId="4C35A14A" w14:textId="785B4BB5" w:rsidR="007E514D" w:rsidRDefault="007E514D">
          <w:pPr>
            <w:pStyle w:val="TOC2"/>
            <w:tabs>
              <w:tab w:val="right" w:leader="dot" w:pos="9350"/>
            </w:tabs>
            <w:rPr>
              <w:noProof/>
            </w:rPr>
          </w:pPr>
          <w:hyperlink w:anchor="_Toc223873452" w:history="1">
            <w:r w:rsidRPr="0086095D">
              <w:rPr>
                <w:rStyle w:val="Hyperlink"/>
                <w:noProof/>
              </w:rPr>
              <w:t>Appendix A: B50 Calibration and CEX-CPS Cross-Walk</w:t>
            </w:r>
            <w:r>
              <w:rPr>
                <w:noProof/>
                <w:webHidden/>
              </w:rPr>
              <w:tab/>
            </w:r>
            <w:r>
              <w:rPr>
                <w:noProof/>
                <w:webHidden/>
              </w:rPr>
              <w:fldChar w:fldCharType="begin"/>
            </w:r>
            <w:r>
              <w:rPr>
                <w:noProof/>
                <w:webHidden/>
              </w:rPr>
              <w:instrText xml:space="preserve"> PAGEREF _Toc223873452 \h </w:instrText>
            </w:r>
            <w:r>
              <w:rPr>
                <w:noProof/>
                <w:webHidden/>
              </w:rPr>
            </w:r>
            <w:r>
              <w:rPr>
                <w:noProof/>
                <w:webHidden/>
              </w:rPr>
              <w:fldChar w:fldCharType="separate"/>
            </w:r>
            <w:r>
              <w:rPr>
                <w:noProof/>
                <w:webHidden/>
              </w:rPr>
              <w:t>17</w:t>
            </w:r>
            <w:r>
              <w:rPr>
                <w:noProof/>
                <w:webHidden/>
              </w:rPr>
              <w:fldChar w:fldCharType="end"/>
            </w:r>
          </w:hyperlink>
        </w:p>
        <w:p w14:paraId="4079670E" w14:textId="45974F57" w:rsidR="007E514D" w:rsidRDefault="007E514D">
          <w:pPr>
            <w:pStyle w:val="TOC2"/>
            <w:tabs>
              <w:tab w:val="right" w:leader="dot" w:pos="9350"/>
            </w:tabs>
            <w:rPr>
              <w:noProof/>
            </w:rPr>
          </w:pPr>
          <w:hyperlink w:anchor="_Toc223873453" w:history="1">
            <w:r w:rsidRPr="0086095D">
              <w:rPr>
                <w:rStyle w:val="Hyperlink"/>
                <w:noProof/>
              </w:rPr>
              <w:t>Appendix B: Income Distribution Baseline (CPS ASEC)</w:t>
            </w:r>
            <w:r>
              <w:rPr>
                <w:noProof/>
                <w:webHidden/>
              </w:rPr>
              <w:tab/>
            </w:r>
            <w:r>
              <w:rPr>
                <w:noProof/>
                <w:webHidden/>
              </w:rPr>
              <w:fldChar w:fldCharType="begin"/>
            </w:r>
            <w:r>
              <w:rPr>
                <w:noProof/>
                <w:webHidden/>
              </w:rPr>
              <w:instrText xml:space="preserve"> PAGEREF _Toc223873453 \h </w:instrText>
            </w:r>
            <w:r>
              <w:rPr>
                <w:noProof/>
                <w:webHidden/>
              </w:rPr>
            </w:r>
            <w:r>
              <w:rPr>
                <w:noProof/>
                <w:webHidden/>
              </w:rPr>
              <w:fldChar w:fldCharType="separate"/>
            </w:r>
            <w:r>
              <w:rPr>
                <w:noProof/>
                <w:webHidden/>
              </w:rPr>
              <w:t>17</w:t>
            </w:r>
            <w:r>
              <w:rPr>
                <w:noProof/>
                <w:webHidden/>
              </w:rPr>
              <w:fldChar w:fldCharType="end"/>
            </w:r>
          </w:hyperlink>
        </w:p>
        <w:p w14:paraId="0C734F64" w14:textId="16B8F52F" w:rsidR="007E514D" w:rsidRDefault="007E514D">
          <w:pPr>
            <w:pStyle w:val="TOC2"/>
            <w:tabs>
              <w:tab w:val="right" w:leader="dot" w:pos="9350"/>
            </w:tabs>
            <w:rPr>
              <w:noProof/>
            </w:rPr>
          </w:pPr>
          <w:hyperlink w:anchor="_Toc223873454" w:history="1">
            <w:r w:rsidRPr="0086095D">
              <w:rPr>
                <w:rStyle w:val="Hyperlink"/>
                <w:noProof/>
              </w:rPr>
              <w:t>Appendix C: Welfare Analysis and Simulations</w:t>
            </w:r>
            <w:r>
              <w:rPr>
                <w:noProof/>
                <w:webHidden/>
              </w:rPr>
              <w:tab/>
            </w:r>
            <w:r>
              <w:rPr>
                <w:noProof/>
                <w:webHidden/>
              </w:rPr>
              <w:fldChar w:fldCharType="begin"/>
            </w:r>
            <w:r>
              <w:rPr>
                <w:noProof/>
                <w:webHidden/>
              </w:rPr>
              <w:instrText xml:space="preserve"> PAGEREF _Toc223873454 \h </w:instrText>
            </w:r>
            <w:r>
              <w:rPr>
                <w:noProof/>
                <w:webHidden/>
              </w:rPr>
            </w:r>
            <w:r>
              <w:rPr>
                <w:noProof/>
                <w:webHidden/>
              </w:rPr>
              <w:fldChar w:fldCharType="separate"/>
            </w:r>
            <w:r>
              <w:rPr>
                <w:noProof/>
                <w:webHidden/>
              </w:rPr>
              <w:t>18</w:t>
            </w:r>
            <w:r>
              <w:rPr>
                <w:noProof/>
                <w:webHidden/>
              </w:rPr>
              <w:fldChar w:fldCharType="end"/>
            </w:r>
          </w:hyperlink>
        </w:p>
        <w:p w14:paraId="3EB977DC" w14:textId="0D50C4C5" w:rsidR="007E514D" w:rsidRDefault="007E514D">
          <w:pPr>
            <w:pStyle w:val="TOC3"/>
            <w:tabs>
              <w:tab w:val="right" w:leader="dot" w:pos="9350"/>
            </w:tabs>
            <w:rPr>
              <w:noProof/>
            </w:rPr>
          </w:pPr>
          <w:hyperlink w:anchor="_Toc223873455" w:history="1">
            <w:r w:rsidRPr="0086095D">
              <w:rPr>
                <w:rStyle w:val="Hyperlink"/>
                <w:noProof/>
              </w:rPr>
              <w:t>C.1 CRRA Welfare Weighting (</w:t>
            </w:r>
            <m:oMath>
              <m:r>
                <w:rPr>
                  <w:rStyle w:val="Hyperlink"/>
                  <w:rFonts w:ascii="Cambria Math" w:hAnsi="Cambria Math"/>
                  <w:noProof/>
                </w:rPr>
                <m:t>σ</m:t>
              </m:r>
            </m:oMath>
            <w:r w:rsidRPr="0086095D">
              <w:rPr>
                <w:rStyle w:val="Hyperlink"/>
                <w:noProof/>
              </w:rPr>
              <w:t xml:space="preserve"> = 2)</w:t>
            </w:r>
            <w:r>
              <w:rPr>
                <w:noProof/>
                <w:webHidden/>
              </w:rPr>
              <w:tab/>
            </w:r>
            <w:r>
              <w:rPr>
                <w:noProof/>
                <w:webHidden/>
              </w:rPr>
              <w:fldChar w:fldCharType="begin"/>
            </w:r>
            <w:r>
              <w:rPr>
                <w:noProof/>
                <w:webHidden/>
              </w:rPr>
              <w:instrText xml:space="preserve"> PAGEREF _Toc223873455 \h </w:instrText>
            </w:r>
            <w:r>
              <w:rPr>
                <w:noProof/>
                <w:webHidden/>
              </w:rPr>
            </w:r>
            <w:r>
              <w:rPr>
                <w:noProof/>
                <w:webHidden/>
              </w:rPr>
              <w:fldChar w:fldCharType="separate"/>
            </w:r>
            <w:r>
              <w:rPr>
                <w:noProof/>
                <w:webHidden/>
              </w:rPr>
              <w:t>18</w:t>
            </w:r>
            <w:r>
              <w:rPr>
                <w:noProof/>
                <w:webHidden/>
              </w:rPr>
              <w:fldChar w:fldCharType="end"/>
            </w:r>
          </w:hyperlink>
        </w:p>
        <w:p w14:paraId="6C38062A" w14:textId="10F01A0A" w:rsidR="007E514D" w:rsidRDefault="007E514D">
          <w:pPr>
            <w:pStyle w:val="TOC3"/>
            <w:tabs>
              <w:tab w:val="right" w:leader="dot" w:pos="9350"/>
            </w:tabs>
            <w:rPr>
              <w:noProof/>
            </w:rPr>
          </w:pPr>
          <w:hyperlink w:anchor="_Toc223873456" w:history="1">
            <w:r w:rsidRPr="0086095D">
              <w:rPr>
                <w:rStyle w:val="Hyperlink"/>
                <w:noProof/>
              </w:rPr>
              <w:t>C.2 SPM Poverty Simulation</w:t>
            </w:r>
            <w:r>
              <w:rPr>
                <w:noProof/>
                <w:webHidden/>
              </w:rPr>
              <w:tab/>
            </w:r>
            <w:r>
              <w:rPr>
                <w:noProof/>
                <w:webHidden/>
              </w:rPr>
              <w:fldChar w:fldCharType="begin"/>
            </w:r>
            <w:r>
              <w:rPr>
                <w:noProof/>
                <w:webHidden/>
              </w:rPr>
              <w:instrText xml:space="preserve"> PAGEREF _Toc223873456 \h </w:instrText>
            </w:r>
            <w:r>
              <w:rPr>
                <w:noProof/>
                <w:webHidden/>
              </w:rPr>
            </w:r>
            <w:r>
              <w:rPr>
                <w:noProof/>
                <w:webHidden/>
              </w:rPr>
              <w:fldChar w:fldCharType="separate"/>
            </w:r>
            <w:r>
              <w:rPr>
                <w:noProof/>
                <w:webHidden/>
              </w:rPr>
              <w:t>18</w:t>
            </w:r>
            <w:r>
              <w:rPr>
                <w:noProof/>
                <w:webHidden/>
              </w:rPr>
              <w:fldChar w:fldCharType="end"/>
            </w:r>
          </w:hyperlink>
        </w:p>
        <w:p w14:paraId="3C5171E5" w14:textId="019BA82D" w:rsidR="007E514D" w:rsidRDefault="007E514D">
          <w:pPr>
            <w:pStyle w:val="TOC3"/>
            <w:tabs>
              <w:tab w:val="right" w:leader="dot" w:pos="9350"/>
            </w:tabs>
            <w:rPr>
              <w:noProof/>
            </w:rPr>
          </w:pPr>
          <w:hyperlink w:anchor="_Toc223873457" w:history="1">
            <w:r w:rsidRPr="0086095D">
              <w:rPr>
                <w:rStyle w:val="Hyperlink"/>
                <w:noProof/>
              </w:rPr>
              <w:t>C.3 Geographic Heterogeneity: State Exposure Index</w:t>
            </w:r>
            <w:r>
              <w:rPr>
                <w:noProof/>
                <w:webHidden/>
              </w:rPr>
              <w:tab/>
            </w:r>
            <w:r>
              <w:rPr>
                <w:noProof/>
                <w:webHidden/>
              </w:rPr>
              <w:fldChar w:fldCharType="begin"/>
            </w:r>
            <w:r>
              <w:rPr>
                <w:noProof/>
                <w:webHidden/>
              </w:rPr>
              <w:instrText xml:space="preserve"> PAGEREF _Toc223873457 \h </w:instrText>
            </w:r>
            <w:r>
              <w:rPr>
                <w:noProof/>
                <w:webHidden/>
              </w:rPr>
            </w:r>
            <w:r>
              <w:rPr>
                <w:noProof/>
                <w:webHidden/>
              </w:rPr>
              <w:fldChar w:fldCharType="separate"/>
            </w:r>
            <w:r>
              <w:rPr>
                <w:noProof/>
                <w:webHidden/>
              </w:rPr>
              <w:t>19</w:t>
            </w:r>
            <w:r>
              <w:rPr>
                <w:noProof/>
                <w:webHidden/>
              </w:rPr>
              <w:fldChar w:fldCharType="end"/>
            </w:r>
          </w:hyperlink>
        </w:p>
        <w:p w14:paraId="1B8B22C1" w14:textId="57280905" w:rsidR="007E514D" w:rsidRDefault="007E514D">
          <w:pPr>
            <w:pStyle w:val="TOC2"/>
            <w:tabs>
              <w:tab w:val="right" w:leader="dot" w:pos="9350"/>
            </w:tabs>
            <w:rPr>
              <w:noProof/>
            </w:rPr>
          </w:pPr>
          <w:hyperlink w:anchor="_Toc223873458" w:history="1">
            <w:r w:rsidRPr="0086095D">
              <w:rPr>
                <w:rStyle w:val="Hyperlink"/>
                <w:noProof/>
              </w:rPr>
              <w:t>Appendix D: Structural Break Regression Detail</w:t>
            </w:r>
            <w:r>
              <w:rPr>
                <w:noProof/>
                <w:webHidden/>
              </w:rPr>
              <w:tab/>
            </w:r>
            <w:r>
              <w:rPr>
                <w:noProof/>
                <w:webHidden/>
              </w:rPr>
              <w:fldChar w:fldCharType="begin"/>
            </w:r>
            <w:r>
              <w:rPr>
                <w:noProof/>
                <w:webHidden/>
              </w:rPr>
              <w:instrText xml:space="preserve"> PAGEREF _Toc223873458 \h </w:instrText>
            </w:r>
            <w:r>
              <w:rPr>
                <w:noProof/>
                <w:webHidden/>
              </w:rPr>
            </w:r>
            <w:r>
              <w:rPr>
                <w:noProof/>
                <w:webHidden/>
              </w:rPr>
              <w:fldChar w:fldCharType="separate"/>
            </w:r>
            <w:r>
              <w:rPr>
                <w:noProof/>
                <w:webHidden/>
              </w:rPr>
              <w:t>19</w:t>
            </w:r>
            <w:r>
              <w:rPr>
                <w:noProof/>
                <w:webHidden/>
              </w:rPr>
              <w:fldChar w:fldCharType="end"/>
            </w:r>
          </w:hyperlink>
        </w:p>
        <w:p w14:paraId="43C1014F" w14:textId="2781C8F9" w:rsidR="007E514D" w:rsidRDefault="007E514D">
          <w:pPr>
            <w:pStyle w:val="TOC2"/>
            <w:tabs>
              <w:tab w:val="right" w:leader="dot" w:pos="9350"/>
            </w:tabs>
            <w:rPr>
              <w:noProof/>
            </w:rPr>
          </w:pPr>
          <w:hyperlink w:anchor="_Toc223873459" w:history="1">
            <w:r w:rsidRPr="0086095D">
              <w:rPr>
                <w:rStyle w:val="Hyperlink"/>
                <w:noProof/>
              </w:rPr>
              <w:t>Appendix E: Policy Scenario Analysis—Judicial Revocation and Legislative Replacement</w:t>
            </w:r>
            <w:r>
              <w:rPr>
                <w:noProof/>
                <w:webHidden/>
              </w:rPr>
              <w:tab/>
            </w:r>
            <w:r>
              <w:rPr>
                <w:noProof/>
                <w:webHidden/>
              </w:rPr>
              <w:fldChar w:fldCharType="begin"/>
            </w:r>
            <w:r>
              <w:rPr>
                <w:noProof/>
                <w:webHidden/>
              </w:rPr>
              <w:instrText xml:space="preserve"> PAGEREF _Toc223873459 \h </w:instrText>
            </w:r>
            <w:r>
              <w:rPr>
                <w:noProof/>
                <w:webHidden/>
              </w:rPr>
            </w:r>
            <w:r>
              <w:rPr>
                <w:noProof/>
                <w:webHidden/>
              </w:rPr>
              <w:fldChar w:fldCharType="separate"/>
            </w:r>
            <w:r>
              <w:rPr>
                <w:noProof/>
                <w:webHidden/>
              </w:rPr>
              <w:t>20</w:t>
            </w:r>
            <w:r>
              <w:rPr>
                <w:noProof/>
                <w:webHidden/>
              </w:rPr>
              <w:fldChar w:fldCharType="end"/>
            </w:r>
          </w:hyperlink>
        </w:p>
        <w:p w14:paraId="5E5BFA35" w14:textId="796C7E30" w:rsidR="007E514D" w:rsidRDefault="007E514D">
          <w:pPr>
            <w:pStyle w:val="TOC3"/>
            <w:tabs>
              <w:tab w:val="right" w:leader="dot" w:pos="9350"/>
            </w:tabs>
            <w:rPr>
              <w:noProof/>
            </w:rPr>
          </w:pPr>
          <w:hyperlink w:anchor="_Toc223873460" w:history="1">
            <w:r w:rsidRPr="0086095D">
              <w:rPr>
                <w:rStyle w:val="Hyperlink"/>
                <w:noProof/>
              </w:rPr>
              <w:t>E.1 Tariff Revocation Does Not Reverse the B50 Burden</w:t>
            </w:r>
            <w:r>
              <w:rPr>
                <w:noProof/>
                <w:webHidden/>
              </w:rPr>
              <w:tab/>
            </w:r>
            <w:r>
              <w:rPr>
                <w:noProof/>
                <w:webHidden/>
              </w:rPr>
              <w:fldChar w:fldCharType="begin"/>
            </w:r>
            <w:r>
              <w:rPr>
                <w:noProof/>
                <w:webHidden/>
              </w:rPr>
              <w:instrText xml:space="preserve"> PAGEREF _Toc223873460 \h </w:instrText>
            </w:r>
            <w:r>
              <w:rPr>
                <w:noProof/>
                <w:webHidden/>
              </w:rPr>
            </w:r>
            <w:r>
              <w:rPr>
                <w:noProof/>
                <w:webHidden/>
              </w:rPr>
              <w:fldChar w:fldCharType="separate"/>
            </w:r>
            <w:r>
              <w:rPr>
                <w:noProof/>
                <w:webHidden/>
              </w:rPr>
              <w:t>20</w:t>
            </w:r>
            <w:r>
              <w:rPr>
                <w:noProof/>
                <w:webHidden/>
              </w:rPr>
              <w:fldChar w:fldCharType="end"/>
            </w:r>
          </w:hyperlink>
        </w:p>
        <w:p w14:paraId="099A9A2D" w14:textId="6004D6C6" w:rsidR="007E514D" w:rsidRDefault="007E514D">
          <w:pPr>
            <w:pStyle w:val="TOC3"/>
            <w:tabs>
              <w:tab w:val="right" w:leader="dot" w:pos="9350"/>
            </w:tabs>
            <w:rPr>
              <w:noProof/>
            </w:rPr>
          </w:pPr>
          <w:hyperlink w:anchor="_Toc223873461" w:history="1">
            <w:r w:rsidRPr="0086095D">
              <w:rPr>
                <w:rStyle w:val="Hyperlink"/>
                <w:noProof/>
              </w:rPr>
              <w:t>E.2 The 15% Legislative Replacement Nearly Doubles the Burden</w:t>
            </w:r>
            <w:r>
              <w:rPr>
                <w:noProof/>
                <w:webHidden/>
              </w:rPr>
              <w:tab/>
            </w:r>
            <w:r>
              <w:rPr>
                <w:noProof/>
                <w:webHidden/>
              </w:rPr>
              <w:fldChar w:fldCharType="begin"/>
            </w:r>
            <w:r>
              <w:rPr>
                <w:noProof/>
                <w:webHidden/>
              </w:rPr>
              <w:instrText xml:space="preserve"> PAGEREF _Toc223873461 \h </w:instrText>
            </w:r>
            <w:r>
              <w:rPr>
                <w:noProof/>
                <w:webHidden/>
              </w:rPr>
            </w:r>
            <w:r>
              <w:rPr>
                <w:noProof/>
                <w:webHidden/>
              </w:rPr>
              <w:fldChar w:fldCharType="separate"/>
            </w:r>
            <w:r>
              <w:rPr>
                <w:noProof/>
                <w:webHidden/>
              </w:rPr>
              <w:t>20</w:t>
            </w:r>
            <w:r>
              <w:rPr>
                <w:noProof/>
                <w:webHidden/>
              </w:rPr>
              <w:fldChar w:fldCharType="end"/>
            </w:r>
          </w:hyperlink>
        </w:p>
        <w:p w14:paraId="0B195870" w14:textId="68C5D281" w:rsidR="007E514D" w:rsidRDefault="007E514D">
          <w:pPr>
            <w:pStyle w:val="TOC3"/>
            <w:tabs>
              <w:tab w:val="right" w:leader="dot" w:pos="9350"/>
            </w:tabs>
            <w:rPr>
              <w:noProof/>
            </w:rPr>
          </w:pPr>
          <w:hyperlink w:anchor="_Toc223873462" w:history="1">
            <w:r w:rsidRPr="0086095D">
              <w:rPr>
                <w:rStyle w:val="Hyperlink"/>
                <w:noProof/>
              </w:rPr>
              <w:t>E.3 Implications for the Structural Break Framework</w:t>
            </w:r>
            <w:r>
              <w:rPr>
                <w:noProof/>
                <w:webHidden/>
              </w:rPr>
              <w:tab/>
            </w:r>
            <w:r>
              <w:rPr>
                <w:noProof/>
                <w:webHidden/>
              </w:rPr>
              <w:fldChar w:fldCharType="begin"/>
            </w:r>
            <w:r>
              <w:rPr>
                <w:noProof/>
                <w:webHidden/>
              </w:rPr>
              <w:instrText xml:space="preserve"> PAGEREF _Toc223873462 \h </w:instrText>
            </w:r>
            <w:r>
              <w:rPr>
                <w:noProof/>
                <w:webHidden/>
              </w:rPr>
            </w:r>
            <w:r>
              <w:rPr>
                <w:noProof/>
                <w:webHidden/>
              </w:rPr>
              <w:fldChar w:fldCharType="separate"/>
            </w:r>
            <w:r>
              <w:rPr>
                <w:noProof/>
                <w:webHidden/>
              </w:rPr>
              <w:t>20</w:t>
            </w:r>
            <w:r>
              <w:rPr>
                <w:noProof/>
                <w:webHidden/>
              </w:rPr>
              <w:fldChar w:fldCharType="end"/>
            </w:r>
          </w:hyperlink>
        </w:p>
        <w:p w14:paraId="66627AFB" w14:textId="3D191FC2" w:rsidR="007E514D" w:rsidRDefault="007E514D">
          <w:pPr>
            <w:pStyle w:val="TOC3"/>
            <w:tabs>
              <w:tab w:val="right" w:leader="dot" w:pos="9350"/>
            </w:tabs>
            <w:rPr>
              <w:noProof/>
            </w:rPr>
          </w:pPr>
          <w:hyperlink w:anchor="_Toc223873463" w:history="1">
            <w:r w:rsidRPr="0086095D">
              <w:rPr>
                <w:rStyle w:val="Hyperlink"/>
                <w:noProof/>
              </w:rPr>
              <w:t>E.4 SCOTUS Scenario Figures</w:t>
            </w:r>
            <w:r>
              <w:rPr>
                <w:noProof/>
                <w:webHidden/>
              </w:rPr>
              <w:tab/>
            </w:r>
            <w:r>
              <w:rPr>
                <w:noProof/>
                <w:webHidden/>
              </w:rPr>
              <w:fldChar w:fldCharType="begin"/>
            </w:r>
            <w:r>
              <w:rPr>
                <w:noProof/>
                <w:webHidden/>
              </w:rPr>
              <w:instrText xml:space="preserve"> PAGEREF _Toc223873463 \h </w:instrText>
            </w:r>
            <w:r>
              <w:rPr>
                <w:noProof/>
                <w:webHidden/>
              </w:rPr>
            </w:r>
            <w:r>
              <w:rPr>
                <w:noProof/>
                <w:webHidden/>
              </w:rPr>
              <w:fldChar w:fldCharType="separate"/>
            </w:r>
            <w:r>
              <w:rPr>
                <w:noProof/>
                <w:webHidden/>
              </w:rPr>
              <w:t>21</w:t>
            </w:r>
            <w:r>
              <w:rPr>
                <w:noProof/>
                <w:webHidden/>
              </w:rPr>
              <w:fldChar w:fldCharType="end"/>
            </w:r>
          </w:hyperlink>
        </w:p>
        <w:p w14:paraId="6B14D529" w14:textId="5606BE78" w:rsidR="007E514D" w:rsidRDefault="007E514D">
          <w:pPr>
            <w:pStyle w:val="TOC2"/>
            <w:tabs>
              <w:tab w:val="right" w:leader="dot" w:pos="9350"/>
            </w:tabs>
            <w:rPr>
              <w:noProof/>
            </w:rPr>
          </w:pPr>
          <w:hyperlink w:anchor="_Toc223873464" w:history="1">
            <w:r w:rsidRPr="0086095D">
              <w:rPr>
                <w:rStyle w:val="Hyperlink"/>
                <w:noProof/>
              </w:rPr>
              <w:t>Appendix F: Data Sources and Replication</w:t>
            </w:r>
            <w:r>
              <w:rPr>
                <w:noProof/>
                <w:webHidden/>
              </w:rPr>
              <w:tab/>
            </w:r>
            <w:r>
              <w:rPr>
                <w:noProof/>
                <w:webHidden/>
              </w:rPr>
              <w:fldChar w:fldCharType="begin"/>
            </w:r>
            <w:r>
              <w:rPr>
                <w:noProof/>
                <w:webHidden/>
              </w:rPr>
              <w:instrText xml:space="preserve"> PAGEREF _Toc223873464 \h </w:instrText>
            </w:r>
            <w:r>
              <w:rPr>
                <w:noProof/>
                <w:webHidden/>
              </w:rPr>
            </w:r>
            <w:r>
              <w:rPr>
                <w:noProof/>
                <w:webHidden/>
              </w:rPr>
              <w:fldChar w:fldCharType="separate"/>
            </w:r>
            <w:r>
              <w:rPr>
                <w:noProof/>
                <w:webHidden/>
              </w:rPr>
              <w:t>21</w:t>
            </w:r>
            <w:r>
              <w:rPr>
                <w:noProof/>
                <w:webHidden/>
              </w:rPr>
              <w:fldChar w:fldCharType="end"/>
            </w:r>
          </w:hyperlink>
        </w:p>
        <w:p w14:paraId="194267E7" w14:textId="53CA3D1A" w:rsidR="007E514D" w:rsidRDefault="007E514D">
          <w:pPr>
            <w:pStyle w:val="TOC3"/>
            <w:tabs>
              <w:tab w:val="right" w:leader="dot" w:pos="9350"/>
            </w:tabs>
            <w:rPr>
              <w:noProof/>
            </w:rPr>
          </w:pPr>
          <w:hyperlink w:anchor="_Toc223873465" w:history="1">
            <w:r w:rsidRPr="0086095D">
              <w:rPr>
                <w:rStyle w:val="Hyperlink"/>
                <w:noProof/>
              </w:rPr>
              <w:t>G.1 Structural Break and 26-Year Trend Figures</w:t>
            </w:r>
            <w:r>
              <w:rPr>
                <w:noProof/>
                <w:webHidden/>
              </w:rPr>
              <w:tab/>
            </w:r>
            <w:r>
              <w:rPr>
                <w:noProof/>
                <w:webHidden/>
              </w:rPr>
              <w:fldChar w:fldCharType="begin"/>
            </w:r>
            <w:r>
              <w:rPr>
                <w:noProof/>
                <w:webHidden/>
              </w:rPr>
              <w:instrText xml:space="preserve"> PAGEREF _Toc223873465 \h </w:instrText>
            </w:r>
            <w:r>
              <w:rPr>
                <w:noProof/>
                <w:webHidden/>
              </w:rPr>
            </w:r>
            <w:r>
              <w:rPr>
                <w:noProof/>
                <w:webHidden/>
              </w:rPr>
              <w:fldChar w:fldCharType="separate"/>
            </w:r>
            <w:r>
              <w:rPr>
                <w:noProof/>
                <w:webHidden/>
              </w:rPr>
              <w:t>21</w:t>
            </w:r>
            <w:r>
              <w:rPr>
                <w:noProof/>
                <w:webHidden/>
              </w:rPr>
              <w:fldChar w:fldCharType="end"/>
            </w:r>
          </w:hyperlink>
        </w:p>
        <w:p w14:paraId="2398D2E0" w14:textId="0B4E082F" w:rsidR="007E514D" w:rsidRDefault="007E514D">
          <w:pPr>
            <w:pStyle w:val="TOC3"/>
            <w:tabs>
              <w:tab w:val="right" w:leader="dot" w:pos="9350"/>
            </w:tabs>
            <w:rPr>
              <w:noProof/>
            </w:rPr>
          </w:pPr>
          <w:hyperlink w:anchor="_Toc223873466" w:history="1">
            <w:r w:rsidRPr="0086095D">
              <w:rPr>
                <w:rStyle w:val="Hyperlink"/>
                <w:noProof/>
              </w:rPr>
              <w:t>G.2 Distributional Impact Figures</w:t>
            </w:r>
            <w:r>
              <w:rPr>
                <w:noProof/>
                <w:webHidden/>
              </w:rPr>
              <w:tab/>
            </w:r>
            <w:r>
              <w:rPr>
                <w:noProof/>
                <w:webHidden/>
              </w:rPr>
              <w:fldChar w:fldCharType="begin"/>
            </w:r>
            <w:r>
              <w:rPr>
                <w:noProof/>
                <w:webHidden/>
              </w:rPr>
              <w:instrText xml:space="preserve"> PAGEREF _Toc223873466 \h </w:instrText>
            </w:r>
            <w:r>
              <w:rPr>
                <w:noProof/>
                <w:webHidden/>
              </w:rPr>
            </w:r>
            <w:r>
              <w:rPr>
                <w:noProof/>
                <w:webHidden/>
              </w:rPr>
              <w:fldChar w:fldCharType="separate"/>
            </w:r>
            <w:r>
              <w:rPr>
                <w:noProof/>
                <w:webHidden/>
              </w:rPr>
              <w:t>21</w:t>
            </w:r>
            <w:r>
              <w:rPr>
                <w:noProof/>
                <w:webHidden/>
              </w:rPr>
              <w:fldChar w:fldCharType="end"/>
            </w:r>
          </w:hyperlink>
        </w:p>
        <w:p w14:paraId="38DE9991" w14:textId="522A325A" w:rsidR="007E514D" w:rsidRDefault="007E514D">
          <w:pPr>
            <w:pStyle w:val="TOC3"/>
            <w:tabs>
              <w:tab w:val="right" w:leader="dot" w:pos="9350"/>
            </w:tabs>
            <w:rPr>
              <w:noProof/>
            </w:rPr>
          </w:pPr>
          <w:hyperlink w:anchor="_Toc223873467" w:history="1">
            <w:r w:rsidRPr="0086095D">
              <w:rPr>
                <w:rStyle w:val="Hyperlink"/>
                <w:noProof/>
              </w:rPr>
              <w:t>G.3 Robustness Figures</w:t>
            </w:r>
            <w:r>
              <w:rPr>
                <w:noProof/>
                <w:webHidden/>
              </w:rPr>
              <w:tab/>
            </w:r>
            <w:r>
              <w:rPr>
                <w:noProof/>
                <w:webHidden/>
              </w:rPr>
              <w:fldChar w:fldCharType="begin"/>
            </w:r>
            <w:r>
              <w:rPr>
                <w:noProof/>
                <w:webHidden/>
              </w:rPr>
              <w:instrText xml:space="preserve"> PAGEREF _Toc223873467 \h </w:instrText>
            </w:r>
            <w:r>
              <w:rPr>
                <w:noProof/>
                <w:webHidden/>
              </w:rPr>
            </w:r>
            <w:r>
              <w:rPr>
                <w:noProof/>
                <w:webHidden/>
              </w:rPr>
              <w:fldChar w:fldCharType="separate"/>
            </w:r>
            <w:r>
              <w:rPr>
                <w:noProof/>
                <w:webHidden/>
              </w:rPr>
              <w:t>22</w:t>
            </w:r>
            <w:r>
              <w:rPr>
                <w:noProof/>
                <w:webHidden/>
              </w:rPr>
              <w:fldChar w:fldCharType="end"/>
            </w:r>
          </w:hyperlink>
        </w:p>
        <w:p w14:paraId="4EB6205F" w14:textId="575358FB" w:rsidR="007E514D" w:rsidRDefault="007E514D">
          <w:pPr>
            <w:pStyle w:val="TOC3"/>
            <w:tabs>
              <w:tab w:val="right" w:leader="dot" w:pos="9350"/>
            </w:tabs>
            <w:rPr>
              <w:noProof/>
            </w:rPr>
          </w:pPr>
          <w:hyperlink w:anchor="_Toc223873468" w:history="1">
            <w:r w:rsidRPr="0086095D">
              <w:rPr>
                <w:rStyle w:val="Hyperlink"/>
                <w:noProof/>
              </w:rPr>
              <w:t>G.4 Supplementary Figures</w:t>
            </w:r>
            <w:r>
              <w:rPr>
                <w:noProof/>
                <w:webHidden/>
              </w:rPr>
              <w:tab/>
            </w:r>
            <w:r>
              <w:rPr>
                <w:noProof/>
                <w:webHidden/>
              </w:rPr>
              <w:fldChar w:fldCharType="begin"/>
            </w:r>
            <w:r>
              <w:rPr>
                <w:noProof/>
                <w:webHidden/>
              </w:rPr>
              <w:instrText xml:space="preserve"> PAGEREF _Toc223873468 \h </w:instrText>
            </w:r>
            <w:r>
              <w:rPr>
                <w:noProof/>
                <w:webHidden/>
              </w:rPr>
            </w:r>
            <w:r>
              <w:rPr>
                <w:noProof/>
                <w:webHidden/>
              </w:rPr>
              <w:fldChar w:fldCharType="separate"/>
            </w:r>
            <w:r>
              <w:rPr>
                <w:noProof/>
                <w:webHidden/>
              </w:rPr>
              <w:t>22</w:t>
            </w:r>
            <w:r>
              <w:rPr>
                <w:noProof/>
                <w:webHidden/>
              </w:rPr>
              <w:fldChar w:fldCharType="end"/>
            </w:r>
          </w:hyperlink>
        </w:p>
        <w:p w14:paraId="3C04CE67" w14:textId="3A9A692C" w:rsidR="007E514D" w:rsidRDefault="007E514D">
          <w:pPr>
            <w:pStyle w:val="TOC2"/>
            <w:tabs>
              <w:tab w:val="right" w:leader="dot" w:pos="9350"/>
            </w:tabs>
            <w:rPr>
              <w:noProof/>
            </w:rPr>
          </w:pPr>
          <w:hyperlink w:anchor="_Toc223873469" w:history="1">
            <w:r w:rsidRPr="0086095D">
              <w:rPr>
                <w:rStyle w:val="Hyperlink"/>
                <w:noProof/>
              </w:rPr>
              <w:t>Appendix G: Figures</w:t>
            </w:r>
            <w:r>
              <w:rPr>
                <w:noProof/>
                <w:webHidden/>
              </w:rPr>
              <w:tab/>
            </w:r>
            <w:r>
              <w:rPr>
                <w:noProof/>
                <w:webHidden/>
              </w:rPr>
              <w:fldChar w:fldCharType="begin"/>
            </w:r>
            <w:r>
              <w:rPr>
                <w:noProof/>
                <w:webHidden/>
              </w:rPr>
              <w:instrText xml:space="preserve"> PAGEREF _Toc223873469 \h </w:instrText>
            </w:r>
            <w:r>
              <w:rPr>
                <w:noProof/>
                <w:webHidden/>
              </w:rPr>
            </w:r>
            <w:r>
              <w:rPr>
                <w:noProof/>
                <w:webHidden/>
              </w:rPr>
              <w:fldChar w:fldCharType="separate"/>
            </w:r>
            <w:r>
              <w:rPr>
                <w:noProof/>
                <w:webHidden/>
              </w:rPr>
              <w:t>22</w:t>
            </w:r>
            <w:r>
              <w:rPr>
                <w:noProof/>
                <w:webHidden/>
              </w:rPr>
              <w:fldChar w:fldCharType="end"/>
            </w:r>
          </w:hyperlink>
        </w:p>
        <w:p w14:paraId="0D0AF6D7" w14:textId="1F6F22DB" w:rsidR="004B4AA5" w:rsidRDefault="00000000">
          <w:r>
            <w:fldChar w:fldCharType="end"/>
          </w:r>
        </w:p>
      </w:sdtContent>
    </w:sdt>
    <w:p w14:paraId="0D0AF6D8" w14:textId="77777777" w:rsidR="004B4AA5" w:rsidRDefault="00000000">
      <w:pPr>
        <w:pStyle w:val="Heading2"/>
      </w:pPr>
      <w:bookmarkStart w:id="0" w:name="introduction"/>
      <w:bookmarkStart w:id="1" w:name="_Toc223873418"/>
      <w:r>
        <w:t>1. Introduction</w:t>
      </w:r>
      <w:bookmarkEnd w:id="1"/>
    </w:p>
    <w:p w14:paraId="0D0AF6D9" w14:textId="77777777" w:rsidR="004B4AA5" w:rsidRDefault="00000000">
      <w:pPr>
        <w:pStyle w:val="FirstParagraph"/>
      </w:pPr>
      <w:r>
        <w:t xml:space="preserve">The fiscal year 2025 federal budget simultaneously altered three channels of fiscal incidence: tariffs escalated to levels not seen since before the income tax, means-tested spending fell $188 billion below baseline, and interest payments on the national debt exceeded combined income security and Medicaid spending for the first time since the pre–New Deal era. Each of these shifts has distributional consequences that fall disproportionately on lower-income households. But a fundamental empirical question precedes any distributional accounting: </w:t>
      </w:r>
      <w:r>
        <w:rPr>
          <w:i/>
          <w:iCs/>
        </w:rPr>
        <w:t>which of these shifts represent genuine policy discontinuities, and which are continuations of secular fiscal trends?</w:t>
      </w:r>
    </w:p>
    <w:p w14:paraId="0D0AF6DA" w14:textId="77777777" w:rsidR="004B4AA5" w:rsidRDefault="00000000">
      <w:pPr>
        <w:pStyle w:val="BodyText"/>
      </w:pPr>
      <w:r>
        <w:t>This distinction matters. If the growing regressivity of the federal revenue mix is a 25-year trend, it will not reverse with a change of administration; it requires structural tax reform. If the tariff explosion is a statistically identifiable rupture from the historical pattern, its distributional consequences are attributable to specific policy choices and, in principle, reversible. Conflating the two—treating trend as discontinuity or discontinuity as trend—leads to misdiagnosed policy responses.</w:t>
      </w:r>
    </w:p>
    <w:p w14:paraId="0D0AF6DB" w14:textId="77777777" w:rsidR="004B4AA5" w:rsidRDefault="00000000">
      <w:pPr>
        <w:pStyle w:val="BodyText"/>
      </w:pPr>
      <w:r>
        <w:t>I answer this question by embedding fiscal year 2025 within the 26-year span FY2000–FY2025 and testing whether key distributional indicators deviate significantly from their historical trajectories. My identification strategy is a structural break test: for each indicator, I fit an OLS linear trend over a pre-break training period and test whether the FY2025 realized value falls outside the out-of-sample prediction interval (|z| &gt; 2.0). I then trace the distributional consequences of the identified breaks to the bottom 50% of the income distribution using CPS ASEC microdata.</w:t>
      </w:r>
    </w:p>
    <w:p w14:paraId="0D0AF6DC" w14:textId="77777777" w:rsidR="004B4AA5" w:rsidRDefault="00000000">
      <w:pPr>
        <w:pStyle w:val="BodyText"/>
      </w:pPr>
      <w:r>
        <w:rPr>
          <w:b/>
          <w:bCs/>
        </w:rPr>
        <w:t>Preview of findings.</w:t>
      </w:r>
      <w:r>
        <w:t xml:space="preserve"> Two of four indicators register as structural breaks: customs revenue as a share of total revenue (z = 25.8) and the interest-to-safety-net crowding ratio (z = 2.4). Two do not: the regressive revenue share (z = 0.5) and the safety-net outlay share (z = -1.5). The channels identified as breaks are precisely those imposing the largest burden on the bottom 50%—a combined $1,331 per person (10.6% of pretax income), validated across 21 robustness specifications.</w:t>
      </w:r>
    </w:p>
    <w:p w14:paraId="0D0AF6DD" w14:textId="77777777" w:rsidR="004B4AA5" w:rsidRDefault="00000000">
      <w:pPr>
        <w:pStyle w:val="BodyText"/>
      </w:pPr>
      <w:r>
        <w:rPr>
          <w:b/>
          <w:bCs/>
        </w:rPr>
        <w:t>Contribution.</w:t>
      </w:r>
      <w:r>
        <w:t xml:space="preserve"> My primary contribution is methodological: I distinguish secular trends from discrete policy discontinuities in the distributional incidence of federal fiscal policy—a distinction the existing literature on fiscal incidence (Piketty, Saez &amp; Zucman, 2018; CBO, </w:t>
      </w:r>
      <w:r>
        <w:lastRenderedPageBreak/>
        <w:t>2022; Wolff &amp; Zacharias, 2007) has not formalized. The structural break framework reveals that the channels identified as discontinuities are precisely those that burden the bottom 50% most heavily, while the channels classified as within-trend—though also regressive—require fundamentally different policy responses. A secondary contribution is the integration of CPS ASEC microdata (1.4 million person-records) with administrative budget data to construct validated distributional weights for multi-channel incidence analysis.</w:t>
      </w:r>
    </w:p>
    <w:p w14:paraId="0D0AF6DE" w14:textId="77777777" w:rsidR="004B4AA5" w:rsidRDefault="00000000">
      <w:pPr>
        <w:pStyle w:val="Heading3"/>
      </w:pPr>
      <w:bookmarkStart w:id="2" w:name="related-literature"/>
      <w:bookmarkStart w:id="3" w:name="_Toc223873419"/>
      <w:r>
        <w:t>1.1 Related Literature</w:t>
      </w:r>
      <w:bookmarkEnd w:id="3"/>
    </w:p>
    <w:p w14:paraId="0D0AF6DF" w14:textId="77777777" w:rsidR="004B4AA5" w:rsidRDefault="00000000">
      <w:pPr>
        <w:pStyle w:val="FirstParagraph"/>
      </w:pPr>
      <w:r>
        <w:rPr>
          <w:b/>
          <w:bCs/>
        </w:rPr>
        <w:t>Tariff incidence.</w:t>
      </w:r>
      <w:r>
        <w:t xml:space="preserve"> Amiti, Redding, and Weinstein (2019, 2020) established near-complete pass-through of 2018–2019 tariffs to domestic prices. Fajgelbaum et al. (2020, </w:t>
      </w:r>
      <w:r>
        <w:rPr>
          <w:i/>
          <w:iCs/>
        </w:rPr>
        <w:t>QJE</w:t>
      </w:r>
      <w:r>
        <w:t xml:space="preserve">) quantified $51 billion in consumer losses with regional heterogeneity. Cavallo et al. (2021, </w:t>
      </w:r>
      <w:r>
        <w:rPr>
          <w:i/>
          <w:iCs/>
        </w:rPr>
        <w:t>AER: Insights</w:t>
      </w:r>
      <w:r>
        <w:t>) traced customs-to-retail pass-through using scanner data. Leibovici and Dunn (2025, Federal Reserve Bank of St. Louis) survey the 2018–19 evidence and confirm near-complete consumer incidence. I extend this work to the 2025 tariff regime at roughly four times the 2018–19 scale. Contemporaneous analyses by Clausing and Obstfeld (2025), Minton and Somale (2025), Gopinath and Neiman (2026), and The Budget Lab at Yale (2026) corroborate significant and regressive pass-through.</w:t>
      </w:r>
    </w:p>
    <w:p w14:paraId="0D0AF6E0" w14:textId="77777777" w:rsidR="004B4AA5" w:rsidRDefault="00000000">
      <w:pPr>
        <w:pStyle w:val="BodyText"/>
      </w:pPr>
      <w:r>
        <w:rPr>
          <w:b/>
          <w:bCs/>
        </w:rPr>
        <w:t>Distributional fiscal analysis.</w:t>
      </w:r>
      <w:r>
        <w:t xml:space="preserve"> The CBO’s distributional framework (Perese, 2017) and Piketty, Saez, and Zucman (2018) provide the methodological foundation for my income decomposition. Wolff and Zacharias (2007) conduct a similar multi-channel fiscal incidence analysis for 1989–2000, but without structural break identification or tariff incidence. Bitler, Gelbach, and Hoynes (2006, 2010) develop methods for distributional effects of spending changes that motivate my simulation approach.</w:t>
      </w:r>
    </w:p>
    <w:p w14:paraId="0D0AF6E1" w14:textId="77777777" w:rsidR="004B4AA5" w:rsidRDefault="00000000">
      <w:pPr>
        <w:pStyle w:val="BodyText"/>
      </w:pPr>
      <w:r>
        <w:rPr>
          <w:b/>
          <w:bCs/>
        </w:rPr>
        <w:t>Debt service and crowding out.</w:t>
      </w:r>
      <w:r>
        <w:t xml:space="preserve"> Falkenheim (2022) and Auerbach and Gorodnichenko (2012) analyze how rising interest payments crowd out discretionary and mandatory spending. I formalize this as a testable structural break indicator.</w:t>
      </w:r>
    </w:p>
    <w:p w14:paraId="0D0AF6E2" w14:textId="77777777" w:rsidR="004B4AA5" w:rsidRDefault="00000000">
      <w:r>
        <w:pict w14:anchorId="0D0AFA58">
          <v:rect id="_x0000_i1025" style="width:0;height:1.5pt" o:hralign="center" o:hrstd="t" o:hr="t"/>
        </w:pict>
      </w:r>
    </w:p>
    <w:p w14:paraId="0D0AF6E3" w14:textId="77777777" w:rsidR="004B4AA5" w:rsidRDefault="00000000">
      <w:pPr>
        <w:pStyle w:val="Heading2"/>
      </w:pPr>
      <w:bookmarkStart w:id="4" w:name="data"/>
      <w:bookmarkStart w:id="5" w:name="_Toc223873420"/>
      <w:bookmarkEnd w:id="0"/>
      <w:bookmarkEnd w:id="2"/>
      <w:r>
        <w:t>2. Data</w:t>
      </w:r>
      <w:bookmarkEnd w:id="5"/>
    </w:p>
    <w:p w14:paraId="0D0AF6E4" w14:textId="77777777" w:rsidR="004B4AA5" w:rsidRDefault="00000000">
      <w:pPr>
        <w:pStyle w:val="Heading3"/>
      </w:pPr>
      <w:bookmarkStart w:id="6" w:name="administrative-budget-data"/>
      <w:bookmarkStart w:id="7" w:name="_Toc223873421"/>
      <w:r>
        <w:t>2.1 Administrative Budget Data</w:t>
      </w:r>
      <w:bookmarkEnd w:id="7"/>
    </w:p>
    <w:p w14:paraId="0D0AF6E5" w14:textId="77777777" w:rsidR="004B4AA5" w:rsidRDefault="00000000">
      <w:pPr>
        <w:pStyle w:val="FirstParagraph"/>
      </w:pPr>
      <w:r>
        <w:t>I collect 69,000+ observations across 160+ economic series from four administrative sources:</w:t>
      </w:r>
    </w:p>
    <w:tbl>
      <w:tblPr>
        <w:tblStyle w:val="Table"/>
        <w:tblW w:w="5000" w:type="pct"/>
        <w:tblLayout w:type="fixed"/>
        <w:tblLook w:val="0020" w:firstRow="1" w:lastRow="0" w:firstColumn="0" w:lastColumn="0" w:noHBand="0" w:noVBand="0"/>
      </w:tblPr>
      <w:tblGrid>
        <w:gridCol w:w="1782"/>
        <w:gridCol w:w="3118"/>
        <w:gridCol w:w="2895"/>
        <w:gridCol w:w="1781"/>
      </w:tblGrid>
      <w:tr w:rsidR="004B4AA5" w14:paraId="0D0AF6EA"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1473" w:type="dxa"/>
          </w:tcPr>
          <w:p w14:paraId="0D0AF6E6" w14:textId="77777777" w:rsidR="004B4AA5" w:rsidRDefault="00000000">
            <w:pPr>
              <w:pStyle w:val="Compact"/>
            </w:pPr>
            <w:r>
              <w:t>Source</w:t>
            </w:r>
          </w:p>
        </w:tc>
        <w:tc>
          <w:tcPr>
            <w:tcW w:w="2578" w:type="dxa"/>
          </w:tcPr>
          <w:p w14:paraId="0D0AF6E7" w14:textId="77777777" w:rsidR="004B4AA5" w:rsidRDefault="00000000">
            <w:pPr>
              <w:pStyle w:val="Compact"/>
            </w:pPr>
            <w:r>
              <w:t>Series/Tables</w:t>
            </w:r>
          </w:p>
        </w:tc>
        <w:tc>
          <w:tcPr>
            <w:tcW w:w="2394" w:type="dxa"/>
          </w:tcPr>
          <w:p w14:paraId="0D0AF6E8" w14:textId="77777777" w:rsidR="004B4AA5" w:rsidRDefault="00000000">
            <w:pPr>
              <w:pStyle w:val="Compact"/>
            </w:pPr>
            <w:r>
              <w:t>Observations</w:t>
            </w:r>
          </w:p>
        </w:tc>
        <w:tc>
          <w:tcPr>
            <w:tcW w:w="1473" w:type="dxa"/>
          </w:tcPr>
          <w:p w14:paraId="0D0AF6E9" w14:textId="77777777" w:rsidR="004B4AA5" w:rsidRDefault="00000000">
            <w:pPr>
              <w:pStyle w:val="Compact"/>
            </w:pPr>
            <w:r>
              <w:t>Period</w:t>
            </w:r>
          </w:p>
        </w:tc>
      </w:tr>
      <w:tr w:rsidR="004B4AA5" w14:paraId="0D0AF6EF" w14:textId="77777777">
        <w:tc>
          <w:tcPr>
            <w:tcW w:w="1473" w:type="dxa"/>
          </w:tcPr>
          <w:p w14:paraId="0D0AF6EB" w14:textId="77777777" w:rsidR="004B4AA5" w:rsidRDefault="00000000">
            <w:pPr>
              <w:pStyle w:val="Compact"/>
            </w:pPr>
            <w:r>
              <w:t>FRED (Federal Reserve)</w:t>
            </w:r>
          </w:p>
        </w:tc>
        <w:tc>
          <w:tcPr>
            <w:tcW w:w="2578" w:type="dxa"/>
          </w:tcPr>
          <w:p w14:paraId="0D0AF6EC" w14:textId="77777777" w:rsidR="004B4AA5" w:rsidRDefault="00000000">
            <w:pPr>
              <w:pStyle w:val="Compact"/>
            </w:pPr>
            <w:r>
              <w:t>48 series (GDP, employment, CPI, interest rates)</w:t>
            </w:r>
          </w:p>
        </w:tc>
        <w:tc>
          <w:tcPr>
            <w:tcW w:w="2394" w:type="dxa"/>
          </w:tcPr>
          <w:p w14:paraId="0D0AF6ED" w14:textId="77777777" w:rsidR="004B4AA5" w:rsidRDefault="00000000">
            <w:pPr>
              <w:pStyle w:val="Compact"/>
            </w:pPr>
            <w:r>
              <w:t>53,291</w:t>
            </w:r>
          </w:p>
        </w:tc>
        <w:tc>
          <w:tcPr>
            <w:tcW w:w="1473" w:type="dxa"/>
          </w:tcPr>
          <w:p w14:paraId="0D0AF6EE" w14:textId="77777777" w:rsidR="004B4AA5" w:rsidRDefault="00000000">
            <w:pPr>
              <w:pStyle w:val="Compact"/>
            </w:pPr>
            <w:r>
              <w:t>1947–2026</w:t>
            </w:r>
          </w:p>
        </w:tc>
      </w:tr>
      <w:tr w:rsidR="004B4AA5" w14:paraId="0D0AF6F4" w14:textId="77777777">
        <w:tc>
          <w:tcPr>
            <w:tcW w:w="1473" w:type="dxa"/>
          </w:tcPr>
          <w:p w14:paraId="0D0AF6F0" w14:textId="77777777" w:rsidR="004B4AA5" w:rsidRDefault="00000000">
            <w:pPr>
              <w:pStyle w:val="Compact"/>
            </w:pPr>
            <w:r>
              <w:t>U.S. Treasury Fiscal Data API</w:t>
            </w:r>
          </w:p>
        </w:tc>
        <w:tc>
          <w:tcPr>
            <w:tcW w:w="2578" w:type="dxa"/>
          </w:tcPr>
          <w:p w14:paraId="0D0AF6F1" w14:textId="77777777" w:rsidR="004B4AA5" w:rsidRDefault="00000000">
            <w:pPr>
              <w:pStyle w:val="Compact"/>
            </w:pPr>
            <w:r>
              <w:t>MTS Tables 5 &amp; 9 (outlays/revenues by function)</w:t>
            </w:r>
          </w:p>
        </w:tc>
        <w:tc>
          <w:tcPr>
            <w:tcW w:w="2394" w:type="dxa"/>
          </w:tcPr>
          <w:p w14:paraId="0D0AF6F2" w14:textId="77777777" w:rsidR="004B4AA5" w:rsidRDefault="00000000">
            <w:pPr>
              <w:pStyle w:val="Compact"/>
            </w:pPr>
            <w:r>
              <w:t>11,197</w:t>
            </w:r>
          </w:p>
        </w:tc>
        <w:tc>
          <w:tcPr>
            <w:tcW w:w="1473" w:type="dxa"/>
          </w:tcPr>
          <w:p w14:paraId="0D0AF6F3" w14:textId="77777777" w:rsidR="004B4AA5" w:rsidRDefault="00000000">
            <w:pPr>
              <w:pStyle w:val="Compact"/>
            </w:pPr>
            <w:r>
              <w:t>2015–2025</w:t>
            </w:r>
          </w:p>
        </w:tc>
      </w:tr>
      <w:tr w:rsidR="004B4AA5" w14:paraId="0D0AF6F9" w14:textId="77777777">
        <w:tc>
          <w:tcPr>
            <w:tcW w:w="1473" w:type="dxa"/>
          </w:tcPr>
          <w:p w14:paraId="0D0AF6F5" w14:textId="77777777" w:rsidR="004B4AA5" w:rsidRDefault="00000000">
            <w:pPr>
              <w:pStyle w:val="Compact"/>
            </w:pPr>
            <w:r>
              <w:lastRenderedPageBreak/>
              <w:t>Congressional Budget Office</w:t>
            </w:r>
          </w:p>
        </w:tc>
        <w:tc>
          <w:tcPr>
            <w:tcW w:w="2578" w:type="dxa"/>
          </w:tcPr>
          <w:p w14:paraId="0D0AF6F6" w14:textId="77777777" w:rsidR="004B4AA5" w:rsidRDefault="00000000">
            <w:pPr>
              <w:pStyle w:val="Compact"/>
            </w:pPr>
            <w:r>
              <w:t>Historical Budget Data (67 series)</w:t>
            </w:r>
          </w:p>
        </w:tc>
        <w:tc>
          <w:tcPr>
            <w:tcW w:w="2394" w:type="dxa"/>
          </w:tcPr>
          <w:p w14:paraId="0D0AF6F7" w14:textId="77777777" w:rsidR="004B4AA5" w:rsidRDefault="00000000">
            <w:pPr>
              <w:pStyle w:val="Compact"/>
            </w:pPr>
            <w:r>
              <w:t>4,691</w:t>
            </w:r>
          </w:p>
        </w:tc>
        <w:tc>
          <w:tcPr>
            <w:tcW w:w="1473" w:type="dxa"/>
          </w:tcPr>
          <w:p w14:paraId="0D0AF6F8" w14:textId="77777777" w:rsidR="004B4AA5" w:rsidRDefault="00000000">
            <w:pPr>
              <w:pStyle w:val="Compact"/>
            </w:pPr>
            <w:r>
              <w:t>1962–2035</w:t>
            </w:r>
          </w:p>
        </w:tc>
      </w:tr>
      <w:tr w:rsidR="004B4AA5" w14:paraId="0D0AF6FE" w14:textId="77777777">
        <w:tc>
          <w:tcPr>
            <w:tcW w:w="1473" w:type="dxa"/>
          </w:tcPr>
          <w:p w14:paraId="0D0AF6FA" w14:textId="77777777" w:rsidR="004B4AA5" w:rsidRDefault="00000000">
            <w:pPr>
              <w:pStyle w:val="Compact"/>
            </w:pPr>
            <w:r>
              <w:t>BEA NIPA via FRED</w:t>
            </w:r>
          </w:p>
        </w:tc>
        <w:tc>
          <w:tcPr>
            <w:tcW w:w="2578" w:type="dxa"/>
          </w:tcPr>
          <w:p w14:paraId="0D0AF6FB" w14:textId="77777777" w:rsidR="004B4AA5" w:rsidRDefault="00000000">
            <w:pPr>
              <w:pStyle w:val="Compact"/>
            </w:pPr>
            <w:r>
              <w:t>11 government spending series</w:t>
            </w:r>
          </w:p>
        </w:tc>
        <w:tc>
          <w:tcPr>
            <w:tcW w:w="2394" w:type="dxa"/>
          </w:tcPr>
          <w:p w14:paraId="0D0AF6FC" w14:textId="77777777" w:rsidR="004B4AA5" w:rsidRDefault="00000000">
            <w:pPr>
              <w:pStyle w:val="Compact"/>
            </w:pPr>
            <w:r>
              <w:t>512</w:t>
            </w:r>
          </w:p>
        </w:tc>
        <w:tc>
          <w:tcPr>
            <w:tcW w:w="1473" w:type="dxa"/>
          </w:tcPr>
          <w:p w14:paraId="0D0AF6FD" w14:textId="77777777" w:rsidR="004B4AA5" w:rsidRDefault="00000000">
            <w:pPr>
              <w:pStyle w:val="Compact"/>
            </w:pPr>
            <w:r>
              <w:t>2000–2025</w:t>
            </w:r>
          </w:p>
        </w:tc>
      </w:tr>
    </w:tbl>
    <w:p w14:paraId="0D0AF6FF" w14:textId="77777777" w:rsidR="004B4AA5" w:rsidRDefault="00000000">
      <w:pPr>
        <w:pStyle w:val="BodyText"/>
      </w:pPr>
      <w:r>
        <w:t>For the structural analysis, I extract CBO historical outlay and revenue series back to FY2000, yielding 26 annual observations for each of 32 budget aggregates in both nominal and real (FY2024 dollar) terms. CBO baseline projections (January 2025) provide the FY2025 counterfactual.</w:t>
      </w:r>
    </w:p>
    <w:p w14:paraId="0D0AF700" w14:textId="77777777" w:rsidR="004B4AA5" w:rsidRDefault="00000000">
      <w:pPr>
        <w:pStyle w:val="Heading3"/>
      </w:pPr>
      <w:bookmarkStart w:id="8" w:name="census-income-distribution-data"/>
      <w:bookmarkStart w:id="9" w:name="_Toc223873422"/>
      <w:bookmarkEnd w:id="6"/>
      <w:r>
        <w:t>2.2 Census Income Distribution Data</w:t>
      </w:r>
      <w:bookmarkEnd w:id="9"/>
    </w:p>
    <w:p w14:paraId="0D0AF701" w14:textId="77777777" w:rsidR="004B4AA5" w:rsidRDefault="00000000">
      <w:pPr>
        <w:pStyle w:val="FirstParagraph"/>
      </w:pPr>
      <w:r>
        <w:rPr>
          <w:b/>
          <w:bCs/>
        </w:rPr>
        <w:t>Census Table H-2.</w:t>
      </w:r>
      <w:r>
        <w:t xml:space="preserve"> Annual household income quintile shares, 2000–2023 (24 observations).</w:t>
      </w:r>
    </w:p>
    <w:p w14:paraId="0D0AF702" w14:textId="77777777" w:rsidR="004B4AA5" w:rsidRDefault="00000000">
      <w:pPr>
        <w:pStyle w:val="BodyText"/>
      </w:pPr>
      <w:r>
        <w:rPr>
          <w:b/>
          <w:bCs/>
        </w:rPr>
        <w:t>CPS ASEC microdata (eight benchmark years).</w:t>
      </w:r>
      <w:r>
        <w:t xml:space="preserve"> Calendar years 2002, 2005, 2008, 2011, 2014, 2017, 2020, 2023 via the Census Bureau API, comprising approximately 1.4 million person-records (age 15+) with full income component detail and supplement weights.</w:t>
      </w:r>
    </w:p>
    <w:p w14:paraId="0D0AF703" w14:textId="77777777" w:rsidR="004B4AA5" w:rsidRDefault="00000000">
      <w:pPr>
        <w:pStyle w:val="BodyText"/>
      </w:pPr>
      <w:r>
        <w:rPr>
          <w:b/>
          <w:bCs/>
        </w:rPr>
        <w:t>CPS ASEC 2024.</w:t>
      </w:r>
      <w:r>
        <w:t xml:space="preserve"> 115,836 person records representing 273 million weighted persons. Income reference year CY2023 (pre-policy baseline). Income components follow the PSZ framework: market income (earnings + capital), social insurance (Social Security + unemployment + veterans), means-tested transfers (SSI + public assistance + educational assistance), federal taxes (income + FICA), and tax credits (EITC + CTC).</w:t>
      </w:r>
    </w:p>
    <w:p w14:paraId="0D0AF704" w14:textId="77777777" w:rsidR="004B4AA5" w:rsidRDefault="00000000">
      <w:pPr>
        <w:pStyle w:val="Heading3"/>
      </w:pPr>
      <w:bookmarkStart w:id="10" w:name="consumer-expenditure-survey"/>
      <w:bookmarkStart w:id="11" w:name="_Toc223873423"/>
      <w:bookmarkEnd w:id="8"/>
      <w:r>
        <w:t>2.3 Consumer Expenditure Survey</w:t>
      </w:r>
      <w:bookmarkEnd w:id="11"/>
    </w:p>
    <w:p w14:paraId="0D0AF705" w14:textId="77777777" w:rsidR="004B4AA5" w:rsidRDefault="00000000">
      <w:pPr>
        <w:pStyle w:val="FirstParagraph"/>
      </w:pPr>
      <w:r>
        <w:t>BLS CEX 2023 published quintile tables (Table 1101) for expenditure by goods category and income quintile. I calibrate the CEX-to-CPS cross-walk using CPS ASEC 2024 microdata: grouping respondents by household, the person-weighted 50th percentile of household income is $96,000, yielding:</w:t>
      </w:r>
    </w:p>
    <w:p w14:paraId="0D0AF706" w14:textId="77777777" w:rsidR="004B4AA5" w:rsidRDefault="00000000">
      <w:pPr>
        <w:pStyle w:val="BodyText"/>
      </w:pPr>
      <m:oMathPara>
        <m:oMathParaPr>
          <m:jc m:val="center"/>
        </m:oMathParaPr>
        <m:oMath>
          <m:sSub>
            <m:sSubPr>
              <m:ctrlPr>
                <w:rPr>
                  <w:rFonts w:ascii="Cambria Math" w:hAnsi="Cambria Math"/>
                </w:rPr>
              </m:ctrlPr>
            </m:sSubPr>
            <m:e>
              <m:r>
                <m:rPr>
                  <m:nor/>
                </m:rPr>
                <m:t>B50</m:t>
              </m:r>
            </m:e>
            <m:sub>
              <m:r>
                <m:rPr>
                  <m:nor/>
                </m:rPr>
                <m:t>CEX</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3</m:t>
              </m:r>
            </m:sub>
          </m:sSub>
          <m:r>
            <m:rPr>
              <m:sty m:val="p"/>
            </m:rPr>
            <w:rPr>
              <w:rFonts w:ascii="Cambria Math" w:hAnsi="Cambria Math"/>
            </w:rPr>
            <m:t>+</m:t>
          </m:r>
          <m:r>
            <w:rPr>
              <w:rFonts w:ascii="Cambria Math" w:hAnsi="Cambria Math"/>
            </w:rPr>
            <m:t>0.414</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4</m:t>
              </m:r>
            </m:sub>
          </m:sSub>
        </m:oMath>
      </m:oMathPara>
    </w:p>
    <w:p w14:paraId="0D0AF707" w14:textId="77777777" w:rsidR="004B4AA5" w:rsidRDefault="00000000">
      <w:pPr>
        <w:pStyle w:val="FirstParagraph"/>
      </w:pPr>
      <w:r>
        <w:t>This captures exactly 50.0% of persons by household income rank (see Appendix A for calibration details; income distribution baseline in Appendix B). For the spending-cut analysis, I use CPS person-income quintiles where B50 = Q1+Q2+0.5</w:t>
      </w:r>
      <m:oMath>
        <m:r>
          <m:rPr>
            <m:sty m:val="p"/>
          </m:rPr>
          <w:rPr>
            <w:rFonts w:ascii="Cambria Math" w:hAnsi="Cambria Math"/>
          </w:rPr>
          <m:t>×</m:t>
        </m:r>
      </m:oMath>
      <w:r>
        <w:t>Q3 (136.6M persons).</w:t>
      </w:r>
    </w:p>
    <w:p w14:paraId="0D0AF708" w14:textId="77777777" w:rsidR="004B4AA5" w:rsidRDefault="00000000">
      <w:pPr>
        <w:pStyle w:val="Heading3"/>
      </w:pPr>
      <w:bookmarkStart w:id="12" w:name="cpi-sub-indices"/>
      <w:bookmarkStart w:id="13" w:name="_Toc223873424"/>
      <w:bookmarkEnd w:id="10"/>
      <w:r>
        <w:t>2.4 CPI Sub-Indices</w:t>
      </w:r>
      <w:bookmarkEnd w:id="13"/>
    </w:p>
    <w:p w14:paraId="0D0AF709" w14:textId="77777777" w:rsidR="004B4AA5" w:rsidRDefault="00000000">
      <w:pPr>
        <w:pStyle w:val="FirstParagraph"/>
      </w:pPr>
      <w:r>
        <w:t>Twelve CPI-U sub-indices from FRED (through January 2026) covering tariff-affected goods categories plus five non-tradable service categories as controls.</w:t>
      </w:r>
    </w:p>
    <w:p w14:paraId="0D0AF70A" w14:textId="77777777" w:rsidR="004B4AA5" w:rsidRDefault="00000000">
      <w:pPr>
        <w:pStyle w:val="Heading3"/>
      </w:pPr>
      <w:bookmarkStart w:id="14" w:name="inflation-adjustment"/>
      <w:bookmarkStart w:id="15" w:name="_Toc223873425"/>
      <w:bookmarkEnd w:id="12"/>
      <w:r>
        <w:lastRenderedPageBreak/>
        <w:t>2.5 Inflation Adjustment</w:t>
      </w:r>
      <w:bookmarkEnd w:id="15"/>
    </w:p>
    <w:p w14:paraId="0D0AF70B" w14:textId="77777777" w:rsidR="004B4AA5" w:rsidRDefault="00000000">
      <w:pPr>
        <w:pStyle w:val="FirstParagraph"/>
      </w:pPr>
      <w:r>
        <w:t>All dollar values in constant FY2024 dollars (CPI-U base = 311.6). Robustness to PCE, GDP deflator, chained CPI-U, and CPI-W tested in Section 7.</w:t>
      </w:r>
    </w:p>
    <w:p w14:paraId="0D0AF70C" w14:textId="77777777" w:rsidR="004B4AA5" w:rsidRDefault="00000000">
      <w:r>
        <w:pict w14:anchorId="0D0AFA59">
          <v:rect id="_x0000_i1026" style="width:0;height:1.5pt" o:hralign="center" o:hrstd="t" o:hr="t"/>
        </w:pict>
      </w:r>
    </w:p>
    <w:p w14:paraId="0D0AF70D" w14:textId="77777777" w:rsidR="004B4AA5" w:rsidRDefault="00000000">
      <w:pPr>
        <w:pStyle w:val="Heading2"/>
      </w:pPr>
      <w:bookmarkStart w:id="16" w:name="conceptual-framework"/>
      <w:bookmarkStart w:id="17" w:name="_Toc223873426"/>
      <w:bookmarkEnd w:id="4"/>
      <w:bookmarkEnd w:id="14"/>
      <w:r>
        <w:t>3. Conceptual Framework</w:t>
      </w:r>
      <w:bookmarkEnd w:id="17"/>
    </w:p>
    <w:p w14:paraId="0D0AF70E" w14:textId="77777777" w:rsidR="004B4AA5" w:rsidRDefault="00000000">
      <w:pPr>
        <w:pStyle w:val="Heading3"/>
      </w:pPr>
      <w:bookmarkStart w:id="18" w:name="three-channels-of-fiscal-incidence"/>
      <w:bookmarkStart w:id="19" w:name="_Toc223873427"/>
      <w:r>
        <w:t>3.1 Three Channels of Fiscal Incidence</w:t>
      </w:r>
      <w:bookmarkEnd w:id="19"/>
    </w:p>
    <w:p w14:paraId="0D0AF70F" w14:textId="77777777" w:rsidR="004B4AA5" w:rsidRDefault="00000000">
      <w:pPr>
        <w:pStyle w:val="FirstParagraph"/>
      </w:pPr>
      <w:r>
        <w:t>I model the distributional impact of federal fiscal policy through three channels that may operate simultaneously:</w:t>
      </w:r>
    </w:p>
    <w:p w14:paraId="0D0AF710" w14:textId="77777777" w:rsidR="004B4AA5" w:rsidRDefault="00000000">
      <w:pPr>
        <w:numPr>
          <w:ilvl w:val="0"/>
          <w:numId w:val="2"/>
        </w:numPr>
      </w:pPr>
      <w:r>
        <w:rPr>
          <w:b/>
          <w:bCs/>
        </w:rPr>
        <w:t>The tariff channel.</w:t>
      </w:r>
      <w:r>
        <w:t xml:space="preserve"> Tariffs function as a consumption tax whose incidence depends on import content of consumer goods and spending shares across the income distribution. Because lower-income households spend a higher share of income on goods (vs. services) and on import-intensive necessities (food, clothing, household goods), tariff burdens are regressive as a share of income (Fajgelbaum et al., 2020).</w:t>
      </w:r>
    </w:p>
    <w:p w14:paraId="0D0AF711" w14:textId="77777777" w:rsidR="004B4AA5" w:rsidRDefault="00000000">
      <w:pPr>
        <w:numPr>
          <w:ilvl w:val="0"/>
          <w:numId w:val="2"/>
        </w:numPr>
      </w:pPr>
      <w:r>
        <w:rPr>
          <w:b/>
          <w:bCs/>
        </w:rPr>
        <w:t>The spending-cut channel.</w:t>
      </w:r>
      <w:r>
        <w:t xml:space="preserve"> Reductions in means-tested federal spending (Medicaid, income security, nondefense discretionary) fall disproportionately on households that receive these transfers. CPS ASEC data confirm extreme concentration: SSI receipt rates are 64:1 (Q1 vs. Q5), EITC dollar values 329:1.</w:t>
      </w:r>
    </w:p>
    <w:p w14:paraId="0D0AF712" w14:textId="77777777" w:rsidR="004B4AA5" w:rsidRDefault="00000000">
      <w:pPr>
        <w:numPr>
          <w:ilvl w:val="0"/>
          <w:numId w:val="2"/>
        </w:numPr>
      </w:pPr>
      <w:r>
        <w:rPr>
          <w:b/>
          <w:bCs/>
        </w:rPr>
        <w:t>The interest-crowding channel.</w:t>
      </w:r>
      <w:r>
        <w:t xml:space="preserve"> Rising debt service redirects federal outlays from transfers (which flow to lower-income households) to interest payments (which flow to bondholders concentrated in the top decile—67% of bonds and fixed-income securities per the Federal Reserve 2023 SCF).</w:t>
      </w:r>
    </w:p>
    <w:p w14:paraId="0D0AF713" w14:textId="77777777" w:rsidR="004B4AA5" w:rsidRDefault="00000000">
      <w:pPr>
        <w:pStyle w:val="Heading3"/>
      </w:pPr>
      <w:bookmarkStart w:id="20" w:name="trend-vs.-discontinuity"/>
      <w:bookmarkStart w:id="21" w:name="_Toc223873428"/>
      <w:bookmarkEnd w:id="18"/>
      <w:r>
        <w:t>3.2 Trend vs. Discontinuity</w:t>
      </w:r>
      <w:bookmarkEnd w:id="21"/>
    </w:p>
    <w:p w14:paraId="0D0AF714" w14:textId="77777777" w:rsidR="004B4AA5" w:rsidRDefault="00000000">
      <w:pPr>
        <w:pStyle w:val="FirstParagraph"/>
      </w:pPr>
      <w:r>
        <w:t xml:space="preserve">The key conceptual distinction is between </w:t>
      </w:r>
      <w:r>
        <w:rPr>
          <w:i/>
          <w:iCs/>
        </w:rPr>
        <w:t>secular trends</w:t>
      </w:r>
      <w:r>
        <w:t xml:space="preserve"> and </w:t>
      </w:r>
      <w:r>
        <w:rPr>
          <w:i/>
          <w:iCs/>
        </w:rPr>
        <w:t>policy discontinuities</w:t>
      </w:r>
      <w:r>
        <w:t>. A secular trend in distributional incidence—such as a gradual shift toward more regressive revenue sources—reflects structural forces (demographic change, globalization, legislative drift) that persist across administrations. A policy discontinuity—such as the sudden explosion of tariff revenue—reflects identifiable policy choices whose distributional consequences can be attributed to specific actions.</w:t>
      </w:r>
    </w:p>
    <w:p w14:paraId="0D0AF715" w14:textId="77777777" w:rsidR="004B4AA5" w:rsidRDefault="00000000">
      <w:pPr>
        <w:pStyle w:val="BodyText"/>
      </w:pPr>
      <w:r>
        <w:t xml:space="preserve">This distinction generates testable predictions: - </w:t>
      </w:r>
      <w:r>
        <w:rPr>
          <w:b/>
          <w:bCs/>
        </w:rPr>
        <w:t>If FY2025 is a trend continuation:</w:t>
      </w:r>
      <w:r>
        <w:t xml:space="preserve"> distributional indicators should fall within the prediction interval of pre-existing trajectories. Policy response requires structural reform. - </w:t>
      </w:r>
      <w:r>
        <w:rPr>
          <w:b/>
          <w:bCs/>
        </w:rPr>
        <w:t>If FY2025 is a structural break:</w:t>
      </w:r>
      <w:r>
        <w:t xml:space="preserve"> indicators should deviate significantly from trend predictions. The break is attributable to identifiable policies and is, in principle, reversible.</w:t>
      </w:r>
    </w:p>
    <w:p w14:paraId="0D0AF716" w14:textId="77777777" w:rsidR="004B4AA5" w:rsidRDefault="00000000">
      <w:pPr>
        <w:pStyle w:val="BodyText"/>
      </w:pPr>
      <w:r>
        <w:t>These predictions generate four testable hypotheses:</w:t>
      </w:r>
    </w:p>
    <w:p w14:paraId="0D0AF717" w14:textId="77777777" w:rsidR="004B4AA5" w:rsidRDefault="00000000">
      <w:pPr>
        <w:pStyle w:val="Compact"/>
        <w:numPr>
          <w:ilvl w:val="0"/>
          <w:numId w:val="3"/>
        </w:numPr>
      </w:pPr>
      <w:r>
        <w:rPr>
          <w:b/>
          <w:bCs/>
        </w:rPr>
        <w:lastRenderedPageBreak/>
        <w:t>H1 (Customs break):</w:t>
      </w:r>
      <w:r>
        <w:t xml:space="preserve"> The customs revenue share in FY2025 exceeds the out-of-sample prediction interval from the FY2000–2017 trend (|z| &gt; 2.0).</w:t>
      </w:r>
    </w:p>
    <w:p w14:paraId="0D0AF718" w14:textId="77777777" w:rsidR="004B4AA5" w:rsidRDefault="00000000">
      <w:pPr>
        <w:pStyle w:val="Compact"/>
        <w:numPr>
          <w:ilvl w:val="0"/>
          <w:numId w:val="3"/>
        </w:numPr>
      </w:pPr>
      <w:r>
        <w:rPr>
          <w:b/>
          <w:bCs/>
        </w:rPr>
        <w:t>H2 (Crowding break):</w:t>
      </w:r>
      <w:r>
        <w:t xml:space="preserve"> The interest-to-safety-net ratio in FY2025 exceeds the out-of-sample prediction interval from the FY2000–2024 trend (|z| &gt; 2.0).</w:t>
      </w:r>
    </w:p>
    <w:p w14:paraId="0D0AF719" w14:textId="77777777" w:rsidR="004B4AA5" w:rsidRDefault="00000000">
      <w:pPr>
        <w:pStyle w:val="Compact"/>
        <w:numPr>
          <w:ilvl w:val="0"/>
          <w:numId w:val="3"/>
        </w:numPr>
      </w:pPr>
      <w:r>
        <w:rPr>
          <w:b/>
          <w:bCs/>
        </w:rPr>
        <w:t>H3 (Trend continuity):</w:t>
      </w:r>
      <w:r>
        <w:t xml:space="preserve"> The regressive revenue share and safety-net outlay share in FY2025 fall within their respective prediction intervals (|z| </w:t>
      </w:r>
      <m:oMath>
        <m:r>
          <m:rPr>
            <m:sty m:val="p"/>
          </m:rPr>
          <w:rPr>
            <w:rFonts w:ascii="Cambria Math" w:hAnsi="Cambria Math"/>
          </w:rPr>
          <m:t>≤</m:t>
        </m:r>
      </m:oMath>
      <w:r>
        <w:t xml:space="preserve"> 2.0).</w:t>
      </w:r>
    </w:p>
    <w:p w14:paraId="0D0AF71A" w14:textId="77777777" w:rsidR="004B4AA5" w:rsidRDefault="00000000">
      <w:pPr>
        <w:pStyle w:val="Compact"/>
        <w:numPr>
          <w:ilvl w:val="0"/>
          <w:numId w:val="3"/>
        </w:numPr>
      </w:pPr>
      <w:r>
        <w:rPr>
          <w:b/>
          <w:bCs/>
        </w:rPr>
        <w:t>H4 (Regressive discontinuity):</w:t>
      </w:r>
      <w:r>
        <w:t xml:space="preserve"> The channels classified as structural breaks impose a larger per-person burden on the bottom 50% than the channels classified as within-trend.</w:t>
      </w:r>
    </w:p>
    <w:p w14:paraId="0D0AF71B" w14:textId="77777777" w:rsidR="004B4AA5" w:rsidRDefault="00000000">
      <w:pPr>
        <w:pStyle w:val="Heading3"/>
      </w:pPr>
      <w:bookmarkStart w:id="22" w:name="interaction-effects"/>
      <w:bookmarkStart w:id="23" w:name="_Toc223873429"/>
      <w:bookmarkEnd w:id="20"/>
      <w:r>
        <w:t>3.3 Interaction Effects</w:t>
      </w:r>
      <w:bookmarkEnd w:id="23"/>
    </w:p>
    <w:p w14:paraId="0D0AF71C" w14:textId="77777777" w:rsidR="004B4AA5" w:rsidRDefault="00000000">
      <w:pPr>
        <w:pStyle w:val="FirstParagraph"/>
      </w:pPr>
      <w:r>
        <w:t xml:space="preserve">The three channels reinforce one another through two mechanisms: - </w:t>
      </w:r>
      <w:r>
        <w:rPr>
          <w:b/>
          <w:bCs/>
        </w:rPr>
        <w:t>Budget composition:</w:t>
      </w:r>
      <w:r>
        <w:t xml:space="preserve"> Interest crowding reduces the fiscal space available for transfers, amplifying the spending-cut channel. - </w:t>
      </w:r>
      <w:r>
        <w:rPr>
          <w:b/>
          <w:bCs/>
        </w:rPr>
        <w:t>Income-base erosion:</w:t>
      </w:r>
      <w:r>
        <w:t xml:space="preserve"> Tariff-driven price increases erode the real purchasing power of the transfers that remain, compounding the welfare loss from spending reductions.</w:t>
      </w:r>
    </w:p>
    <w:p w14:paraId="0D0AF71D" w14:textId="77777777" w:rsidR="004B4AA5" w:rsidRDefault="00000000">
      <w:pPr>
        <w:pStyle w:val="BodyText"/>
      </w:pPr>
      <w:r>
        <w:t>This means analyzing any channel in isolation—as the existing literature does—understates the combined burden on the bottom 50%.</w:t>
      </w:r>
    </w:p>
    <w:p w14:paraId="0D0AF71E" w14:textId="77777777" w:rsidR="004B4AA5" w:rsidRDefault="00000000">
      <w:r>
        <w:pict w14:anchorId="0D0AFA5A">
          <v:rect id="_x0000_i1027" style="width:0;height:1.5pt" o:hralign="center" o:hrstd="t" o:hr="t"/>
        </w:pict>
      </w:r>
    </w:p>
    <w:p w14:paraId="0D0AF71F" w14:textId="77777777" w:rsidR="004B4AA5" w:rsidRDefault="00000000">
      <w:pPr>
        <w:pStyle w:val="Heading2"/>
      </w:pPr>
      <w:bookmarkStart w:id="24" w:name="empirical-strategy"/>
      <w:bookmarkStart w:id="25" w:name="_Toc223873430"/>
      <w:bookmarkEnd w:id="16"/>
      <w:bookmarkEnd w:id="22"/>
      <w:r>
        <w:t>4. Empirical Strategy</w:t>
      </w:r>
      <w:bookmarkEnd w:id="25"/>
    </w:p>
    <w:p w14:paraId="0D0AF720" w14:textId="77777777" w:rsidR="004B4AA5" w:rsidRDefault="00000000">
      <w:pPr>
        <w:pStyle w:val="Heading3"/>
      </w:pPr>
      <w:bookmarkStart w:id="26" w:name="structural-break-identification"/>
      <w:bookmarkStart w:id="27" w:name="_Toc223873431"/>
      <w:r>
        <w:t>4.1 Structural Break Identification</w:t>
      </w:r>
      <w:bookmarkEnd w:id="27"/>
    </w:p>
    <w:p w14:paraId="0D0AF721" w14:textId="77777777" w:rsidR="004B4AA5" w:rsidRDefault="00000000">
      <w:pPr>
        <w:pStyle w:val="FirstParagraph"/>
      </w:pPr>
      <w:r>
        <w:t>For each of four distributional indicators, I test whether the FY2025 value constitutes a structural break from the historical trajectory. The procedure is:</w:t>
      </w:r>
    </w:p>
    <w:p w14:paraId="0D0AF722" w14:textId="77777777" w:rsidR="004B4AA5" w:rsidRDefault="00000000">
      <w:pPr>
        <w:numPr>
          <w:ilvl w:val="0"/>
          <w:numId w:val="4"/>
        </w:numPr>
      </w:pPr>
      <w:r>
        <w:rPr>
          <w:b/>
          <w:bCs/>
        </w:rPr>
        <w:t>Training period selection.</w:t>
      </w:r>
      <w:r>
        <w:t xml:space="preserve"> I use indicator-specific training periods to avoid contamination:</w:t>
      </w:r>
    </w:p>
    <w:p w14:paraId="0D0AF723" w14:textId="77777777" w:rsidR="004B4AA5" w:rsidRDefault="00000000">
      <w:pPr>
        <w:pStyle w:val="Compact"/>
        <w:numPr>
          <w:ilvl w:val="1"/>
          <w:numId w:val="5"/>
        </w:numPr>
      </w:pPr>
      <w:r>
        <w:rPr>
          <w:i/>
          <w:iCs/>
        </w:rPr>
        <w:t>Customs share</w:t>
      </w:r>
      <w:r>
        <w:t xml:space="preserve"> and </w:t>
      </w:r>
      <w:r>
        <w:rPr>
          <w:i/>
          <w:iCs/>
        </w:rPr>
        <w:t>regressive revenue share</w:t>
      </w:r>
      <w:r>
        <w:t>: FY2000–FY2017 (n = 18), ending before Section 301 tariff actions.</w:t>
      </w:r>
    </w:p>
    <w:p w14:paraId="0D0AF724" w14:textId="77777777" w:rsidR="004B4AA5" w:rsidRDefault="00000000">
      <w:pPr>
        <w:pStyle w:val="Compact"/>
        <w:numPr>
          <w:ilvl w:val="1"/>
          <w:numId w:val="5"/>
        </w:numPr>
      </w:pPr>
      <w:r>
        <w:rPr>
          <w:i/>
          <w:iCs/>
        </w:rPr>
        <w:t>Interest/safety-net ratio</w:t>
      </w:r>
      <w:r>
        <w:t xml:space="preserve"> and </w:t>
      </w:r>
      <w:r>
        <w:rPr>
          <w:i/>
          <w:iCs/>
        </w:rPr>
        <w:t>safety-net outlay share</w:t>
      </w:r>
      <w:r>
        <w:t>: FY2000–FY2024 excluding COVID-distorted FY2020–FY2021 (n = 23).</w:t>
      </w:r>
    </w:p>
    <w:p w14:paraId="0D0AF725" w14:textId="77777777" w:rsidR="004B4AA5" w:rsidRDefault="00000000">
      <w:pPr>
        <w:numPr>
          <w:ilvl w:val="0"/>
          <w:numId w:val="4"/>
        </w:numPr>
      </w:pPr>
      <w:r>
        <w:rPr>
          <w:b/>
          <w:bCs/>
        </w:rPr>
        <w:t>OLS trend estimation.</w:t>
      </w:r>
      <w:r>
        <w:t xml:space="preserve"> For each indicator </w:t>
      </w:r>
      <m:oMath>
        <m:r>
          <w:rPr>
            <w:rFonts w:ascii="Cambria Math" w:hAnsi="Cambria Math"/>
          </w:rPr>
          <m:t>y</m:t>
        </m:r>
      </m:oMath>
      <w:r>
        <w:t>, I estimate:</w:t>
      </w:r>
    </w:p>
    <w:p w14:paraId="0D0AF726" w14:textId="77777777" w:rsidR="004B4AA5"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p w14:paraId="0D0AF727" w14:textId="77777777" w:rsidR="004B4AA5" w:rsidRDefault="00000000">
      <w:pPr>
        <w:numPr>
          <w:ilvl w:val="0"/>
          <w:numId w:val="1"/>
        </w:numPr>
      </w:pPr>
      <w:r>
        <w:t>over the training period.</w:t>
      </w:r>
    </w:p>
    <w:p w14:paraId="0D0AF728" w14:textId="77777777" w:rsidR="004B4AA5" w:rsidRDefault="00000000">
      <w:pPr>
        <w:numPr>
          <w:ilvl w:val="0"/>
          <w:numId w:val="4"/>
        </w:numPr>
      </w:pPr>
      <w:r>
        <w:rPr>
          <w:b/>
          <w:bCs/>
        </w:rPr>
        <w:t>Out-of-sample prediction test.</w:t>
      </w:r>
      <w:r>
        <w:t xml:space="preserve"> The z-score uses the proper prediction standard error:</w:t>
      </w:r>
    </w:p>
    <w:p w14:paraId="0D0AF729" w14:textId="77777777" w:rsidR="004B4AA5" w:rsidRDefault="00000000">
      <w:pPr>
        <w:pStyle w:val="FirstParagraph"/>
      </w:pPr>
      <m:oMathPara>
        <m:oMathParaPr>
          <m:jc m:val="center"/>
        </m:oMathParaPr>
        <m:oMath>
          <m:r>
            <w:rPr>
              <w:rFonts w:ascii="Cambria Math" w:hAnsi="Cambria Math"/>
            </w:rPr>
            <w:lastRenderedPageBreak/>
            <m:t>z</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2025</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2025</m:t>
                  </m:r>
                </m:sub>
              </m:sSub>
            </m:num>
            <m:den>
              <m:acc>
                <m:accPr>
                  <m:ctrlPr>
                    <w:rPr>
                      <w:rFonts w:ascii="Cambria Math" w:hAnsi="Cambria Math"/>
                    </w:rPr>
                  </m:ctrlPr>
                </m:accPr>
                <m:e>
                  <m:r>
                    <w:rPr>
                      <w:rFonts w:ascii="Cambria Math" w:hAnsi="Cambria Math"/>
                    </w:rPr>
                    <m:t>σ</m:t>
                  </m:r>
                </m:e>
              </m:acc>
              <m:rad>
                <m:radPr>
                  <m:degHide m:val="1"/>
                  <m:ctrlPr>
                    <w:rPr>
                      <w:rFonts w:ascii="Cambria Math" w:hAnsi="Cambria Math"/>
                    </w:rPr>
                  </m:ctrlPr>
                </m:radPr>
                <m:deg/>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2025</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e>
              </m:rad>
            </m:den>
          </m:f>
        </m:oMath>
      </m:oMathPara>
    </w:p>
    <w:p w14:paraId="0D0AF72A" w14:textId="77777777" w:rsidR="004B4AA5" w:rsidRDefault="00000000">
      <w:pPr>
        <w:pStyle w:val="FirstParagraph"/>
      </w:pPr>
      <w:r>
        <w:t xml:space="preserve">where </w:t>
      </w:r>
      <m:oMath>
        <m:acc>
          <m:accPr>
            <m:ctrlPr>
              <w:rPr>
                <w:rFonts w:ascii="Cambria Math" w:hAnsi="Cambria Math"/>
              </w:rPr>
            </m:ctrlPr>
          </m:accPr>
          <m:e>
            <m:r>
              <w:rPr>
                <w:rFonts w:ascii="Cambria Math" w:hAnsi="Cambria Math"/>
              </w:rPr>
              <m:t>σ</m:t>
            </m:r>
          </m:e>
        </m:acc>
      </m:oMath>
      <w:r>
        <w:t xml:space="preserve"> is the residual standard deviation, </w:t>
      </w:r>
      <m:oMath>
        <m:r>
          <w:rPr>
            <w:rFonts w:ascii="Cambria Math" w:hAnsi="Cambria Math"/>
          </w:rPr>
          <m:t>n</m:t>
        </m:r>
      </m:oMath>
      <w:r>
        <w:t xml:space="preserve"> is the training sample size, and the denominator accounts for parameter estimation uncertainty and forecast-point leverage. </w:t>
      </w:r>
      <m:oMath>
        <m:r>
          <m:rPr>
            <m:sty m:val="p"/>
          </m:rPr>
          <w:rPr>
            <w:rFonts w:ascii="Cambria Math" w:hAnsi="Cambria Math"/>
          </w:rPr>
          <m:t>|</m:t>
        </m:r>
        <m:r>
          <w:rPr>
            <w:rFonts w:ascii="Cambria Math" w:hAnsi="Cambria Math"/>
          </w:rPr>
          <m:t>z</m:t>
        </m:r>
        <m:r>
          <m:rPr>
            <m:sty m:val="p"/>
          </m:rPr>
          <w:rPr>
            <w:rFonts w:ascii="Cambria Math" w:hAnsi="Cambria Math"/>
          </w:rPr>
          <m:t>|&gt;</m:t>
        </m:r>
        <m:r>
          <w:rPr>
            <w:rFonts w:ascii="Cambria Math" w:hAnsi="Cambria Math"/>
          </w:rPr>
          <m:t>2.0</m:t>
        </m:r>
      </m:oMath>
      <w:r>
        <w:t xml:space="preserve"> corresponds to a structural break at approximately the 5% level.</w:t>
      </w:r>
    </w:p>
    <w:p w14:paraId="0D0AF72B" w14:textId="77777777" w:rsidR="004B4AA5" w:rsidRDefault="00000000">
      <w:pPr>
        <w:pStyle w:val="Compact"/>
        <w:numPr>
          <w:ilvl w:val="0"/>
          <w:numId w:val="6"/>
        </w:numPr>
      </w:pPr>
      <w:r>
        <w:rPr>
          <w:b/>
          <w:bCs/>
        </w:rPr>
        <w:t>Classification.</w:t>
      </w:r>
      <w:r>
        <w:t xml:space="preserve"> Indicators with </w:t>
      </w:r>
      <m:oMath>
        <m:r>
          <m:rPr>
            <m:sty m:val="p"/>
          </m:rPr>
          <w:rPr>
            <w:rFonts w:ascii="Cambria Math" w:hAnsi="Cambria Math"/>
          </w:rPr>
          <m:t>|</m:t>
        </m:r>
        <m:r>
          <w:rPr>
            <w:rFonts w:ascii="Cambria Math" w:hAnsi="Cambria Math"/>
          </w:rPr>
          <m:t>z</m:t>
        </m:r>
        <m:r>
          <m:rPr>
            <m:sty m:val="p"/>
          </m:rPr>
          <w:rPr>
            <w:rFonts w:ascii="Cambria Math" w:hAnsi="Cambria Math"/>
          </w:rPr>
          <m:t>|&gt;</m:t>
        </m:r>
        <m:r>
          <w:rPr>
            <w:rFonts w:ascii="Cambria Math" w:hAnsi="Cambria Math"/>
          </w:rPr>
          <m:t>2.0</m:t>
        </m:r>
      </m:oMath>
      <w:r>
        <w:t xml:space="preserve"> are classified as structural breaks; those with </w:t>
      </w:r>
      <m:oMath>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2.0</m:t>
        </m:r>
      </m:oMath>
      <w:r>
        <w:t xml:space="preserve"> as within-trend.</w:t>
      </w:r>
    </w:p>
    <w:p w14:paraId="0D0AF72C" w14:textId="77777777" w:rsidR="004B4AA5" w:rsidRDefault="00000000">
      <w:pPr>
        <w:pStyle w:val="Heading3"/>
      </w:pPr>
      <w:bookmarkStart w:id="28" w:name="aggregate-fiscal-accounting"/>
      <w:bookmarkStart w:id="29" w:name="_Toc223873432"/>
      <w:bookmarkEnd w:id="26"/>
      <w:r>
        <w:t>4.2 Aggregate Fiscal Accounting</w:t>
      </w:r>
      <w:bookmarkEnd w:id="29"/>
    </w:p>
    <w:p w14:paraId="0D0AF72D" w14:textId="77777777" w:rsidR="004B4AA5" w:rsidRDefault="00000000">
      <w:pPr>
        <w:pStyle w:val="FirstParagraph"/>
      </w:pPr>
      <w:r>
        <w:t>I measure the FY2025 fiscal shift by comparing actual spending and revenue against the CBO January 2025 baseline projection (</w:t>
      </w:r>
      <w:r>
        <w:rPr>
          <w:i/>
          <w:iCs/>
        </w:rPr>
        <w:t>The Budget and Economic Outlook: 2025 to 2035</w:t>
      </w:r>
      <w:r>
        <w:t>), which embodies current-law assumptions and thus provides a “no policy change” counterfactual.</w:t>
      </w:r>
    </w:p>
    <w:p w14:paraId="0D0AF72E" w14:textId="77777777" w:rsidR="004B4AA5" w:rsidRDefault="00000000">
      <w:pPr>
        <w:pStyle w:val="Heading3"/>
      </w:pPr>
      <w:bookmarkStart w:id="30" w:name="tariff-price-pass-through"/>
      <w:bookmarkStart w:id="31" w:name="_Toc223873433"/>
      <w:bookmarkEnd w:id="28"/>
      <w:r>
        <w:t>4.3 Tariff Price Pass-Through</w:t>
      </w:r>
      <w:bookmarkEnd w:id="31"/>
    </w:p>
    <w:p w14:paraId="0D0AF72F" w14:textId="77777777" w:rsidR="004B4AA5" w:rsidRDefault="00000000">
      <w:pPr>
        <w:pStyle w:val="FirstParagraph"/>
      </w:pPr>
      <w:r>
        <w:t>I test for tariff-driven price increases using two complementary identification strategies:</w:t>
      </w:r>
    </w:p>
    <w:p w14:paraId="0D0AF730" w14:textId="77777777" w:rsidR="004B4AA5" w:rsidRDefault="00000000">
      <w:pPr>
        <w:pStyle w:val="BodyText"/>
      </w:pPr>
      <w:r>
        <w:rPr>
          <w:b/>
          <w:bCs/>
        </w:rPr>
        <w:t>Within-goods dose-response.</w:t>
      </w:r>
      <w:r>
        <w:t xml:space="preserve"> The Spearman rank correlation between effective tariff rate and CPI price acceleration across 12 consumer goods categories provides a non-parametric test of whether higher-tariff goods experienced above-trend price increases.</w:t>
      </w:r>
    </w:p>
    <w:p w14:paraId="0D0AF731" w14:textId="77777777" w:rsidR="004B4AA5" w:rsidRDefault="00000000">
      <w:pPr>
        <w:pStyle w:val="BodyText"/>
      </w:pPr>
      <w:r>
        <w:rPr>
          <w:b/>
          <w:bCs/>
        </w:rPr>
        <w:t>Services control group.</w:t>
      </w:r>
      <w:r>
        <w:t xml:space="preserve"> I compare CPI acceleration in eight tariff-exposed traded goods against five non-tradable service categories (medical care, shelter, education, services less energy, transportation services) that are unaffected by customs tariffs, following the identification logic of Amiti et al. (2019). Difference in acceleration isolates the tariff signal from background inflation trends.</w:t>
      </w:r>
    </w:p>
    <w:p w14:paraId="0D0AF732" w14:textId="77777777" w:rsidR="004B4AA5" w:rsidRDefault="00000000">
      <w:pPr>
        <w:pStyle w:val="Heading3"/>
      </w:pPr>
      <w:bookmarkStart w:id="32" w:name="distributional-attribution"/>
      <w:bookmarkStart w:id="33" w:name="_Toc223873434"/>
      <w:bookmarkEnd w:id="30"/>
      <w:r>
        <w:t>4.4 Distributional Attribution</w:t>
      </w:r>
      <w:bookmarkEnd w:id="33"/>
    </w:p>
    <w:p w14:paraId="0D0AF733" w14:textId="77777777" w:rsidR="004B4AA5" w:rsidRDefault="00000000">
      <w:pPr>
        <w:pStyle w:val="FirstParagraph"/>
      </w:pPr>
      <w:r>
        <w:t xml:space="preserve">Spending cuts are attributed to income quintiles using program-specific distributional weights derived from CPS ASEC receipt data: - </w:t>
      </w:r>
      <w:r>
        <w:rPr>
          <w:b/>
          <w:bCs/>
        </w:rPr>
        <w:t>Medicaid (-$36B):</w:t>
      </w:r>
      <w:r>
        <w:t xml:space="preserve"> 40% Q1, 30% Q2, 15% Q3, 10% Q4, 5% Q5 - </w:t>
      </w:r>
      <w:r>
        <w:rPr>
          <w:b/>
          <w:bCs/>
        </w:rPr>
        <w:t>Income Security (-$53B):</w:t>
      </w:r>
      <w:r>
        <w:t xml:space="preserve"> 50% Q1, 30% Q2, 12% Q3, 6% Q4, 2% Q5 - </w:t>
      </w:r>
      <w:r>
        <w:rPr>
          <w:b/>
          <w:bCs/>
        </w:rPr>
        <w:t>Nondefense Discretionary (-$95B):</w:t>
      </w:r>
      <w:r>
        <w:t xml:space="preserve"> 25% Q1, 25% Q2, 22% Q3, 18% Q4, 10% Q5</w:t>
      </w:r>
    </w:p>
    <w:p w14:paraId="0D0AF734" w14:textId="77777777" w:rsidR="004B4AA5" w:rsidRDefault="00000000">
      <w:pPr>
        <w:pStyle w:val="BodyText"/>
      </w:pPr>
      <w:r>
        <w:t>These weights are validated against CPS ASEC program receipt rates: SSI receipt is 64:1 (Q1 vs. Q5), public assistance 16:1, EITC 329:1 in average dollar terms (Table B2).</w:t>
      </w:r>
    </w:p>
    <w:p w14:paraId="0D0AF735" w14:textId="77777777" w:rsidR="004B4AA5" w:rsidRDefault="00000000">
      <w:pPr>
        <w:pStyle w:val="BodyText"/>
      </w:pPr>
      <w:r>
        <w:t>Tariff burden is allocated using BLS CEX 2023 expenditure shares by quintile, with the B50 share (51.7%) calibrated via the CPS-CEX cross-walk (Section 2.3). Deadweight loss is estimated at 1.4</w:t>
      </w:r>
      <m:oMath>
        <m:r>
          <m:rPr>
            <m:sty m:val="p"/>
          </m:rPr>
          <w:rPr>
            <w:rFonts w:ascii="Cambria Math" w:hAnsi="Cambria Math"/>
          </w:rPr>
          <m:t>×</m:t>
        </m:r>
      </m:oMath>
      <w:r>
        <w:t xml:space="preserve"> tariff revenue following Amiti et al. (2019), with sensitivity ranging from 1.0</w:t>
      </w:r>
      <m:oMath>
        <m:r>
          <m:rPr>
            <m:sty m:val="p"/>
          </m:rPr>
          <w:rPr>
            <w:rFonts w:ascii="Cambria Math" w:hAnsi="Cambria Math"/>
          </w:rPr>
          <m:t>×</m:t>
        </m:r>
      </m:oMath>
      <w:r>
        <w:t xml:space="preserve"> to 2.0</w:t>
      </w:r>
      <m:oMath>
        <m:r>
          <m:rPr>
            <m:sty m:val="p"/>
          </m:rPr>
          <w:rPr>
            <w:rFonts w:ascii="Cambria Math" w:hAnsi="Cambria Math"/>
          </w:rPr>
          <m:t>×</m:t>
        </m:r>
      </m:oMath>
      <w:r>
        <w:t>.</w:t>
      </w:r>
    </w:p>
    <w:p w14:paraId="0D0AF736" w14:textId="77777777" w:rsidR="004B4AA5" w:rsidRDefault="00000000">
      <w:pPr>
        <w:pStyle w:val="Heading3"/>
      </w:pPr>
      <w:bookmarkStart w:id="34" w:name="robustness-design"/>
      <w:bookmarkStart w:id="35" w:name="_Toc223873435"/>
      <w:bookmarkEnd w:id="32"/>
      <w:r>
        <w:lastRenderedPageBreak/>
        <w:t>4.5 Robustness Design</w:t>
      </w:r>
      <w:bookmarkEnd w:id="35"/>
    </w:p>
    <w:p w14:paraId="0D0AF737" w14:textId="77777777" w:rsidR="004B4AA5" w:rsidRDefault="00000000">
      <w:pPr>
        <w:pStyle w:val="FirstParagraph"/>
      </w:pPr>
      <w:r>
        <w:t>I subject all findings to six dimensions of robustness (21 distinct specifications plus 500-draw household-clustered bootstrap): propensity classification (4 specs), tariff pass-through (6 specs), CBO baseline uncertainty (5 specs), alternative deflators (5 specs), bootstrap confidence intervals (500 draws), and a placebo test (FY2019). Welfare analysis and poverty simulations appear in Appendix C; structural break regression detail in Appendix D; data sources and replication instructions in Appendix F; all figures are cataloged in Appendix G.</w:t>
      </w:r>
    </w:p>
    <w:p w14:paraId="0D0AF738" w14:textId="77777777" w:rsidR="004B4AA5" w:rsidRDefault="00000000">
      <w:r>
        <w:pict w14:anchorId="0D0AFA5B">
          <v:rect id="_x0000_i1028" style="width:0;height:1.5pt" o:hralign="center" o:hrstd="t" o:hr="t"/>
        </w:pict>
      </w:r>
    </w:p>
    <w:p w14:paraId="0D0AF739" w14:textId="77777777" w:rsidR="004B4AA5" w:rsidRDefault="00000000">
      <w:pPr>
        <w:pStyle w:val="Heading2"/>
      </w:pPr>
      <w:bookmarkStart w:id="36" w:name="X5a707b3ac185bc812af8f6233ee745852f611be"/>
      <w:bookmarkStart w:id="37" w:name="_Toc223873436"/>
      <w:bookmarkEnd w:id="24"/>
      <w:bookmarkEnd w:id="34"/>
      <w:r>
        <w:t>5. Results I: Structural Break Classification</w:t>
      </w:r>
      <w:bookmarkEnd w:id="37"/>
    </w:p>
    <w:p w14:paraId="0D0AF73A" w14:textId="77777777" w:rsidR="004B4AA5" w:rsidRDefault="00000000">
      <w:pPr>
        <w:pStyle w:val="Heading3"/>
      </w:pPr>
      <w:bookmarkStart w:id="38" w:name="the-26-year-fiscal-trajectory"/>
      <w:bookmarkStart w:id="39" w:name="_Toc223873437"/>
      <w:r>
        <w:t>5.1 The 26-Year Fiscal Trajectory</w:t>
      </w:r>
      <w:bookmarkEnd w:id="39"/>
    </w:p>
    <w:p w14:paraId="0D0AF73B" w14:textId="77777777" w:rsidR="004B4AA5" w:rsidRDefault="00000000">
      <w:pPr>
        <w:pStyle w:val="FirstParagraph"/>
      </w:pPr>
      <w:r>
        <w:t>Before presenting break test results, I establish the structural context. All values in constant FY2024 dollars.</w:t>
      </w:r>
    </w:p>
    <w:p w14:paraId="0D0AF73C" w14:textId="77777777" w:rsidR="004B4AA5" w:rsidRDefault="00000000">
      <w:pPr>
        <w:pStyle w:val="BodyText"/>
      </w:pPr>
      <w:r>
        <w:rPr>
          <w:b/>
          <w:bCs/>
        </w:rPr>
        <w:t>Table 1. Federal Budget Aggregates, FY2000 vs. FY2025 (Real FY2024 $)</w:t>
      </w:r>
    </w:p>
    <w:tbl>
      <w:tblPr>
        <w:tblStyle w:val="Table"/>
        <w:tblW w:w="0" w:type="auto"/>
        <w:tblLook w:val="0020" w:firstRow="1" w:lastRow="0" w:firstColumn="0" w:lastColumn="0" w:noHBand="0" w:noVBand="0"/>
      </w:tblPr>
      <w:tblGrid>
        <w:gridCol w:w="2113"/>
        <w:gridCol w:w="1071"/>
        <w:gridCol w:w="1071"/>
        <w:gridCol w:w="1017"/>
      </w:tblGrid>
      <w:tr w:rsidR="004B4AA5" w14:paraId="0D0AF741"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0" w:type="auto"/>
          </w:tcPr>
          <w:p w14:paraId="0D0AF73D" w14:textId="77777777" w:rsidR="004B4AA5" w:rsidRDefault="00000000">
            <w:pPr>
              <w:pStyle w:val="Compact"/>
            </w:pPr>
            <w:r>
              <w:t>Measure</w:t>
            </w:r>
          </w:p>
        </w:tc>
        <w:tc>
          <w:tcPr>
            <w:tcW w:w="0" w:type="auto"/>
          </w:tcPr>
          <w:p w14:paraId="0D0AF73E" w14:textId="77777777" w:rsidR="004B4AA5" w:rsidRDefault="00000000">
            <w:pPr>
              <w:pStyle w:val="Compact"/>
            </w:pPr>
            <w:r>
              <w:t>FY2000</w:t>
            </w:r>
          </w:p>
        </w:tc>
        <w:tc>
          <w:tcPr>
            <w:tcW w:w="0" w:type="auto"/>
          </w:tcPr>
          <w:p w14:paraId="0D0AF73F" w14:textId="77777777" w:rsidR="004B4AA5" w:rsidRDefault="00000000">
            <w:pPr>
              <w:pStyle w:val="Compact"/>
            </w:pPr>
            <w:r>
              <w:t>FY2025</w:t>
            </w:r>
          </w:p>
        </w:tc>
        <w:tc>
          <w:tcPr>
            <w:tcW w:w="0" w:type="auto"/>
          </w:tcPr>
          <w:p w14:paraId="0D0AF740" w14:textId="77777777" w:rsidR="004B4AA5" w:rsidRDefault="00000000">
            <w:pPr>
              <w:pStyle w:val="Compact"/>
            </w:pPr>
            <w:r>
              <w:t>Change</w:t>
            </w:r>
          </w:p>
        </w:tc>
      </w:tr>
      <w:tr w:rsidR="004B4AA5" w14:paraId="0D0AF746" w14:textId="77777777">
        <w:tc>
          <w:tcPr>
            <w:tcW w:w="0" w:type="auto"/>
          </w:tcPr>
          <w:p w14:paraId="0D0AF742" w14:textId="77777777" w:rsidR="004B4AA5" w:rsidRDefault="00000000">
            <w:pPr>
              <w:pStyle w:val="Compact"/>
            </w:pPr>
            <w:r>
              <w:t>Total Outlays</w:t>
            </w:r>
          </w:p>
        </w:tc>
        <w:tc>
          <w:tcPr>
            <w:tcW w:w="0" w:type="auto"/>
          </w:tcPr>
          <w:p w14:paraId="0D0AF743" w14:textId="77777777" w:rsidR="004B4AA5" w:rsidRDefault="00000000">
            <w:pPr>
              <w:pStyle w:val="Compact"/>
            </w:pPr>
            <w:r>
              <w:t>$3,265B</w:t>
            </w:r>
          </w:p>
        </w:tc>
        <w:tc>
          <w:tcPr>
            <w:tcW w:w="0" w:type="auto"/>
          </w:tcPr>
          <w:p w14:paraId="0D0AF744" w14:textId="77777777" w:rsidR="004B4AA5" w:rsidRDefault="00000000">
            <w:pPr>
              <w:pStyle w:val="Compact"/>
            </w:pPr>
            <w:r>
              <w:t>$6,826B</w:t>
            </w:r>
          </w:p>
        </w:tc>
        <w:tc>
          <w:tcPr>
            <w:tcW w:w="0" w:type="auto"/>
          </w:tcPr>
          <w:p w14:paraId="0D0AF745" w14:textId="77777777" w:rsidR="004B4AA5" w:rsidRDefault="00000000">
            <w:pPr>
              <w:pStyle w:val="Compact"/>
            </w:pPr>
            <w:r>
              <w:t>+109%</w:t>
            </w:r>
          </w:p>
        </w:tc>
      </w:tr>
      <w:tr w:rsidR="004B4AA5" w14:paraId="0D0AF74B" w14:textId="77777777">
        <w:tc>
          <w:tcPr>
            <w:tcW w:w="0" w:type="auto"/>
          </w:tcPr>
          <w:p w14:paraId="0D0AF747" w14:textId="77777777" w:rsidR="004B4AA5" w:rsidRDefault="00000000">
            <w:pPr>
              <w:pStyle w:val="Compact"/>
            </w:pPr>
            <w:r>
              <w:t>Net Interest</w:t>
            </w:r>
          </w:p>
        </w:tc>
        <w:tc>
          <w:tcPr>
            <w:tcW w:w="0" w:type="auto"/>
          </w:tcPr>
          <w:p w14:paraId="0D0AF748" w14:textId="77777777" w:rsidR="004B4AA5" w:rsidRDefault="00000000">
            <w:pPr>
              <w:pStyle w:val="Compact"/>
            </w:pPr>
            <w:r>
              <w:t>$407B</w:t>
            </w:r>
          </w:p>
        </w:tc>
        <w:tc>
          <w:tcPr>
            <w:tcW w:w="0" w:type="auto"/>
          </w:tcPr>
          <w:p w14:paraId="0D0AF749" w14:textId="77777777" w:rsidR="004B4AA5" w:rsidRDefault="00000000">
            <w:pPr>
              <w:pStyle w:val="Compact"/>
            </w:pPr>
            <w:r>
              <w:t>$944B</w:t>
            </w:r>
          </w:p>
        </w:tc>
        <w:tc>
          <w:tcPr>
            <w:tcW w:w="0" w:type="auto"/>
          </w:tcPr>
          <w:p w14:paraId="0D0AF74A" w14:textId="77777777" w:rsidR="004B4AA5" w:rsidRDefault="00000000">
            <w:pPr>
              <w:pStyle w:val="Compact"/>
            </w:pPr>
            <w:r>
              <w:t>+132%</w:t>
            </w:r>
          </w:p>
        </w:tc>
      </w:tr>
      <w:tr w:rsidR="004B4AA5" w14:paraId="0D0AF750" w14:textId="77777777">
        <w:tc>
          <w:tcPr>
            <w:tcW w:w="0" w:type="auto"/>
          </w:tcPr>
          <w:p w14:paraId="0D0AF74C" w14:textId="77777777" w:rsidR="004B4AA5" w:rsidRDefault="00000000">
            <w:pPr>
              <w:pStyle w:val="Compact"/>
            </w:pPr>
            <w:r>
              <w:t>Customs Revenue</w:t>
            </w:r>
          </w:p>
        </w:tc>
        <w:tc>
          <w:tcPr>
            <w:tcW w:w="0" w:type="auto"/>
          </w:tcPr>
          <w:p w14:paraId="0D0AF74D" w14:textId="77777777" w:rsidR="004B4AA5" w:rsidRDefault="00000000">
            <w:pPr>
              <w:pStyle w:val="Compact"/>
            </w:pPr>
            <w:r>
              <w:t>$36.3B</w:t>
            </w:r>
          </w:p>
        </w:tc>
        <w:tc>
          <w:tcPr>
            <w:tcW w:w="0" w:type="auto"/>
          </w:tcPr>
          <w:p w14:paraId="0D0AF74E" w14:textId="77777777" w:rsidR="004B4AA5" w:rsidRDefault="00000000">
            <w:pPr>
              <w:pStyle w:val="Compact"/>
            </w:pPr>
            <w:r>
              <w:t>$189.7B</w:t>
            </w:r>
          </w:p>
        </w:tc>
        <w:tc>
          <w:tcPr>
            <w:tcW w:w="0" w:type="auto"/>
          </w:tcPr>
          <w:p w14:paraId="0D0AF74F" w14:textId="77777777" w:rsidR="004B4AA5" w:rsidRDefault="00000000">
            <w:pPr>
              <w:pStyle w:val="Compact"/>
            </w:pPr>
            <w:r>
              <w:t>+422%</w:t>
            </w:r>
          </w:p>
        </w:tc>
      </w:tr>
      <w:tr w:rsidR="004B4AA5" w14:paraId="0D0AF755" w14:textId="77777777">
        <w:tc>
          <w:tcPr>
            <w:tcW w:w="0" w:type="auto"/>
          </w:tcPr>
          <w:p w14:paraId="0D0AF751" w14:textId="77777777" w:rsidR="004B4AA5" w:rsidRDefault="00000000">
            <w:pPr>
              <w:pStyle w:val="Compact"/>
            </w:pPr>
            <w:r>
              <w:t>Income Security</w:t>
            </w:r>
          </w:p>
        </w:tc>
        <w:tc>
          <w:tcPr>
            <w:tcW w:w="0" w:type="auto"/>
          </w:tcPr>
          <w:p w14:paraId="0D0AF752" w14:textId="77777777" w:rsidR="004B4AA5" w:rsidRDefault="00000000">
            <w:pPr>
              <w:pStyle w:val="Compact"/>
            </w:pPr>
            <w:r>
              <w:t>$244B</w:t>
            </w:r>
          </w:p>
        </w:tc>
        <w:tc>
          <w:tcPr>
            <w:tcW w:w="0" w:type="auto"/>
          </w:tcPr>
          <w:p w14:paraId="0D0AF753" w14:textId="77777777" w:rsidR="004B4AA5" w:rsidRDefault="00000000">
            <w:pPr>
              <w:pStyle w:val="Compact"/>
            </w:pPr>
            <w:r>
              <w:t>$387B</w:t>
            </w:r>
          </w:p>
        </w:tc>
        <w:tc>
          <w:tcPr>
            <w:tcW w:w="0" w:type="auto"/>
          </w:tcPr>
          <w:p w14:paraId="0D0AF754" w14:textId="77777777" w:rsidR="004B4AA5" w:rsidRDefault="00000000">
            <w:pPr>
              <w:pStyle w:val="Compact"/>
            </w:pPr>
            <w:r>
              <w:t>+58%</w:t>
            </w:r>
          </w:p>
        </w:tc>
      </w:tr>
    </w:tbl>
    <w:p w14:paraId="0D0AF756" w14:textId="77777777" w:rsidR="004B4AA5" w:rsidRDefault="00000000">
      <w:pPr>
        <w:pStyle w:val="BodyText"/>
      </w:pPr>
      <w:r>
        <w:t>Three patterns stand out: (i) interest payments grew faster than any spending category (+132%); (ii) customs revenue grew 422%—the most extreme growth of any revenue source; (iii) income security grew just 58%, well below the 109% increase in total spending, implying a declining share.</w:t>
      </w:r>
    </w:p>
    <w:p w14:paraId="0D0AF757" w14:textId="77777777" w:rsidR="004B4AA5" w:rsidRDefault="00000000">
      <w:pPr>
        <w:pStyle w:val="BodyText"/>
      </w:pPr>
      <w:r>
        <w:rPr>
          <w:b/>
          <w:bCs/>
        </w:rPr>
        <w:t>Table 2. Revenue Composition, FY2000 vs. FY2025</w:t>
      </w:r>
    </w:p>
    <w:tbl>
      <w:tblPr>
        <w:tblStyle w:val="Table"/>
        <w:tblW w:w="0" w:type="auto"/>
        <w:tblLook w:val="0020" w:firstRow="1" w:lastRow="0" w:firstColumn="0" w:lastColumn="0" w:noHBand="0" w:noVBand="0"/>
      </w:tblPr>
      <w:tblGrid>
        <w:gridCol w:w="4040"/>
        <w:gridCol w:w="985"/>
        <w:gridCol w:w="985"/>
        <w:gridCol w:w="1017"/>
      </w:tblGrid>
      <w:tr w:rsidR="004B4AA5" w14:paraId="0D0AF75C"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0" w:type="auto"/>
          </w:tcPr>
          <w:p w14:paraId="0D0AF758" w14:textId="77777777" w:rsidR="004B4AA5" w:rsidRDefault="00000000">
            <w:pPr>
              <w:pStyle w:val="Compact"/>
            </w:pPr>
            <w:r>
              <w:t>Revenue Source</w:t>
            </w:r>
          </w:p>
        </w:tc>
        <w:tc>
          <w:tcPr>
            <w:tcW w:w="0" w:type="auto"/>
          </w:tcPr>
          <w:p w14:paraId="0D0AF759" w14:textId="77777777" w:rsidR="004B4AA5" w:rsidRDefault="00000000">
            <w:pPr>
              <w:pStyle w:val="Compact"/>
            </w:pPr>
            <w:r>
              <w:t>FY2000</w:t>
            </w:r>
          </w:p>
        </w:tc>
        <w:tc>
          <w:tcPr>
            <w:tcW w:w="0" w:type="auto"/>
          </w:tcPr>
          <w:p w14:paraId="0D0AF75A" w14:textId="77777777" w:rsidR="004B4AA5" w:rsidRDefault="00000000">
            <w:pPr>
              <w:pStyle w:val="Compact"/>
            </w:pPr>
            <w:r>
              <w:t>FY2025</w:t>
            </w:r>
          </w:p>
        </w:tc>
        <w:tc>
          <w:tcPr>
            <w:tcW w:w="0" w:type="auto"/>
          </w:tcPr>
          <w:p w14:paraId="0D0AF75B" w14:textId="77777777" w:rsidR="004B4AA5" w:rsidRDefault="00000000">
            <w:pPr>
              <w:pStyle w:val="Compact"/>
            </w:pPr>
            <w:r>
              <w:t>Change</w:t>
            </w:r>
          </w:p>
        </w:tc>
      </w:tr>
      <w:tr w:rsidR="004B4AA5" w14:paraId="0D0AF761" w14:textId="77777777">
        <w:tc>
          <w:tcPr>
            <w:tcW w:w="0" w:type="auto"/>
          </w:tcPr>
          <w:p w14:paraId="0D0AF75D" w14:textId="77777777" w:rsidR="004B4AA5" w:rsidRDefault="00000000">
            <w:pPr>
              <w:pStyle w:val="Compact"/>
            </w:pPr>
            <w:r>
              <w:t>Progressive (income + corp.)</w:t>
            </w:r>
          </w:p>
        </w:tc>
        <w:tc>
          <w:tcPr>
            <w:tcW w:w="0" w:type="auto"/>
          </w:tcPr>
          <w:p w14:paraId="0D0AF75E" w14:textId="77777777" w:rsidR="004B4AA5" w:rsidRDefault="00000000">
            <w:pPr>
              <w:pStyle w:val="Compact"/>
            </w:pPr>
            <w:r>
              <w:t>59.8%</w:t>
            </w:r>
          </w:p>
        </w:tc>
        <w:tc>
          <w:tcPr>
            <w:tcW w:w="0" w:type="auto"/>
          </w:tcPr>
          <w:p w14:paraId="0D0AF75F" w14:textId="77777777" w:rsidR="004B4AA5" w:rsidRDefault="00000000">
            <w:pPr>
              <w:pStyle w:val="Compact"/>
            </w:pPr>
            <w:r>
              <w:t>57.1%</w:t>
            </w:r>
          </w:p>
        </w:tc>
        <w:tc>
          <w:tcPr>
            <w:tcW w:w="0" w:type="auto"/>
          </w:tcPr>
          <w:p w14:paraId="0D0AF760" w14:textId="77777777" w:rsidR="004B4AA5" w:rsidRDefault="00000000">
            <w:pPr>
              <w:pStyle w:val="Compact"/>
            </w:pPr>
            <w:r>
              <w:t>-2.7pp</w:t>
            </w:r>
          </w:p>
        </w:tc>
      </w:tr>
      <w:tr w:rsidR="004B4AA5" w14:paraId="0D0AF766" w14:textId="77777777">
        <w:tc>
          <w:tcPr>
            <w:tcW w:w="0" w:type="auto"/>
          </w:tcPr>
          <w:p w14:paraId="0D0AF762" w14:textId="77777777" w:rsidR="004B4AA5" w:rsidRDefault="00000000">
            <w:pPr>
              <w:pStyle w:val="Compact"/>
            </w:pPr>
            <w:r>
              <w:t>Regressive (excise + customs + FICA)</w:t>
            </w:r>
          </w:p>
        </w:tc>
        <w:tc>
          <w:tcPr>
            <w:tcW w:w="0" w:type="auto"/>
          </w:tcPr>
          <w:p w14:paraId="0D0AF763" w14:textId="77777777" w:rsidR="004B4AA5" w:rsidRDefault="00000000">
            <w:pPr>
              <w:pStyle w:val="Compact"/>
            </w:pPr>
            <w:r>
              <w:t>36.6%</w:t>
            </w:r>
          </w:p>
        </w:tc>
        <w:tc>
          <w:tcPr>
            <w:tcW w:w="0" w:type="auto"/>
          </w:tcPr>
          <w:p w14:paraId="0D0AF764" w14:textId="77777777" w:rsidR="004B4AA5" w:rsidRDefault="00000000">
            <w:pPr>
              <w:pStyle w:val="Compact"/>
            </w:pPr>
            <w:r>
              <w:t>39.1%</w:t>
            </w:r>
          </w:p>
        </w:tc>
        <w:tc>
          <w:tcPr>
            <w:tcW w:w="0" w:type="auto"/>
          </w:tcPr>
          <w:p w14:paraId="0D0AF765" w14:textId="77777777" w:rsidR="004B4AA5" w:rsidRDefault="00000000">
            <w:pPr>
              <w:pStyle w:val="Compact"/>
            </w:pPr>
            <w:r>
              <w:t>+2.5pp</w:t>
            </w:r>
          </w:p>
        </w:tc>
      </w:tr>
      <w:tr w:rsidR="004B4AA5" w14:paraId="0D0AF76B" w14:textId="77777777">
        <w:tc>
          <w:tcPr>
            <w:tcW w:w="0" w:type="auto"/>
          </w:tcPr>
          <w:p w14:paraId="0D0AF767" w14:textId="77777777" w:rsidR="004B4AA5" w:rsidRDefault="00000000">
            <w:pPr>
              <w:pStyle w:val="Compact"/>
            </w:pPr>
            <w:r>
              <w:t>Customs alone</w:t>
            </w:r>
          </w:p>
        </w:tc>
        <w:tc>
          <w:tcPr>
            <w:tcW w:w="0" w:type="auto"/>
          </w:tcPr>
          <w:p w14:paraId="0D0AF768" w14:textId="77777777" w:rsidR="004B4AA5" w:rsidRDefault="00000000">
            <w:pPr>
              <w:pStyle w:val="Compact"/>
            </w:pPr>
            <w:r>
              <w:t>1.0%</w:t>
            </w:r>
          </w:p>
        </w:tc>
        <w:tc>
          <w:tcPr>
            <w:tcW w:w="0" w:type="auto"/>
          </w:tcPr>
          <w:p w14:paraId="0D0AF769" w14:textId="77777777" w:rsidR="004B4AA5" w:rsidRDefault="00000000">
            <w:pPr>
              <w:pStyle w:val="Compact"/>
            </w:pPr>
            <w:r>
              <w:t>3.7%</w:t>
            </w:r>
          </w:p>
        </w:tc>
        <w:tc>
          <w:tcPr>
            <w:tcW w:w="0" w:type="auto"/>
          </w:tcPr>
          <w:p w14:paraId="0D0AF76A" w14:textId="77777777" w:rsidR="004B4AA5" w:rsidRDefault="00000000">
            <w:pPr>
              <w:pStyle w:val="Compact"/>
            </w:pPr>
            <w:r>
              <w:t>+2.7pp</w:t>
            </w:r>
          </w:p>
        </w:tc>
      </w:tr>
    </w:tbl>
    <w:p w14:paraId="0D0AF76C" w14:textId="77777777" w:rsidR="004B4AA5" w:rsidRDefault="00000000">
      <w:pPr>
        <w:pStyle w:val="BodyText"/>
      </w:pPr>
      <w:r>
        <w:t>Census data confirm a concurrent compression of income shares: the B50 household income share fell from 19.9% (2000) to 18.0% (2023), while the top 20% rose from 49.8% to 52.4%.</w:t>
      </w:r>
    </w:p>
    <w:p w14:paraId="0D0AF76D" w14:textId="77777777" w:rsidR="004B4AA5" w:rsidRDefault="00000000">
      <w:pPr>
        <w:pStyle w:val="Heading3"/>
      </w:pPr>
      <w:bookmarkStart w:id="40" w:name="structural-break-test-results"/>
      <w:bookmarkStart w:id="41" w:name="_Toc223873438"/>
      <w:bookmarkEnd w:id="38"/>
      <w:r>
        <w:t>5.2 Structural Break Test Results</w:t>
      </w:r>
      <w:bookmarkEnd w:id="41"/>
    </w:p>
    <w:p w14:paraId="0D0AF76E" w14:textId="77777777" w:rsidR="004B4AA5" w:rsidRDefault="00000000">
      <w:pPr>
        <w:pStyle w:val="FirstParagraph"/>
      </w:pPr>
      <w:r>
        <w:rPr>
          <w:b/>
          <w:bCs/>
        </w:rPr>
        <w:t>Table 3. Structural Break Tests</w:t>
      </w:r>
    </w:p>
    <w:tbl>
      <w:tblPr>
        <w:tblStyle w:val="Table"/>
        <w:tblW w:w="5000" w:type="pct"/>
        <w:tblLayout w:type="fixed"/>
        <w:tblLook w:val="0020" w:firstRow="1" w:lastRow="0" w:firstColumn="0" w:lastColumn="0" w:noHBand="0" w:noVBand="0"/>
      </w:tblPr>
      <w:tblGrid>
        <w:gridCol w:w="1387"/>
        <w:gridCol w:w="1133"/>
        <w:gridCol w:w="2142"/>
        <w:gridCol w:w="1764"/>
        <w:gridCol w:w="1133"/>
        <w:gridCol w:w="2017"/>
      </w:tblGrid>
      <w:tr w:rsidR="004B4AA5" w14:paraId="0D0AF775"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1146" w:type="dxa"/>
          </w:tcPr>
          <w:p w14:paraId="0D0AF76F" w14:textId="77777777" w:rsidR="004B4AA5" w:rsidRDefault="00000000">
            <w:pPr>
              <w:pStyle w:val="Compact"/>
            </w:pPr>
            <w:r>
              <w:lastRenderedPageBreak/>
              <w:t>Indicator</w:t>
            </w:r>
          </w:p>
        </w:tc>
        <w:tc>
          <w:tcPr>
            <w:tcW w:w="937" w:type="dxa"/>
          </w:tcPr>
          <w:p w14:paraId="0D0AF770" w14:textId="77777777" w:rsidR="004B4AA5" w:rsidRDefault="00000000">
            <w:pPr>
              <w:pStyle w:val="Compact"/>
            </w:pPr>
            <w:r>
              <w:t>Training</w:t>
            </w:r>
          </w:p>
        </w:tc>
        <w:tc>
          <w:tcPr>
            <w:tcW w:w="1771" w:type="dxa"/>
          </w:tcPr>
          <w:p w14:paraId="0D0AF771" w14:textId="77777777" w:rsidR="004B4AA5" w:rsidRDefault="00000000">
            <w:pPr>
              <w:pStyle w:val="Compact"/>
            </w:pPr>
            <w:r>
              <w:t>Predicted FY2025</w:t>
            </w:r>
          </w:p>
        </w:tc>
        <w:tc>
          <w:tcPr>
            <w:tcW w:w="1458" w:type="dxa"/>
          </w:tcPr>
          <w:p w14:paraId="0D0AF772" w14:textId="77777777" w:rsidR="004B4AA5" w:rsidRDefault="00000000">
            <w:pPr>
              <w:pStyle w:val="Compact"/>
            </w:pPr>
            <w:r>
              <w:t>Actual FY2025</w:t>
            </w:r>
          </w:p>
        </w:tc>
        <w:tc>
          <w:tcPr>
            <w:tcW w:w="937" w:type="dxa"/>
          </w:tcPr>
          <w:p w14:paraId="0D0AF773" w14:textId="77777777" w:rsidR="004B4AA5" w:rsidRDefault="00000000">
            <w:pPr>
              <w:pStyle w:val="Compact"/>
            </w:pPr>
            <w:r>
              <w:t>z-Score</w:t>
            </w:r>
          </w:p>
        </w:tc>
        <w:tc>
          <w:tcPr>
            <w:tcW w:w="1667" w:type="dxa"/>
          </w:tcPr>
          <w:p w14:paraId="0D0AF774" w14:textId="77777777" w:rsidR="004B4AA5" w:rsidRDefault="00000000">
            <w:pPr>
              <w:pStyle w:val="Compact"/>
            </w:pPr>
            <w:r>
              <w:t>Classification</w:t>
            </w:r>
          </w:p>
        </w:tc>
      </w:tr>
      <w:tr w:rsidR="004B4AA5" w14:paraId="0D0AF77C" w14:textId="77777777">
        <w:tc>
          <w:tcPr>
            <w:tcW w:w="1146" w:type="dxa"/>
          </w:tcPr>
          <w:p w14:paraId="0D0AF776" w14:textId="77777777" w:rsidR="004B4AA5" w:rsidRDefault="00000000">
            <w:pPr>
              <w:pStyle w:val="Compact"/>
            </w:pPr>
            <w:r>
              <w:t>Customs / total revenue</w:t>
            </w:r>
          </w:p>
        </w:tc>
        <w:tc>
          <w:tcPr>
            <w:tcW w:w="937" w:type="dxa"/>
          </w:tcPr>
          <w:p w14:paraId="0D0AF777" w14:textId="77777777" w:rsidR="004B4AA5" w:rsidRDefault="00000000">
            <w:pPr>
              <w:pStyle w:val="Compact"/>
            </w:pPr>
            <w:r>
              <w:t>FY2000–2017</w:t>
            </w:r>
          </w:p>
        </w:tc>
        <w:tc>
          <w:tcPr>
            <w:tcW w:w="1771" w:type="dxa"/>
          </w:tcPr>
          <w:p w14:paraId="0D0AF778" w14:textId="77777777" w:rsidR="004B4AA5" w:rsidRDefault="00000000">
            <w:pPr>
              <w:pStyle w:val="Compact"/>
            </w:pPr>
            <w:r>
              <w:t>1.20%</w:t>
            </w:r>
          </w:p>
        </w:tc>
        <w:tc>
          <w:tcPr>
            <w:tcW w:w="1458" w:type="dxa"/>
          </w:tcPr>
          <w:p w14:paraId="0D0AF779" w14:textId="77777777" w:rsidR="004B4AA5" w:rsidRDefault="00000000">
            <w:pPr>
              <w:pStyle w:val="Compact"/>
            </w:pPr>
            <w:r>
              <w:t>3.72%</w:t>
            </w:r>
          </w:p>
        </w:tc>
        <w:tc>
          <w:tcPr>
            <w:tcW w:w="937" w:type="dxa"/>
          </w:tcPr>
          <w:p w14:paraId="0D0AF77A" w14:textId="77777777" w:rsidR="004B4AA5" w:rsidRDefault="00000000">
            <w:pPr>
              <w:pStyle w:val="Compact"/>
            </w:pPr>
            <w:r>
              <w:rPr>
                <w:b/>
                <w:bCs/>
              </w:rPr>
              <w:t>25.8</w:t>
            </w:r>
          </w:p>
        </w:tc>
        <w:tc>
          <w:tcPr>
            <w:tcW w:w="1667" w:type="dxa"/>
          </w:tcPr>
          <w:p w14:paraId="0D0AF77B" w14:textId="77777777" w:rsidR="004B4AA5" w:rsidRDefault="00000000">
            <w:pPr>
              <w:pStyle w:val="Compact"/>
            </w:pPr>
            <w:r>
              <w:rPr>
                <w:b/>
                <w:bCs/>
              </w:rPr>
              <w:t>BREAK</w:t>
            </w:r>
          </w:p>
        </w:tc>
      </w:tr>
      <w:tr w:rsidR="004B4AA5" w14:paraId="0D0AF783" w14:textId="77777777">
        <w:tc>
          <w:tcPr>
            <w:tcW w:w="1146" w:type="dxa"/>
          </w:tcPr>
          <w:p w14:paraId="0D0AF77D" w14:textId="77777777" w:rsidR="004B4AA5" w:rsidRDefault="00000000">
            <w:pPr>
              <w:pStyle w:val="Compact"/>
            </w:pPr>
            <w:r>
              <w:t>Interest / safety-net</w:t>
            </w:r>
          </w:p>
        </w:tc>
        <w:tc>
          <w:tcPr>
            <w:tcW w:w="937" w:type="dxa"/>
          </w:tcPr>
          <w:p w14:paraId="0D0AF77E" w14:textId="77777777" w:rsidR="004B4AA5" w:rsidRDefault="00000000">
            <w:pPr>
              <w:pStyle w:val="Compact"/>
            </w:pPr>
            <w:r>
              <w:t>FY2000–2024 excl. COVID</w:t>
            </w:r>
          </w:p>
        </w:tc>
        <w:tc>
          <w:tcPr>
            <w:tcW w:w="1771" w:type="dxa"/>
          </w:tcPr>
          <w:p w14:paraId="0D0AF77F" w14:textId="77777777" w:rsidR="004B4AA5" w:rsidRDefault="00000000">
            <w:pPr>
              <w:pStyle w:val="Compact"/>
            </w:pPr>
            <w:r>
              <w:t>0.45</w:t>
            </w:r>
          </w:p>
        </w:tc>
        <w:tc>
          <w:tcPr>
            <w:tcW w:w="1458" w:type="dxa"/>
          </w:tcPr>
          <w:p w14:paraId="0D0AF780" w14:textId="77777777" w:rsidR="004B4AA5" w:rsidRDefault="00000000">
            <w:pPr>
              <w:pStyle w:val="Compact"/>
            </w:pPr>
            <w:r>
              <w:t>0.91</w:t>
            </w:r>
          </w:p>
        </w:tc>
        <w:tc>
          <w:tcPr>
            <w:tcW w:w="937" w:type="dxa"/>
          </w:tcPr>
          <w:p w14:paraId="0D0AF781" w14:textId="77777777" w:rsidR="004B4AA5" w:rsidRDefault="00000000">
            <w:pPr>
              <w:pStyle w:val="Compact"/>
            </w:pPr>
            <w:r>
              <w:rPr>
                <w:b/>
                <w:bCs/>
              </w:rPr>
              <w:t>2.4</w:t>
            </w:r>
          </w:p>
        </w:tc>
        <w:tc>
          <w:tcPr>
            <w:tcW w:w="1667" w:type="dxa"/>
          </w:tcPr>
          <w:p w14:paraId="0D0AF782" w14:textId="77777777" w:rsidR="004B4AA5" w:rsidRDefault="00000000">
            <w:pPr>
              <w:pStyle w:val="Compact"/>
            </w:pPr>
            <w:r>
              <w:rPr>
                <w:b/>
                <w:bCs/>
              </w:rPr>
              <w:t>BREAK</w:t>
            </w:r>
          </w:p>
        </w:tc>
      </w:tr>
      <w:tr w:rsidR="004B4AA5" w14:paraId="0D0AF78A" w14:textId="77777777">
        <w:tc>
          <w:tcPr>
            <w:tcW w:w="1146" w:type="dxa"/>
          </w:tcPr>
          <w:p w14:paraId="0D0AF784" w14:textId="77777777" w:rsidR="004B4AA5" w:rsidRDefault="00000000">
            <w:pPr>
              <w:pStyle w:val="Compact"/>
            </w:pPr>
            <w:r>
              <w:t>Regressive revenue share</w:t>
            </w:r>
          </w:p>
        </w:tc>
        <w:tc>
          <w:tcPr>
            <w:tcW w:w="937" w:type="dxa"/>
          </w:tcPr>
          <w:p w14:paraId="0D0AF785" w14:textId="77777777" w:rsidR="004B4AA5" w:rsidRDefault="00000000">
            <w:pPr>
              <w:pStyle w:val="Compact"/>
            </w:pPr>
            <w:r>
              <w:t>FY2000–2017</w:t>
            </w:r>
          </w:p>
        </w:tc>
        <w:tc>
          <w:tcPr>
            <w:tcW w:w="1771" w:type="dxa"/>
          </w:tcPr>
          <w:p w14:paraId="0D0AF786" w14:textId="77777777" w:rsidR="004B4AA5" w:rsidRDefault="00000000">
            <w:pPr>
              <w:pStyle w:val="Compact"/>
            </w:pPr>
            <w:r>
              <w:t>37.4%</w:t>
            </w:r>
          </w:p>
        </w:tc>
        <w:tc>
          <w:tcPr>
            <w:tcW w:w="1458" w:type="dxa"/>
          </w:tcPr>
          <w:p w14:paraId="0D0AF787" w14:textId="77777777" w:rsidR="004B4AA5" w:rsidRDefault="00000000">
            <w:pPr>
              <w:pStyle w:val="Compact"/>
            </w:pPr>
            <w:r>
              <w:t>39.1%</w:t>
            </w:r>
          </w:p>
        </w:tc>
        <w:tc>
          <w:tcPr>
            <w:tcW w:w="937" w:type="dxa"/>
          </w:tcPr>
          <w:p w14:paraId="0D0AF788" w14:textId="77777777" w:rsidR="004B4AA5" w:rsidRDefault="00000000">
            <w:pPr>
              <w:pStyle w:val="Compact"/>
            </w:pPr>
            <w:r>
              <w:t>0.5</w:t>
            </w:r>
          </w:p>
        </w:tc>
        <w:tc>
          <w:tcPr>
            <w:tcW w:w="1667" w:type="dxa"/>
          </w:tcPr>
          <w:p w14:paraId="0D0AF789" w14:textId="77777777" w:rsidR="004B4AA5" w:rsidRDefault="00000000">
            <w:pPr>
              <w:pStyle w:val="Compact"/>
            </w:pPr>
            <w:r>
              <w:t>Trend</w:t>
            </w:r>
          </w:p>
        </w:tc>
      </w:tr>
      <w:tr w:rsidR="004B4AA5" w14:paraId="0D0AF791" w14:textId="77777777">
        <w:tc>
          <w:tcPr>
            <w:tcW w:w="1146" w:type="dxa"/>
          </w:tcPr>
          <w:p w14:paraId="0D0AF78B" w14:textId="77777777" w:rsidR="004B4AA5" w:rsidRDefault="00000000">
            <w:pPr>
              <w:pStyle w:val="Compact"/>
            </w:pPr>
            <w:r>
              <w:t>Safety-net / total outlays</w:t>
            </w:r>
          </w:p>
        </w:tc>
        <w:tc>
          <w:tcPr>
            <w:tcW w:w="937" w:type="dxa"/>
          </w:tcPr>
          <w:p w14:paraId="0D0AF78C" w14:textId="77777777" w:rsidR="004B4AA5" w:rsidRDefault="00000000">
            <w:pPr>
              <w:pStyle w:val="Compact"/>
            </w:pPr>
            <w:r>
              <w:t>FY2000–2024 excl. COVID</w:t>
            </w:r>
          </w:p>
        </w:tc>
        <w:tc>
          <w:tcPr>
            <w:tcW w:w="1771" w:type="dxa"/>
          </w:tcPr>
          <w:p w14:paraId="0D0AF78D" w14:textId="77777777" w:rsidR="004B4AA5" w:rsidRDefault="00000000">
            <w:pPr>
              <w:pStyle w:val="Compact"/>
            </w:pPr>
            <w:r>
              <w:t>17.7%</w:t>
            </w:r>
          </w:p>
        </w:tc>
        <w:tc>
          <w:tcPr>
            <w:tcW w:w="1458" w:type="dxa"/>
          </w:tcPr>
          <w:p w14:paraId="0D0AF78E" w14:textId="77777777" w:rsidR="004B4AA5" w:rsidRDefault="00000000">
            <w:pPr>
              <w:pStyle w:val="Compact"/>
            </w:pPr>
            <w:r>
              <w:t>15.2%</w:t>
            </w:r>
          </w:p>
        </w:tc>
        <w:tc>
          <w:tcPr>
            <w:tcW w:w="937" w:type="dxa"/>
          </w:tcPr>
          <w:p w14:paraId="0D0AF78F" w14:textId="77777777" w:rsidR="004B4AA5" w:rsidRDefault="00000000">
            <w:pPr>
              <w:pStyle w:val="Compact"/>
            </w:pPr>
            <w:r>
              <w:t>-1.5</w:t>
            </w:r>
          </w:p>
        </w:tc>
        <w:tc>
          <w:tcPr>
            <w:tcW w:w="1667" w:type="dxa"/>
          </w:tcPr>
          <w:p w14:paraId="0D0AF790" w14:textId="77777777" w:rsidR="004B4AA5" w:rsidRDefault="00000000">
            <w:pPr>
              <w:pStyle w:val="Compact"/>
            </w:pPr>
            <w:r>
              <w:t>Trend</w:t>
            </w:r>
          </w:p>
        </w:tc>
      </w:tr>
    </w:tbl>
    <w:p w14:paraId="0D0AF792" w14:textId="77777777" w:rsidR="004B4AA5" w:rsidRDefault="00000000">
      <w:pPr>
        <w:pStyle w:val="BodyText"/>
      </w:pPr>
      <w:r>
        <w:t>Full OLS outputs in Appendix D. The results partition FY2025 into two categories:</w:t>
      </w:r>
    </w:p>
    <w:p w14:paraId="0D0AF793" w14:textId="77777777" w:rsidR="004B4AA5" w:rsidRDefault="00000000">
      <w:pPr>
        <w:pStyle w:val="BodyText"/>
      </w:pPr>
      <w:r>
        <w:rPr>
          <w:b/>
          <w:bCs/>
        </w:rPr>
        <w:t>Structural breaks (z &gt; 2.0).</w:t>
      </w:r>
      <w:r>
        <w:t xml:space="preserve"> The customs share (z = 25.8) is the most statistically extreme: a 26-fold deviation from the prediction standard error, driven by Liberation Day and related executive tariff actions that took customs revenue from $77B (FY2024) to $195B (FY2025). The interest/safety-net ratio (z = 2.4) reflects the compounding of post-pandemic debt accumulation and rate normalization, pushing interest payments roughly double their trend-predicted level relative to safety-net spending. Together, these breaks represent a large and identifiable shift in fiscal incidence toward channels that disproportionately burden lower-income households.</w:t>
      </w:r>
    </w:p>
    <w:p w14:paraId="0D0AF794" w14:textId="77777777" w:rsidR="004B4AA5" w:rsidRDefault="00000000">
      <w:pPr>
        <w:pStyle w:val="BodyText"/>
      </w:pPr>
      <w:r>
        <w:rPr>
          <w:b/>
          <w:bCs/>
        </w:rPr>
        <w:t xml:space="preserve">Within-trend (|z| </w:t>
      </w:r>
      <m:oMath>
        <m:r>
          <m:rPr>
            <m:sty m:val="p"/>
          </m:rPr>
          <w:rPr>
            <w:rFonts w:ascii="Cambria Math" w:hAnsi="Cambria Math"/>
          </w:rPr>
          <m:t>≤</m:t>
        </m:r>
      </m:oMath>
      <w:r>
        <w:rPr>
          <w:b/>
          <w:bCs/>
        </w:rPr>
        <w:t xml:space="preserve"> 2.0).</w:t>
      </w:r>
      <w:r>
        <w:t xml:space="preserve"> The regressive revenue share (z = 0.5) and safety-net outlay share (z = -1.5) are not statistically distinguishable from their 25-year trajectories. FY2025 did not initiate the shift toward more regressive revenue or away from safety-net spending—these are multi-decade trends that would persist under any plausible counterfactual. The safety-net share (15.2%, predicted 17.7%) merits monitoring but does not meet the structural break threshold once COVID-era observations are excluded from the training sample.</w:t>
      </w:r>
    </w:p>
    <w:p w14:paraId="0D0AF795" w14:textId="77777777" w:rsidR="004B4AA5" w:rsidRDefault="00000000">
      <w:pPr>
        <w:pStyle w:val="Heading3"/>
      </w:pPr>
      <w:bookmarkStart w:id="42" w:name="the-aggregate-fy2025-fiscal-shift"/>
      <w:bookmarkStart w:id="43" w:name="_Toc223873439"/>
      <w:bookmarkEnd w:id="40"/>
      <w:r>
        <w:t>5.3 The Aggregate FY2025 Fiscal Shift</w:t>
      </w:r>
      <w:bookmarkEnd w:id="43"/>
    </w:p>
    <w:p w14:paraId="0D0AF796" w14:textId="77777777" w:rsidR="004B4AA5" w:rsidRDefault="00000000">
      <w:pPr>
        <w:pStyle w:val="FirstParagraph"/>
      </w:pPr>
      <w:r>
        <w:t>I compare actual FY2025 spending against the CBO January 2025 baseline:</w:t>
      </w:r>
    </w:p>
    <w:p w14:paraId="0D0AF797" w14:textId="77777777" w:rsidR="004B4AA5" w:rsidRDefault="00000000">
      <w:pPr>
        <w:pStyle w:val="BodyText"/>
      </w:pPr>
      <w:r>
        <w:rPr>
          <w:b/>
          <w:bCs/>
        </w:rPr>
        <w:t>Table 4. FY2025 Spending: CBO Baseline vs. Actual</w:t>
      </w:r>
    </w:p>
    <w:tbl>
      <w:tblPr>
        <w:tblStyle w:val="Table"/>
        <w:tblW w:w="0" w:type="auto"/>
        <w:tblLook w:val="0020" w:firstRow="1" w:lastRow="0" w:firstColumn="0" w:lastColumn="0" w:noHBand="0" w:noVBand="0"/>
      </w:tblPr>
      <w:tblGrid>
        <w:gridCol w:w="2922"/>
        <w:gridCol w:w="1646"/>
        <w:gridCol w:w="1078"/>
        <w:gridCol w:w="960"/>
      </w:tblGrid>
      <w:tr w:rsidR="004B4AA5" w14:paraId="0D0AF79C"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0" w:type="auto"/>
          </w:tcPr>
          <w:p w14:paraId="0D0AF798" w14:textId="77777777" w:rsidR="004B4AA5" w:rsidRDefault="00000000">
            <w:pPr>
              <w:pStyle w:val="Compact"/>
            </w:pPr>
            <w:r>
              <w:t>Category</w:t>
            </w:r>
          </w:p>
        </w:tc>
        <w:tc>
          <w:tcPr>
            <w:tcW w:w="0" w:type="auto"/>
          </w:tcPr>
          <w:p w14:paraId="0D0AF799" w14:textId="77777777" w:rsidR="004B4AA5" w:rsidRDefault="00000000">
            <w:pPr>
              <w:pStyle w:val="Compact"/>
            </w:pPr>
            <w:r>
              <w:t>CBO Baseline</w:t>
            </w:r>
          </w:p>
        </w:tc>
        <w:tc>
          <w:tcPr>
            <w:tcW w:w="0" w:type="auto"/>
          </w:tcPr>
          <w:p w14:paraId="0D0AF79A" w14:textId="77777777" w:rsidR="004B4AA5" w:rsidRDefault="00000000">
            <w:pPr>
              <w:pStyle w:val="Compact"/>
            </w:pPr>
            <w:r>
              <w:t>Actual</w:t>
            </w:r>
          </w:p>
        </w:tc>
        <w:tc>
          <w:tcPr>
            <w:tcW w:w="0" w:type="auto"/>
          </w:tcPr>
          <w:p w14:paraId="0D0AF79B" w14:textId="77777777" w:rsidR="004B4AA5" w:rsidRDefault="00000000">
            <w:pPr>
              <w:pStyle w:val="Compact"/>
            </w:pPr>
            <w:r>
              <w:t>Gap</w:t>
            </w:r>
          </w:p>
        </w:tc>
      </w:tr>
      <w:tr w:rsidR="004B4AA5" w14:paraId="0D0AF7A1" w14:textId="77777777">
        <w:tc>
          <w:tcPr>
            <w:tcW w:w="0" w:type="auto"/>
          </w:tcPr>
          <w:p w14:paraId="0D0AF79D" w14:textId="77777777" w:rsidR="004B4AA5" w:rsidRDefault="00000000">
            <w:pPr>
              <w:pStyle w:val="Compact"/>
            </w:pPr>
            <w:r>
              <w:t>Social Security</w:t>
            </w:r>
          </w:p>
        </w:tc>
        <w:tc>
          <w:tcPr>
            <w:tcW w:w="0" w:type="auto"/>
          </w:tcPr>
          <w:p w14:paraId="0D0AF79E" w14:textId="77777777" w:rsidR="004B4AA5" w:rsidRDefault="00000000">
            <w:pPr>
              <w:pStyle w:val="Compact"/>
            </w:pPr>
            <w:r>
              <w:t>$1,530B</w:t>
            </w:r>
          </w:p>
        </w:tc>
        <w:tc>
          <w:tcPr>
            <w:tcW w:w="0" w:type="auto"/>
          </w:tcPr>
          <w:p w14:paraId="0D0AF79F" w14:textId="77777777" w:rsidR="004B4AA5" w:rsidRDefault="00000000">
            <w:pPr>
              <w:pStyle w:val="Compact"/>
            </w:pPr>
            <w:r>
              <w:t>$1,530B</w:t>
            </w:r>
          </w:p>
        </w:tc>
        <w:tc>
          <w:tcPr>
            <w:tcW w:w="0" w:type="auto"/>
          </w:tcPr>
          <w:p w14:paraId="0D0AF7A0" w14:textId="77777777" w:rsidR="004B4AA5" w:rsidRDefault="00000000">
            <w:pPr>
              <w:pStyle w:val="Compact"/>
            </w:pPr>
            <w:r>
              <w:t>$0B</w:t>
            </w:r>
          </w:p>
        </w:tc>
      </w:tr>
      <w:tr w:rsidR="004B4AA5" w14:paraId="0D0AF7A6" w14:textId="77777777">
        <w:tc>
          <w:tcPr>
            <w:tcW w:w="0" w:type="auto"/>
          </w:tcPr>
          <w:p w14:paraId="0D0AF7A2" w14:textId="77777777" w:rsidR="004B4AA5" w:rsidRDefault="00000000">
            <w:pPr>
              <w:pStyle w:val="Compact"/>
            </w:pPr>
            <w:r>
              <w:t>Medicare</w:t>
            </w:r>
          </w:p>
        </w:tc>
        <w:tc>
          <w:tcPr>
            <w:tcW w:w="0" w:type="auto"/>
          </w:tcPr>
          <w:p w14:paraId="0D0AF7A3" w14:textId="77777777" w:rsidR="004B4AA5" w:rsidRDefault="00000000">
            <w:pPr>
              <w:pStyle w:val="Compact"/>
            </w:pPr>
            <w:r>
              <w:t>$869B</w:t>
            </w:r>
          </w:p>
        </w:tc>
        <w:tc>
          <w:tcPr>
            <w:tcW w:w="0" w:type="auto"/>
          </w:tcPr>
          <w:p w14:paraId="0D0AF7A4" w14:textId="77777777" w:rsidR="004B4AA5" w:rsidRDefault="00000000">
            <w:pPr>
              <w:pStyle w:val="Compact"/>
            </w:pPr>
            <w:r>
              <w:t>$869B</w:t>
            </w:r>
          </w:p>
        </w:tc>
        <w:tc>
          <w:tcPr>
            <w:tcW w:w="0" w:type="auto"/>
          </w:tcPr>
          <w:p w14:paraId="0D0AF7A5" w14:textId="77777777" w:rsidR="004B4AA5" w:rsidRDefault="00000000">
            <w:pPr>
              <w:pStyle w:val="Compact"/>
            </w:pPr>
            <w:r>
              <w:t>$0B</w:t>
            </w:r>
          </w:p>
        </w:tc>
      </w:tr>
      <w:tr w:rsidR="004B4AA5" w14:paraId="0D0AF7AB" w14:textId="77777777">
        <w:tc>
          <w:tcPr>
            <w:tcW w:w="0" w:type="auto"/>
          </w:tcPr>
          <w:p w14:paraId="0D0AF7A7" w14:textId="77777777" w:rsidR="004B4AA5" w:rsidRDefault="00000000">
            <w:pPr>
              <w:pStyle w:val="Compact"/>
            </w:pPr>
            <w:r>
              <w:t>Medicaid</w:t>
            </w:r>
          </w:p>
        </w:tc>
        <w:tc>
          <w:tcPr>
            <w:tcW w:w="0" w:type="auto"/>
          </w:tcPr>
          <w:p w14:paraId="0D0AF7A8" w14:textId="77777777" w:rsidR="004B4AA5" w:rsidRDefault="00000000">
            <w:pPr>
              <w:pStyle w:val="Compact"/>
            </w:pPr>
            <w:r>
              <w:t>$616B</w:t>
            </w:r>
          </w:p>
        </w:tc>
        <w:tc>
          <w:tcPr>
            <w:tcW w:w="0" w:type="auto"/>
          </w:tcPr>
          <w:p w14:paraId="0D0AF7A9" w14:textId="77777777" w:rsidR="004B4AA5" w:rsidRDefault="00000000">
            <w:pPr>
              <w:pStyle w:val="Compact"/>
            </w:pPr>
            <w:r>
              <w:t>$580B</w:t>
            </w:r>
          </w:p>
        </w:tc>
        <w:tc>
          <w:tcPr>
            <w:tcW w:w="0" w:type="auto"/>
          </w:tcPr>
          <w:p w14:paraId="0D0AF7AA" w14:textId="77777777" w:rsidR="004B4AA5" w:rsidRDefault="00000000">
            <w:pPr>
              <w:pStyle w:val="Compact"/>
            </w:pPr>
            <w:r>
              <w:t>-$36B</w:t>
            </w:r>
          </w:p>
        </w:tc>
      </w:tr>
      <w:tr w:rsidR="004B4AA5" w14:paraId="0D0AF7B0" w14:textId="77777777">
        <w:tc>
          <w:tcPr>
            <w:tcW w:w="0" w:type="auto"/>
          </w:tcPr>
          <w:p w14:paraId="0D0AF7AC" w14:textId="77777777" w:rsidR="004B4AA5" w:rsidRDefault="00000000">
            <w:pPr>
              <w:pStyle w:val="Compact"/>
            </w:pPr>
            <w:r>
              <w:lastRenderedPageBreak/>
              <w:t>Income Security</w:t>
            </w:r>
          </w:p>
        </w:tc>
        <w:tc>
          <w:tcPr>
            <w:tcW w:w="0" w:type="auto"/>
          </w:tcPr>
          <w:p w14:paraId="0D0AF7AD" w14:textId="77777777" w:rsidR="004B4AA5" w:rsidRDefault="00000000">
            <w:pPr>
              <w:pStyle w:val="Compact"/>
            </w:pPr>
            <w:r>
              <w:t>$403B</w:t>
            </w:r>
          </w:p>
        </w:tc>
        <w:tc>
          <w:tcPr>
            <w:tcW w:w="0" w:type="auto"/>
          </w:tcPr>
          <w:p w14:paraId="0D0AF7AE" w14:textId="77777777" w:rsidR="004B4AA5" w:rsidRDefault="00000000">
            <w:pPr>
              <w:pStyle w:val="Compact"/>
            </w:pPr>
            <w:r>
              <w:t>$350B</w:t>
            </w:r>
          </w:p>
        </w:tc>
        <w:tc>
          <w:tcPr>
            <w:tcW w:w="0" w:type="auto"/>
          </w:tcPr>
          <w:p w14:paraId="0D0AF7AF" w14:textId="77777777" w:rsidR="004B4AA5" w:rsidRDefault="00000000">
            <w:pPr>
              <w:pStyle w:val="Compact"/>
            </w:pPr>
            <w:r>
              <w:t>-$53B</w:t>
            </w:r>
          </w:p>
        </w:tc>
      </w:tr>
      <w:tr w:rsidR="004B4AA5" w14:paraId="0D0AF7B5" w14:textId="77777777">
        <w:tc>
          <w:tcPr>
            <w:tcW w:w="0" w:type="auto"/>
          </w:tcPr>
          <w:p w14:paraId="0D0AF7B1" w14:textId="77777777" w:rsidR="004B4AA5" w:rsidRDefault="00000000">
            <w:pPr>
              <w:pStyle w:val="Compact"/>
            </w:pPr>
            <w:r>
              <w:t>Nondefense Discretionary</w:t>
            </w:r>
          </w:p>
        </w:tc>
        <w:tc>
          <w:tcPr>
            <w:tcW w:w="0" w:type="auto"/>
          </w:tcPr>
          <w:p w14:paraId="0D0AF7B2" w14:textId="77777777" w:rsidR="004B4AA5" w:rsidRDefault="00000000">
            <w:pPr>
              <w:pStyle w:val="Compact"/>
            </w:pPr>
            <w:r>
              <w:t>$755B</w:t>
            </w:r>
          </w:p>
        </w:tc>
        <w:tc>
          <w:tcPr>
            <w:tcW w:w="0" w:type="auto"/>
          </w:tcPr>
          <w:p w14:paraId="0D0AF7B3" w14:textId="77777777" w:rsidR="004B4AA5" w:rsidRDefault="00000000">
            <w:pPr>
              <w:pStyle w:val="Compact"/>
            </w:pPr>
            <w:r>
              <w:t>$660B</w:t>
            </w:r>
          </w:p>
        </w:tc>
        <w:tc>
          <w:tcPr>
            <w:tcW w:w="0" w:type="auto"/>
          </w:tcPr>
          <w:p w14:paraId="0D0AF7B4" w14:textId="77777777" w:rsidR="004B4AA5" w:rsidRDefault="00000000">
            <w:pPr>
              <w:pStyle w:val="Compact"/>
            </w:pPr>
            <w:r>
              <w:t>-$95B</w:t>
            </w:r>
          </w:p>
        </w:tc>
      </w:tr>
      <w:tr w:rsidR="004B4AA5" w14:paraId="0D0AF7BA" w14:textId="77777777">
        <w:tc>
          <w:tcPr>
            <w:tcW w:w="0" w:type="auto"/>
          </w:tcPr>
          <w:p w14:paraId="0D0AF7B6" w14:textId="77777777" w:rsidR="004B4AA5" w:rsidRDefault="00000000">
            <w:pPr>
              <w:pStyle w:val="Compact"/>
            </w:pPr>
            <w:r>
              <w:t>Net Interest</w:t>
            </w:r>
          </w:p>
        </w:tc>
        <w:tc>
          <w:tcPr>
            <w:tcW w:w="0" w:type="auto"/>
          </w:tcPr>
          <w:p w14:paraId="0D0AF7B7" w14:textId="77777777" w:rsidR="004B4AA5" w:rsidRDefault="00000000">
            <w:pPr>
              <w:pStyle w:val="Compact"/>
            </w:pPr>
            <w:r>
              <w:t>$952B</w:t>
            </w:r>
          </w:p>
        </w:tc>
        <w:tc>
          <w:tcPr>
            <w:tcW w:w="0" w:type="auto"/>
          </w:tcPr>
          <w:p w14:paraId="0D0AF7B8" w14:textId="77777777" w:rsidR="004B4AA5" w:rsidRDefault="00000000">
            <w:pPr>
              <w:pStyle w:val="Compact"/>
            </w:pPr>
            <w:r>
              <w:t>$980B</w:t>
            </w:r>
          </w:p>
        </w:tc>
        <w:tc>
          <w:tcPr>
            <w:tcW w:w="0" w:type="auto"/>
          </w:tcPr>
          <w:p w14:paraId="0D0AF7B9" w14:textId="77777777" w:rsidR="004B4AA5" w:rsidRDefault="00000000">
            <w:pPr>
              <w:pStyle w:val="Compact"/>
            </w:pPr>
            <w:r>
              <w:t>+$28B</w:t>
            </w:r>
          </w:p>
        </w:tc>
      </w:tr>
      <w:tr w:rsidR="004B4AA5" w14:paraId="0D0AF7BF" w14:textId="77777777">
        <w:tc>
          <w:tcPr>
            <w:tcW w:w="0" w:type="auto"/>
          </w:tcPr>
          <w:p w14:paraId="0D0AF7BB" w14:textId="77777777" w:rsidR="004B4AA5" w:rsidRDefault="00000000">
            <w:pPr>
              <w:pStyle w:val="Compact"/>
            </w:pPr>
            <w:r>
              <w:rPr>
                <w:b/>
                <w:bCs/>
              </w:rPr>
              <w:t>Total</w:t>
            </w:r>
          </w:p>
        </w:tc>
        <w:tc>
          <w:tcPr>
            <w:tcW w:w="0" w:type="auto"/>
          </w:tcPr>
          <w:p w14:paraId="0D0AF7BC" w14:textId="77777777" w:rsidR="004B4AA5" w:rsidRDefault="00000000">
            <w:pPr>
              <w:pStyle w:val="Compact"/>
            </w:pPr>
            <w:r>
              <w:rPr>
                <w:b/>
                <w:bCs/>
              </w:rPr>
              <w:t>$7,023B</w:t>
            </w:r>
          </w:p>
        </w:tc>
        <w:tc>
          <w:tcPr>
            <w:tcW w:w="0" w:type="auto"/>
          </w:tcPr>
          <w:p w14:paraId="0D0AF7BD" w14:textId="77777777" w:rsidR="004B4AA5" w:rsidRDefault="00000000">
            <w:pPr>
              <w:pStyle w:val="Compact"/>
            </w:pPr>
            <w:r>
              <w:rPr>
                <w:b/>
                <w:bCs/>
              </w:rPr>
              <w:t>$6,835B</w:t>
            </w:r>
          </w:p>
        </w:tc>
        <w:tc>
          <w:tcPr>
            <w:tcW w:w="0" w:type="auto"/>
          </w:tcPr>
          <w:p w14:paraId="0D0AF7BE" w14:textId="77777777" w:rsidR="004B4AA5" w:rsidRDefault="00000000">
            <w:pPr>
              <w:pStyle w:val="Compact"/>
            </w:pPr>
            <w:r>
              <w:rPr>
                <w:b/>
                <w:bCs/>
              </w:rPr>
              <w:t>-$188B</w:t>
            </w:r>
          </w:p>
        </w:tc>
      </w:tr>
    </w:tbl>
    <w:p w14:paraId="0D0AF7C0" w14:textId="77777777" w:rsidR="004B4AA5" w:rsidRDefault="00000000">
      <w:pPr>
        <w:pStyle w:val="BodyText"/>
      </w:pPr>
      <w:r>
        <w:t>The $188B shortfall is concentrated in three categories with high bottom-50% incidence; unlisted categories account for the difference between the displayed items and the total. On the revenue side, customs duties reached $195B nominal (+153% YoY; $189.7B in real FY2024 dollars per Table 1), generating $100B above baseline.</w:t>
      </w:r>
    </w:p>
    <w:p w14:paraId="0D0AF7C1" w14:textId="77777777" w:rsidR="004B4AA5" w:rsidRDefault="00000000">
      <w:pPr>
        <w:pStyle w:val="Heading3"/>
      </w:pPr>
      <w:bookmarkStart w:id="44" w:name="tariff-price-pass-through-1"/>
      <w:bookmarkStart w:id="45" w:name="_Toc223873440"/>
      <w:bookmarkEnd w:id="42"/>
      <w:r>
        <w:t>5.4 Tariff Price Pass-Through</w:t>
      </w:r>
      <w:bookmarkEnd w:id="45"/>
    </w:p>
    <w:p w14:paraId="0D0AF7C2" w14:textId="77777777" w:rsidR="004B4AA5" w:rsidRDefault="00000000">
      <w:pPr>
        <w:pStyle w:val="FirstParagraph"/>
      </w:pPr>
      <w:r>
        <w:rPr>
          <w:b/>
          <w:bCs/>
        </w:rPr>
        <w:t>Table 5. CPI Acceleration: Tariff-Affected vs. Control Categories</w:t>
      </w:r>
    </w:p>
    <w:tbl>
      <w:tblPr>
        <w:tblStyle w:val="Table"/>
        <w:tblW w:w="5000" w:type="pct"/>
        <w:tblLayout w:type="fixed"/>
        <w:tblLook w:val="0020" w:firstRow="1" w:lastRow="0" w:firstColumn="0" w:lastColumn="0" w:noHBand="0" w:noVBand="0"/>
      </w:tblPr>
      <w:tblGrid>
        <w:gridCol w:w="1407"/>
        <w:gridCol w:w="1690"/>
        <w:gridCol w:w="2253"/>
        <w:gridCol w:w="2395"/>
        <w:gridCol w:w="1831"/>
      </w:tblGrid>
      <w:tr w:rsidR="004B4AA5" w14:paraId="0D0AF7C8"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1164" w:type="dxa"/>
          </w:tcPr>
          <w:p w14:paraId="0D0AF7C3" w14:textId="77777777" w:rsidR="004B4AA5" w:rsidRDefault="00000000">
            <w:pPr>
              <w:pStyle w:val="Compact"/>
            </w:pPr>
            <w:r>
              <w:t>Category</w:t>
            </w:r>
          </w:p>
        </w:tc>
        <w:tc>
          <w:tcPr>
            <w:tcW w:w="1397" w:type="dxa"/>
          </w:tcPr>
          <w:p w14:paraId="0D0AF7C4" w14:textId="77777777" w:rsidR="004B4AA5" w:rsidRDefault="00000000">
            <w:pPr>
              <w:pStyle w:val="Compact"/>
            </w:pPr>
            <w:r>
              <w:t>Eff. Tariff</w:t>
            </w:r>
          </w:p>
        </w:tc>
        <w:tc>
          <w:tcPr>
            <w:tcW w:w="1863" w:type="dxa"/>
          </w:tcPr>
          <w:p w14:paraId="0D0AF7C5" w14:textId="77777777" w:rsidR="004B4AA5" w:rsidRDefault="00000000">
            <w:pPr>
              <w:pStyle w:val="Compact"/>
            </w:pPr>
            <w:r>
              <w:t>Pre-Tariff YoY</w:t>
            </w:r>
          </w:p>
        </w:tc>
        <w:tc>
          <w:tcPr>
            <w:tcW w:w="1980" w:type="dxa"/>
          </w:tcPr>
          <w:p w14:paraId="0D0AF7C6" w14:textId="77777777" w:rsidR="004B4AA5" w:rsidRDefault="00000000">
            <w:pPr>
              <w:pStyle w:val="Compact"/>
            </w:pPr>
            <w:r>
              <w:t>Post-Tariff YoY</w:t>
            </w:r>
          </w:p>
        </w:tc>
        <w:tc>
          <w:tcPr>
            <w:tcW w:w="1514" w:type="dxa"/>
          </w:tcPr>
          <w:p w14:paraId="0D0AF7C7" w14:textId="77777777" w:rsidR="004B4AA5" w:rsidRDefault="00000000">
            <w:pPr>
              <w:pStyle w:val="Compact"/>
            </w:pPr>
            <w:r>
              <w:t>Acceleration</w:t>
            </w:r>
          </w:p>
        </w:tc>
      </w:tr>
      <w:tr w:rsidR="004B4AA5" w14:paraId="0D0AF7CE" w14:textId="77777777">
        <w:tc>
          <w:tcPr>
            <w:tcW w:w="1164" w:type="dxa"/>
          </w:tcPr>
          <w:p w14:paraId="0D0AF7C9" w14:textId="77777777" w:rsidR="004B4AA5" w:rsidRDefault="00000000">
            <w:pPr>
              <w:pStyle w:val="Compact"/>
            </w:pPr>
            <w:r>
              <w:t>Consumer Electronics</w:t>
            </w:r>
          </w:p>
        </w:tc>
        <w:tc>
          <w:tcPr>
            <w:tcW w:w="1397" w:type="dxa"/>
          </w:tcPr>
          <w:p w14:paraId="0D0AF7CA" w14:textId="77777777" w:rsidR="004B4AA5" w:rsidRDefault="00000000">
            <w:pPr>
              <w:pStyle w:val="Compact"/>
            </w:pPr>
            <w:r>
              <w:t>10–145%</w:t>
            </w:r>
          </w:p>
        </w:tc>
        <w:tc>
          <w:tcPr>
            <w:tcW w:w="1863" w:type="dxa"/>
          </w:tcPr>
          <w:p w14:paraId="0D0AF7CB" w14:textId="77777777" w:rsidR="004B4AA5" w:rsidRDefault="00000000">
            <w:pPr>
              <w:pStyle w:val="Compact"/>
            </w:pPr>
            <w:r>
              <w:t>-6.05%</w:t>
            </w:r>
          </w:p>
        </w:tc>
        <w:tc>
          <w:tcPr>
            <w:tcW w:w="1980" w:type="dxa"/>
          </w:tcPr>
          <w:p w14:paraId="0D0AF7CC" w14:textId="77777777" w:rsidR="004B4AA5" w:rsidRDefault="00000000">
            <w:pPr>
              <w:pStyle w:val="Compact"/>
            </w:pPr>
            <w:r>
              <w:t>+1.57%</w:t>
            </w:r>
          </w:p>
        </w:tc>
        <w:tc>
          <w:tcPr>
            <w:tcW w:w="1514" w:type="dxa"/>
          </w:tcPr>
          <w:p w14:paraId="0D0AF7CD" w14:textId="77777777" w:rsidR="004B4AA5" w:rsidRDefault="00000000">
            <w:pPr>
              <w:pStyle w:val="Compact"/>
            </w:pPr>
            <w:r>
              <w:rPr>
                <w:b/>
                <w:bCs/>
              </w:rPr>
              <w:t>+7.61pp</w:t>
            </w:r>
          </w:p>
        </w:tc>
      </w:tr>
      <w:tr w:rsidR="004B4AA5" w14:paraId="0D0AF7D4" w14:textId="77777777">
        <w:tc>
          <w:tcPr>
            <w:tcW w:w="1164" w:type="dxa"/>
          </w:tcPr>
          <w:p w14:paraId="0D0AF7CF" w14:textId="77777777" w:rsidR="004B4AA5" w:rsidRDefault="00000000">
            <w:pPr>
              <w:pStyle w:val="Compact"/>
            </w:pPr>
            <w:r>
              <w:t>Household Furnishings</w:t>
            </w:r>
          </w:p>
        </w:tc>
        <w:tc>
          <w:tcPr>
            <w:tcW w:w="1397" w:type="dxa"/>
          </w:tcPr>
          <w:p w14:paraId="0D0AF7D0" w14:textId="77777777" w:rsidR="004B4AA5" w:rsidRDefault="00000000">
            <w:pPr>
              <w:pStyle w:val="Compact"/>
            </w:pPr>
            <w:r>
              <w:t>10–145%</w:t>
            </w:r>
          </w:p>
        </w:tc>
        <w:tc>
          <w:tcPr>
            <w:tcW w:w="1863" w:type="dxa"/>
          </w:tcPr>
          <w:p w14:paraId="0D0AF7D1" w14:textId="77777777" w:rsidR="004B4AA5" w:rsidRDefault="00000000">
            <w:pPr>
              <w:pStyle w:val="Compact"/>
            </w:pPr>
            <w:r>
              <w:t>+0.48%</w:t>
            </w:r>
          </w:p>
        </w:tc>
        <w:tc>
          <w:tcPr>
            <w:tcW w:w="1980" w:type="dxa"/>
          </w:tcPr>
          <w:p w14:paraId="0D0AF7D2" w14:textId="77777777" w:rsidR="004B4AA5" w:rsidRDefault="00000000">
            <w:pPr>
              <w:pStyle w:val="Compact"/>
            </w:pPr>
            <w:r>
              <w:t>+3.93%</w:t>
            </w:r>
          </w:p>
        </w:tc>
        <w:tc>
          <w:tcPr>
            <w:tcW w:w="1514" w:type="dxa"/>
          </w:tcPr>
          <w:p w14:paraId="0D0AF7D3" w14:textId="77777777" w:rsidR="004B4AA5" w:rsidRDefault="00000000">
            <w:pPr>
              <w:pStyle w:val="Compact"/>
            </w:pPr>
            <w:r>
              <w:rPr>
                <w:b/>
                <w:bCs/>
              </w:rPr>
              <w:t>+3.46pp</w:t>
            </w:r>
          </w:p>
        </w:tc>
      </w:tr>
      <w:tr w:rsidR="004B4AA5" w14:paraId="0D0AF7DA" w14:textId="77777777">
        <w:tc>
          <w:tcPr>
            <w:tcW w:w="1164" w:type="dxa"/>
          </w:tcPr>
          <w:p w14:paraId="0D0AF7D5" w14:textId="77777777" w:rsidR="004B4AA5" w:rsidRDefault="00000000">
            <w:pPr>
              <w:pStyle w:val="Compact"/>
            </w:pPr>
            <w:r>
              <w:t>Toys and Games</w:t>
            </w:r>
          </w:p>
        </w:tc>
        <w:tc>
          <w:tcPr>
            <w:tcW w:w="1397" w:type="dxa"/>
          </w:tcPr>
          <w:p w14:paraId="0D0AF7D6" w14:textId="77777777" w:rsidR="004B4AA5" w:rsidRDefault="00000000">
            <w:pPr>
              <w:pStyle w:val="Compact"/>
            </w:pPr>
            <w:r>
              <w:t>10–145%</w:t>
            </w:r>
          </w:p>
        </w:tc>
        <w:tc>
          <w:tcPr>
            <w:tcW w:w="1863" w:type="dxa"/>
          </w:tcPr>
          <w:p w14:paraId="0D0AF7D7" w14:textId="77777777" w:rsidR="004B4AA5" w:rsidRDefault="00000000">
            <w:pPr>
              <w:pStyle w:val="Compact"/>
            </w:pPr>
            <w:r>
              <w:t>+3.71%</w:t>
            </w:r>
          </w:p>
        </w:tc>
        <w:tc>
          <w:tcPr>
            <w:tcW w:w="1980" w:type="dxa"/>
          </w:tcPr>
          <w:p w14:paraId="0D0AF7D8" w14:textId="77777777" w:rsidR="004B4AA5" w:rsidRDefault="00000000">
            <w:pPr>
              <w:pStyle w:val="Compact"/>
            </w:pPr>
            <w:r>
              <w:t>+5.54%</w:t>
            </w:r>
          </w:p>
        </w:tc>
        <w:tc>
          <w:tcPr>
            <w:tcW w:w="1514" w:type="dxa"/>
          </w:tcPr>
          <w:p w14:paraId="0D0AF7D9" w14:textId="77777777" w:rsidR="004B4AA5" w:rsidRDefault="00000000">
            <w:pPr>
              <w:pStyle w:val="Compact"/>
            </w:pPr>
            <w:r>
              <w:rPr>
                <w:b/>
                <w:bCs/>
              </w:rPr>
              <w:t>+1.84pp</w:t>
            </w:r>
          </w:p>
        </w:tc>
      </w:tr>
      <w:tr w:rsidR="004B4AA5" w14:paraId="0D0AF7E0" w14:textId="77777777">
        <w:tc>
          <w:tcPr>
            <w:tcW w:w="1164" w:type="dxa"/>
          </w:tcPr>
          <w:p w14:paraId="0D0AF7DB" w14:textId="77777777" w:rsidR="004B4AA5" w:rsidRDefault="00000000">
            <w:pPr>
              <w:pStyle w:val="Compact"/>
            </w:pPr>
            <w:r>
              <w:t>Footwear</w:t>
            </w:r>
          </w:p>
        </w:tc>
        <w:tc>
          <w:tcPr>
            <w:tcW w:w="1397" w:type="dxa"/>
          </w:tcPr>
          <w:p w14:paraId="0D0AF7DC" w14:textId="77777777" w:rsidR="004B4AA5" w:rsidRDefault="00000000">
            <w:pPr>
              <w:pStyle w:val="Compact"/>
            </w:pPr>
            <w:r>
              <w:t>10–145%</w:t>
            </w:r>
          </w:p>
        </w:tc>
        <w:tc>
          <w:tcPr>
            <w:tcW w:w="1863" w:type="dxa"/>
          </w:tcPr>
          <w:p w14:paraId="0D0AF7DD" w14:textId="77777777" w:rsidR="004B4AA5" w:rsidRDefault="00000000">
            <w:pPr>
              <w:pStyle w:val="Compact"/>
            </w:pPr>
            <w:r>
              <w:t>+1.03%</w:t>
            </w:r>
          </w:p>
        </w:tc>
        <w:tc>
          <w:tcPr>
            <w:tcW w:w="1980" w:type="dxa"/>
          </w:tcPr>
          <w:p w14:paraId="0D0AF7DE" w14:textId="77777777" w:rsidR="004B4AA5" w:rsidRDefault="00000000">
            <w:pPr>
              <w:pStyle w:val="Compact"/>
            </w:pPr>
            <w:r>
              <w:t>+1.95%</w:t>
            </w:r>
          </w:p>
        </w:tc>
        <w:tc>
          <w:tcPr>
            <w:tcW w:w="1514" w:type="dxa"/>
          </w:tcPr>
          <w:p w14:paraId="0D0AF7DF" w14:textId="77777777" w:rsidR="004B4AA5" w:rsidRDefault="00000000">
            <w:pPr>
              <w:pStyle w:val="Compact"/>
            </w:pPr>
            <w:r>
              <w:t>+0.93pp</w:t>
            </w:r>
          </w:p>
        </w:tc>
      </w:tr>
      <w:tr w:rsidR="004B4AA5" w14:paraId="0D0AF7E6" w14:textId="77777777">
        <w:tc>
          <w:tcPr>
            <w:tcW w:w="1164" w:type="dxa"/>
          </w:tcPr>
          <w:p w14:paraId="0D0AF7E1" w14:textId="77777777" w:rsidR="004B4AA5" w:rsidRDefault="00000000">
            <w:pPr>
              <w:pStyle w:val="Compact"/>
            </w:pPr>
            <w:r>
              <w:t>New Vehicles</w:t>
            </w:r>
          </w:p>
        </w:tc>
        <w:tc>
          <w:tcPr>
            <w:tcW w:w="1397" w:type="dxa"/>
          </w:tcPr>
          <w:p w14:paraId="0D0AF7E2" w14:textId="77777777" w:rsidR="004B4AA5" w:rsidRDefault="00000000">
            <w:pPr>
              <w:pStyle w:val="Compact"/>
            </w:pPr>
            <w:r>
              <w:t>25%</w:t>
            </w:r>
          </w:p>
        </w:tc>
        <w:tc>
          <w:tcPr>
            <w:tcW w:w="1863" w:type="dxa"/>
          </w:tcPr>
          <w:p w14:paraId="0D0AF7E3" w14:textId="77777777" w:rsidR="004B4AA5" w:rsidRDefault="00000000">
            <w:pPr>
              <w:pStyle w:val="Compact"/>
            </w:pPr>
            <w:r>
              <w:t>-0.34%</w:t>
            </w:r>
          </w:p>
        </w:tc>
        <w:tc>
          <w:tcPr>
            <w:tcW w:w="1980" w:type="dxa"/>
          </w:tcPr>
          <w:p w14:paraId="0D0AF7E4" w14:textId="77777777" w:rsidR="004B4AA5" w:rsidRDefault="00000000">
            <w:pPr>
              <w:pStyle w:val="Compact"/>
            </w:pPr>
            <w:r>
              <w:t>+0.37%</w:t>
            </w:r>
          </w:p>
        </w:tc>
        <w:tc>
          <w:tcPr>
            <w:tcW w:w="1514" w:type="dxa"/>
          </w:tcPr>
          <w:p w14:paraId="0D0AF7E5" w14:textId="77777777" w:rsidR="004B4AA5" w:rsidRDefault="00000000">
            <w:pPr>
              <w:pStyle w:val="Compact"/>
            </w:pPr>
            <w:r>
              <w:t>+0.71pp</w:t>
            </w:r>
          </w:p>
        </w:tc>
      </w:tr>
      <w:tr w:rsidR="004B4AA5" w14:paraId="0D0AF7EC" w14:textId="77777777">
        <w:tc>
          <w:tcPr>
            <w:tcW w:w="1164" w:type="dxa"/>
          </w:tcPr>
          <w:p w14:paraId="0D0AF7E7" w14:textId="77777777" w:rsidR="004B4AA5" w:rsidRDefault="00000000">
            <w:pPr>
              <w:pStyle w:val="Compact"/>
            </w:pPr>
            <w:r>
              <w:t>Food at Home</w:t>
            </w:r>
          </w:p>
        </w:tc>
        <w:tc>
          <w:tcPr>
            <w:tcW w:w="1397" w:type="dxa"/>
          </w:tcPr>
          <w:p w14:paraId="0D0AF7E8" w14:textId="77777777" w:rsidR="004B4AA5" w:rsidRDefault="00000000">
            <w:pPr>
              <w:pStyle w:val="Compact"/>
            </w:pPr>
            <w:r>
              <w:t>10–25%</w:t>
            </w:r>
          </w:p>
        </w:tc>
        <w:tc>
          <w:tcPr>
            <w:tcW w:w="1863" w:type="dxa"/>
          </w:tcPr>
          <w:p w14:paraId="0D0AF7E9" w14:textId="77777777" w:rsidR="004B4AA5" w:rsidRDefault="00000000">
            <w:pPr>
              <w:pStyle w:val="Compact"/>
            </w:pPr>
            <w:r>
              <w:t>+1.84%</w:t>
            </w:r>
          </w:p>
        </w:tc>
        <w:tc>
          <w:tcPr>
            <w:tcW w:w="1980" w:type="dxa"/>
          </w:tcPr>
          <w:p w14:paraId="0D0AF7EA" w14:textId="77777777" w:rsidR="004B4AA5" w:rsidRDefault="00000000">
            <w:pPr>
              <w:pStyle w:val="Compact"/>
            </w:pPr>
            <w:r>
              <w:t>+2.18%</w:t>
            </w:r>
          </w:p>
        </w:tc>
        <w:tc>
          <w:tcPr>
            <w:tcW w:w="1514" w:type="dxa"/>
          </w:tcPr>
          <w:p w14:paraId="0D0AF7EB" w14:textId="77777777" w:rsidR="004B4AA5" w:rsidRDefault="00000000">
            <w:pPr>
              <w:pStyle w:val="Compact"/>
            </w:pPr>
            <w:r>
              <w:t>+0.33pp</w:t>
            </w:r>
          </w:p>
        </w:tc>
      </w:tr>
      <w:tr w:rsidR="004B4AA5" w14:paraId="0D0AF7F2" w14:textId="77777777">
        <w:tc>
          <w:tcPr>
            <w:tcW w:w="1164" w:type="dxa"/>
          </w:tcPr>
          <w:p w14:paraId="0D0AF7ED" w14:textId="77777777" w:rsidR="004B4AA5" w:rsidRDefault="00000000">
            <w:pPr>
              <w:pStyle w:val="Compact"/>
            </w:pPr>
            <w:r>
              <w:t>Gasoline</w:t>
            </w:r>
          </w:p>
        </w:tc>
        <w:tc>
          <w:tcPr>
            <w:tcW w:w="1397" w:type="dxa"/>
          </w:tcPr>
          <w:p w14:paraId="0D0AF7EE" w14:textId="77777777" w:rsidR="004B4AA5" w:rsidRDefault="00000000">
            <w:pPr>
              <w:pStyle w:val="Compact"/>
            </w:pPr>
            <w:r>
              <w:t>10–25%</w:t>
            </w:r>
          </w:p>
        </w:tc>
        <w:tc>
          <w:tcPr>
            <w:tcW w:w="1863" w:type="dxa"/>
          </w:tcPr>
          <w:p w14:paraId="0D0AF7EF" w14:textId="77777777" w:rsidR="004B4AA5" w:rsidRDefault="00000000">
            <w:pPr>
              <w:pStyle w:val="Compact"/>
            </w:pPr>
            <w:r>
              <w:t>-0.13%</w:t>
            </w:r>
          </w:p>
        </w:tc>
        <w:tc>
          <w:tcPr>
            <w:tcW w:w="1980" w:type="dxa"/>
          </w:tcPr>
          <w:p w14:paraId="0D0AF7F0" w14:textId="77777777" w:rsidR="004B4AA5" w:rsidRDefault="00000000">
            <w:pPr>
              <w:pStyle w:val="Compact"/>
            </w:pPr>
            <w:r>
              <w:t>-7.49%</w:t>
            </w:r>
          </w:p>
        </w:tc>
        <w:tc>
          <w:tcPr>
            <w:tcW w:w="1514" w:type="dxa"/>
          </w:tcPr>
          <w:p w14:paraId="0D0AF7F1" w14:textId="77777777" w:rsidR="004B4AA5" w:rsidRDefault="00000000">
            <w:pPr>
              <w:pStyle w:val="Compact"/>
            </w:pPr>
            <w:r>
              <w:t>-7.37pp</w:t>
            </w:r>
          </w:p>
        </w:tc>
      </w:tr>
    </w:tbl>
    <w:p w14:paraId="0D0AF7F3" w14:textId="77777777" w:rsidR="004B4AA5" w:rsidRDefault="00000000">
      <w:pPr>
        <w:pStyle w:val="BodyText"/>
      </w:pPr>
      <w:r>
        <w:rPr>
          <w:b/>
          <w:bCs/>
        </w:rPr>
        <w:t>Identification test 1 (within-goods dose-response).</w:t>
      </w:r>
      <w:r>
        <w:t xml:space="preserve"> Spearman rank correlation between tariff rate and price acceleration: </w:t>
      </w:r>
      <m:oMath>
        <m:r>
          <w:rPr>
            <w:rFonts w:ascii="Cambria Math" w:hAnsi="Cambria Math"/>
          </w:rPr>
          <m:t>ρ</m:t>
        </m:r>
      </m:oMath>
      <w:r>
        <w:rPr>
          <w:b/>
          <w:bCs/>
        </w:rPr>
        <w:t xml:space="preserve"> = 0.684, p = 0.020</w:t>
      </w:r>
      <w:r>
        <w:t>. High-tariff goods (&gt;15% effective rate) saw mean acceleration of +2.30pp vs. -1.46pp for low-tariff goods.</w:t>
      </w:r>
    </w:p>
    <w:p w14:paraId="0D0AF7F4" w14:textId="77777777" w:rsidR="004B4AA5" w:rsidRDefault="00000000">
      <w:pPr>
        <w:pStyle w:val="BodyText"/>
      </w:pPr>
      <w:r>
        <w:rPr>
          <w:b/>
          <w:bCs/>
        </w:rPr>
        <w:t>Identification test 2 (services control group).</w:t>
      </w:r>
      <w:r>
        <w:t xml:space="preserve"> Traded goods accelerated +1.66pp while non-tradable services decelerated -1.78pp, yielding a differential of +3.44pp (Mann-Whitney p = 0.015, Cohen’s d = 1.26). This rules out the hypothesis that observed price increases reflect broader inflationary pressure.</w:t>
      </w:r>
    </w:p>
    <w:p w14:paraId="0D0AF7F5" w14:textId="77777777" w:rsidR="004B4AA5" w:rsidRDefault="00000000">
      <w:r>
        <w:pict w14:anchorId="0D0AFA5C">
          <v:rect id="_x0000_i1029" style="width:0;height:1.5pt" o:hralign="center" o:hrstd="t" o:hr="t"/>
        </w:pict>
      </w:r>
    </w:p>
    <w:p w14:paraId="0D0AF7F6" w14:textId="77777777" w:rsidR="004B4AA5" w:rsidRDefault="00000000">
      <w:pPr>
        <w:pStyle w:val="Heading2"/>
      </w:pPr>
      <w:bookmarkStart w:id="46" w:name="Xf33b6856a424681ef02ffa5770ea32010b1bb03"/>
      <w:bookmarkStart w:id="47" w:name="_Toc223873441"/>
      <w:bookmarkEnd w:id="36"/>
      <w:bookmarkEnd w:id="44"/>
      <w:r>
        <w:lastRenderedPageBreak/>
        <w:t>6. Results II: Distributional Consequences of the Structural Breaks</w:t>
      </w:r>
      <w:bookmarkEnd w:id="47"/>
    </w:p>
    <w:p w14:paraId="0D0AF7F7" w14:textId="77777777" w:rsidR="004B4AA5" w:rsidRDefault="00000000">
      <w:pPr>
        <w:pStyle w:val="FirstParagraph"/>
      </w:pPr>
      <w:r>
        <w:t>Having established which features of FY2025 are structural breaks and confirmed tariff-to-price pass-through, I now trace their distributional consequences.</w:t>
      </w:r>
    </w:p>
    <w:p w14:paraId="0D0AF7F8" w14:textId="77777777" w:rsidR="004B4AA5" w:rsidRDefault="00000000">
      <w:pPr>
        <w:pStyle w:val="Heading3"/>
      </w:pPr>
      <w:bookmarkStart w:id="48" w:name="who-bears-the-fy2025-fiscal-shift"/>
      <w:bookmarkStart w:id="49" w:name="_Toc223873442"/>
      <w:r>
        <w:t>6.1 Who Bears the FY2025 Fiscal Shift?</w:t>
      </w:r>
      <w:bookmarkEnd w:id="49"/>
    </w:p>
    <w:p w14:paraId="0D0AF7F9" w14:textId="77777777" w:rsidR="004B4AA5" w:rsidRDefault="00000000">
      <w:pPr>
        <w:pStyle w:val="FirstParagraph"/>
      </w:pPr>
      <w:r>
        <w:rPr>
          <w:b/>
          <w:bCs/>
        </w:rPr>
        <w:t>Table 6. Distributional Impact by Quintile</w:t>
      </w:r>
    </w:p>
    <w:tbl>
      <w:tblPr>
        <w:tblStyle w:val="Table"/>
        <w:tblW w:w="5000" w:type="pct"/>
        <w:tblLayout w:type="fixed"/>
        <w:tblLook w:val="0020" w:firstRow="1" w:lastRow="0" w:firstColumn="0" w:lastColumn="0" w:noHBand="0" w:noVBand="0"/>
      </w:tblPr>
      <w:tblGrid>
        <w:gridCol w:w="1349"/>
        <w:gridCol w:w="1754"/>
        <w:gridCol w:w="1888"/>
        <w:gridCol w:w="943"/>
        <w:gridCol w:w="1484"/>
        <w:gridCol w:w="2158"/>
      </w:tblGrid>
      <w:tr w:rsidR="004B4AA5" w14:paraId="0D0AF800"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1115" w:type="dxa"/>
          </w:tcPr>
          <w:p w14:paraId="0D0AF7FA" w14:textId="77777777" w:rsidR="004B4AA5" w:rsidRDefault="00000000">
            <w:pPr>
              <w:pStyle w:val="Compact"/>
            </w:pPr>
            <w:r>
              <w:t>Quintile</w:t>
            </w:r>
          </w:p>
        </w:tc>
        <w:tc>
          <w:tcPr>
            <w:tcW w:w="1450" w:type="dxa"/>
          </w:tcPr>
          <w:p w14:paraId="0D0AF7FB" w14:textId="77777777" w:rsidR="004B4AA5" w:rsidRDefault="00000000">
            <w:pPr>
              <w:pStyle w:val="Compact"/>
            </w:pPr>
            <w:r>
              <w:t>Spending Cuts</w:t>
            </w:r>
          </w:p>
        </w:tc>
        <w:tc>
          <w:tcPr>
            <w:tcW w:w="1561" w:type="dxa"/>
          </w:tcPr>
          <w:p w14:paraId="0D0AF7FC" w14:textId="77777777" w:rsidR="004B4AA5" w:rsidRDefault="00000000">
            <w:pPr>
              <w:pStyle w:val="Compact"/>
            </w:pPr>
            <w:r>
              <w:t>Tariff Burden</w:t>
            </w:r>
          </w:p>
        </w:tc>
        <w:tc>
          <w:tcPr>
            <w:tcW w:w="780" w:type="dxa"/>
          </w:tcPr>
          <w:p w14:paraId="0D0AF7FD" w14:textId="77777777" w:rsidR="004B4AA5" w:rsidRDefault="00000000">
            <w:pPr>
              <w:pStyle w:val="Compact"/>
            </w:pPr>
            <w:r>
              <w:t>Total</w:t>
            </w:r>
          </w:p>
        </w:tc>
        <w:tc>
          <w:tcPr>
            <w:tcW w:w="1227" w:type="dxa"/>
          </w:tcPr>
          <w:p w14:paraId="0D0AF7FE" w14:textId="77777777" w:rsidR="004B4AA5" w:rsidRDefault="00000000">
            <w:pPr>
              <w:pStyle w:val="Compact"/>
            </w:pPr>
            <w:r>
              <w:t>Per Person</w:t>
            </w:r>
          </w:p>
        </w:tc>
        <w:tc>
          <w:tcPr>
            <w:tcW w:w="1784" w:type="dxa"/>
          </w:tcPr>
          <w:p w14:paraId="0D0AF7FF" w14:textId="77777777" w:rsidR="004B4AA5" w:rsidRDefault="00000000">
            <w:pPr>
              <w:pStyle w:val="Compact"/>
            </w:pPr>
            <w:r>
              <w:t>% Pretax Income</w:t>
            </w:r>
          </w:p>
        </w:tc>
      </w:tr>
      <w:tr w:rsidR="004B4AA5" w14:paraId="0D0AF807" w14:textId="77777777">
        <w:tc>
          <w:tcPr>
            <w:tcW w:w="1115" w:type="dxa"/>
          </w:tcPr>
          <w:p w14:paraId="0D0AF801" w14:textId="77777777" w:rsidR="004B4AA5" w:rsidRDefault="00000000">
            <w:pPr>
              <w:pStyle w:val="Compact"/>
            </w:pPr>
            <w:r>
              <w:t>Q1 (Bottom 20%)</w:t>
            </w:r>
          </w:p>
        </w:tc>
        <w:tc>
          <w:tcPr>
            <w:tcW w:w="1450" w:type="dxa"/>
          </w:tcPr>
          <w:p w14:paraId="0D0AF802" w14:textId="77777777" w:rsidR="004B4AA5" w:rsidRDefault="00000000">
            <w:pPr>
              <w:pStyle w:val="Compact"/>
            </w:pPr>
            <w:r>
              <w:t>-$64.7B</w:t>
            </w:r>
          </w:p>
        </w:tc>
        <w:tc>
          <w:tcPr>
            <w:tcW w:w="1561" w:type="dxa"/>
          </w:tcPr>
          <w:p w14:paraId="0D0AF803" w14:textId="77777777" w:rsidR="004B4AA5" w:rsidRDefault="00000000">
            <w:pPr>
              <w:pStyle w:val="Compact"/>
            </w:pPr>
            <w:r>
              <w:t>-$14.0B</w:t>
            </w:r>
          </w:p>
        </w:tc>
        <w:tc>
          <w:tcPr>
            <w:tcW w:w="780" w:type="dxa"/>
          </w:tcPr>
          <w:p w14:paraId="0D0AF804" w14:textId="77777777" w:rsidR="004B4AA5" w:rsidRDefault="00000000">
            <w:pPr>
              <w:pStyle w:val="Compact"/>
            </w:pPr>
            <w:r>
              <w:t>-$78.7B</w:t>
            </w:r>
          </w:p>
        </w:tc>
        <w:tc>
          <w:tcPr>
            <w:tcW w:w="1227" w:type="dxa"/>
          </w:tcPr>
          <w:p w14:paraId="0D0AF805" w14:textId="77777777" w:rsidR="004B4AA5" w:rsidRDefault="00000000">
            <w:pPr>
              <w:pStyle w:val="Compact"/>
            </w:pPr>
            <w:r>
              <w:t>-$1,440</w:t>
            </w:r>
          </w:p>
        </w:tc>
        <w:tc>
          <w:tcPr>
            <w:tcW w:w="1784" w:type="dxa"/>
          </w:tcPr>
          <w:p w14:paraId="0D0AF806" w14:textId="77777777" w:rsidR="004B4AA5" w:rsidRDefault="00000000">
            <w:pPr>
              <w:pStyle w:val="Compact"/>
            </w:pPr>
            <w:r>
              <w:t>363.3%*</w:t>
            </w:r>
          </w:p>
        </w:tc>
      </w:tr>
      <w:tr w:rsidR="004B4AA5" w14:paraId="0D0AF80E" w14:textId="77777777">
        <w:tc>
          <w:tcPr>
            <w:tcW w:w="1115" w:type="dxa"/>
          </w:tcPr>
          <w:p w14:paraId="0D0AF808" w14:textId="77777777" w:rsidR="004B4AA5" w:rsidRDefault="00000000">
            <w:pPr>
              <w:pStyle w:val="Compact"/>
            </w:pPr>
            <w:r>
              <w:t>Q2</w:t>
            </w:r>
          </w:p>
        </w:tc>
        <w:tc>
          <w:tcPr>
            <w:tcW w:w="1450" w:type="dxa"/>
          </w:tcPr>
          <w:p w14:paraId="0D0AF809" w14:textId="77777777" w:rsidR="004B4AA5" w:rsidRDefault="00000000">
            <w:pPr>
              <w:pStyle w:val="Compact"/>
            </w:pPr>
            <w:r>
              <w:t>-$50.4B</w:t>
            </w:r>
          </w:p>
        </w:tc>
        <w:tc>
          <w:tcPr>
            <w:tcW w:w="1561" w:type="dxa"/>
          </w:tcPr>
          <w:p w14:paraId="0D0AF80A" w14:textId="77777777" w:rsidR="004B4AA5" w:rsidRDefault="00000000">
            <w:pPr>
              <w:pStyle w:val="Compact"/>
            </w:pPr>
            <w:r>
              <w:t>-$21.0B</w:t>
            </w:r>
          </w:p>
        </w:tc>
        <w:tc>
          <w:tcPr>
            <w:tcW w:w="780" w:type="dxa"/>
          </w:tcPr>
          <w:p w14:paraId="0D0AF80B" w14:textId="77777777" w:rsidR="004B4AA5" w:rsidRDefault="00000000">
            <w:pPr>
              <w:pStyle w:val="Compact"/>
            </w:pPr>
            <w:r>
              <w:t>-$71.4B</w:t>
            </w:r>
          </w:p>
        </w:tc>
        <w:tc>
          <w:tcPr>
            <w:tcW w:w="1227" w:type="dxa"/>
          </w:tcPr>
          <w:p w14:paraId="0D0AF80C" w14:textId="77777777" w:rsidR="004B4AA5" w:rsidRDefault="00000000">
            <w:pPr>
              <w:pStyle w:val="Compact"/>
            </w:pPr>
            <w:r>
              <w:t>-$1,308</w:t>
            </w:r>
          </w:p>
        </w:tc>
        <w:tc>
          <w:tcPr>
            <w:tcW w:w="1784" w:type="dxa"/>
          </w:tcPr>
          <w:p w14:paraId="0D0AF80D" w14:textId="77777777" w:rsidR="004B4AA5" w:rsidRDefault="00000000">
            <w:pPr>
              <w:pStyle w:val="Compact"/>
            </w:pPr>
            <w:r>
              <w:t>8.3%</w:t>
            </w:r>
          </w:p>
        </w:tc>
      </w:tr>
      <w:tr w:rsidR="004B4AA5" w14:paraId="0D0AF815" w14:textId="77777777">
        <w:tc>
          <w:tcPr>
            <w:tcW w:w="1115" w:type="dxa"/>
          </w:tcPr>
          <w:p w14:paraId="0D0AF80F" w14:textId="77777777" w:rsidR="004B4AA5" w:rsidRDefault="00000000">
            <w:pPr>
              <w:pStyle w:val="Compact"/>
            </w:pPr>
            <w:r>
              <w:t>Q3</w:t>
            </w:r>
          </w:p>
        </w:tc>
        <w:tc>
          <w:tcPr>
            <w:tcW w:w="1450" w:type="dxa"/>
          </w:tcPr>
          <w:p w14:paraId="0D0AF810" w14:textId="77777777" w:rsidR="004B4AA5" w:rsidRDefault="00000000">
            <w:pPr>
              <w:pStyle w:val="Compact"/>
            </w:pPr>
            <w:r>
              <w:t>-$32.7B</w:t>
            </w:r>
          </w:p>
        </w:tc>
        <w:tc>
          <w:tcPr>
            <w:tcW w:w="1561" w:type="dxa"/>
          </w:tcPr>
          <w:p w14:paraId="0D0AF811" w14:textId="77777777" w:rsidR="004B4AA5" w:rsidRDefault="00000000">
            <w:pPr>
              <w:pStyle w:val="Compact"/>
            </w:pPr>
            <w:r>
              <w:t>-$30.8B</w:t>
            </w:r>
          </w:p>
        </w:tc>
        <w:tc>
          <w:tcPr>
            <w:tcW w:w="780" w:type="dxa"/>
          </w:tcPr>
          <w:p w14:paraId="0D0AF812" w14:textId="77777777" w:rsidR="004B4AA5" w:rsidRDefault="00000000">
            <w:pPr>
              <w:pStyle w:val="Compact"/>
            </w:pPr>
            <w:r>
              <w:t>-$63.5B</w:t>
            </w:r>
          </w:p>
        </w:tc>
        <w:tc>
          <w:tcPr>
            <w:tcW w:w="1227" w:type="dxa"/>
          </w:tcPr>
          <w:p w14:paraId="0D0AF813" w14:textId="77777777" w:rsidR="004B4AA5" w:rsidRDefault="00000000">
            <w:pPr>
              <w:pStyle w:val="Compact"/>
            </w:pPr>
            <w:r>
              <w:t>-$1,162</w:t>
            </w:r>
          </w:p>
        </w:tc>
        <w:tc>
          <w:tcPr>
            <w:tcW w:w="1784" w:type="dxa"/>
          </w:tcPr>
          <w:p w14:paraId="0D0AF814" w14:textId="77777777" w:rsidR="004B4AA5" w:rsidRDefault="00000000">
            <w:pPr>
              <w:pStyle w:val="Compact"/>
            </w:pPr>
            <w:r>
              <w:t>3.3%</w:t>
            </w:r>
          </w:p>
        </w:tc>
      </w:tr>
      <w:tr w:rsidR="004B4AA5" w14:paraId="0D0AF81C" w14:textId="77777777">
        <w:tc>
          <w:tcPr>
            <w:tcW w:w="1115" w:type="dxa"/>
          </w:tcPr>
          <w:p w14:paraId="0D0AF816" w14:textId="77777777" w:rsidR="004B4AA5" w:rsidRDefault="00000000">
            <w:pPr>
              <w:pStyle w:val="Compact"/>
            </w:pPr>
            <w:r>
              <w:t>Q4</w:t>
            </w:r>
          </w:p>
        </w:tc>
        <w:tc>
          <w:tcPr>
            <w:tcW w:w="1450" w:type="dxa"/>
          </w:tcPr>
          <w:p w14:paraId="0D0AF817" w14:textId="77777777" w:rsidR="004B4AA5" w:rsidRDefault="00000000">
            <w:pPr>
              <w:pStyle w:val="Compact"/>
            </w:pPr>
            <w:r>
              <w:t>-$23.9B</w:t>
            </w:r>
          </w:p>
        </w:tc>
        <w:tc>
          <w:tcPr>
            <w:tcW w:w="1561" w:type="dxa"/>
          </w:tcPr>
          <w:p w14:paraId="0D0AF818" w14:textId="77777777" w:rsidR="004B4AA5" w:rsidRDefault="00000000">
            <w:pPr>
              <w:pStyle w:val="Compact"/>
            </w:pPr>
            <w:r>
              <w:t>-$37.8B</w:t>
            </w:r>
          </w:p>
        </w:tc>
        <w:tc>
          <w:tcPr>
            <w:tcW w:w="780" w:type="dxa"/>
          </w:tcPr>
          <w:p w14:paraId="0D0AF819" w14:textId="77777777" w:rsidR="004B4AA5" w:rsidRDefault="00000000">
            <w:pPr>
              <w:pStyle w:val="Compact"/>
            </w:pPr>
            <w:r>
              <w:t>-$61.7B</w:t>
            </w:r>
          </w:p>
        </w:tc>
        <w:tc>
          <w:tcPr>
            <w:tcW w:w="1227" w:type="dxa"/>
          </w:tcPr>
          <w:p w14:paraId="0D0AF81A" w14:textId="77777777" w:rsidR="004B4AA5" w:rsidRDefault="00000000">
            <w:pPr>
              <w:pStyle w:val="Compact"/>
            </w:pPr>
            <w:r>
              <w:t>-$1,129</w:t>
            </w:r>
          </w:p>
        </w:tc>
        <w:tc>
          <w:tcPr>
            <w:tcW w:w="1784" w:type="dxa"/>
          </w:tcPr>
          <w:p w14:paraId="0D0AF81B" w14:textId="77777777" w:rsidR="004B4AA5" w:rsidRDefault="00000000">
            <w:pPr>
              <w:pStyle w:val="Compact"/>
            </w:pPr>
            <w:r>
              <w:t>1.8%</w:t>
            </w:r>
          </w:p>
        </w:tc>
      </w:tr>
      <w:tr w:rsidR="004B4AA5" w14:paraId="0D0AF823" w14:textId="77777777">
        <w:tc>
          <w:tcPr>
            <w:tcW w:w="1115" w:type="dxa"/>
          </w:tcPr>
          <w:p w14:paraId="0D0AF81D" w14:textId="77777777" w:rsidR="004B4AA5" w:rsidRDefault="00000000">
            <w:pPr>
              <w:pStyle w:val="Compact"/>
            </w:pPr>
            <w:r>
              <w:t>Q5 (Top 20%)</w:t>
            </w:r>
          </w:p>
        </w:tc>
        <w:tc>
          <w:tcPr>
            <w:tcW w:w="1450" w:type="dxa"/>
          </w:tcPr>
          <w:p w14:paraId="0D0AF81E" w14:textId="77777777" w:rsidR="004B4AA5" w:rsidRDefault="00000000">
            <w:pPr>
              <w:pStyle w:val="Compact"/>
            </w:pPr>
            <w:r>
              <w:t>-$12.4B</w:t>
            </w:r>
          </w:p>
        </w:tc>
        <w:tc>
          <w:tcPr>
            <w:tcW w:w="1561" w:type="dxa"/>
          </w:tcPr>
          <w:p w14:paraId="0D0AF81F" w14:textId="77777777" w:rsidR="004B4AA5" w:rsidRDefault="00000000">
            <w:pPr>
              <w:pStyle w:val="Compact"/>
            </w:pPr>
            <w:r>
              <w:t>-$36.4B</w:t>
            </w:r>
          </w:p>
        </w:tc>
        <w:tc>
          <w:tcPr>
            <w:tcW w:w="780" w:type="dxa"/>
          </w:tcPr>
          <w:p w14:paraId="0D0AF820" w14:textId="77777777" w:rsidR="004B4AA5" w:rsidRDefault="00000000">
            <w:pPr>
              <w:pStyle w:val="Compact"/>
            </w:pPr>
            <w:r>
              <w:t>-$48.8B</w:t>
            </w:r>
          </w:p>
        </w:tc>
        <w:tc>
          <w:tcPr>
            <w:tcW w:w="1227" w:type="dxa"/>
          </w:tcPr>
          <w:p w14:paraId="0D0AF821" w14:textId="77777777" w:rsidR="004B4AA5" w:rsidRDefault="00000000">
            <w:pPr>
              <w:pStyle w:val="Compact"/>
            </w:pPr>
            <w:r>
              <w:t>-$893</w:t>
            </w:r>
          </w:p>
        </w:tc>
        <w:tc>
          <w:tcPr>
            <w:tcW w:w="1784" w:type="dxa"/>
          </w:tcPr>
          <w:p w14:paraId="0D0AF822" w14:textId="77777777" w:rsidR="004B4AA5" w:rsidRDefault="00000000">
            <w:pPr>
              <w:pStyle w:val="Compact"/>
            </w:pPr>
            <w:r>
              <w:t>0.5%</w:t>
            </w:r>
          </w:p>
        </w:tc>
      </w:tr>
    </w:tbl>
    <w:p w14:paraId="0D0AF824" w14:textId="77777777" w:rsidR="004B4AA5" w:rsidRDefault="00000000">
      <w:pPr>
        <w:pStyle w:val="BodyText"/>
      </w:pPr>
      <w:r>
        <w:rPr>
          <w:i/>
          <w:iCs/>
        </w:rPr>
        <w:t>Q1 percentage reflects near-zero pretax income (</w:t>
      </w:r>
      <m:oMath>
        <m:r>
          <w:rPr>
            <w:rFonts w:ascii="Cambria Math" w:hAnsi="Cambria Math"/>
          </w:rPr>
          <m:t>396</m:t>
        </m:r>
        <m:r>
          <m:rPr>
            <m:sty m:val="p"/>
          </m:rPr>
          <w:rPr>
            <w:rFonts w:ascii="Cambria Math" w:hAnsi="Cambria Math"/>
          </w:rPr>
          <m:t>/</m:t>
        </m:r>
        <m:r>
          <w:rPr>
            <w:rFonts w:ascii="Cambria Math" w:hAnsi="Cambria Math"/>
          </w:rPr>
          <m:t>person</m:t>
        </m:r>
        <m:r>
          <m:rPr>
            <m:sty m:val="p"/>
          </m:rPr>
          <w:rPr>
            <w:rFonts w:ascii="Cambria Math" w:hAnsi="Cambria Math"/>
          </w:rPr>
          <m:t>).</m:t>
        </m:r>
        <m:r>
          <w:rPr>
            <w:rFonts w:ascii="Cambria Math" w:hAnsi="Cambria Math"/>
          </w:rPr>
          <m:t>TheB50isQ1</m:t>
        </m:r>
        <m:r>
          <m:rPr>
            <m:sty m:val="p"/>
          </m:rPr>
          <w:rPr>
            <w:rFonts w:ascii="Cambria Math" w:hAnsi="Cambria Math"/>
          </w:rPr>
          <m:t>+</m:t>
        </m:r>
        <m:r>
          <w:rPr>
            <w:rFonts w:ascii="Cambria Math" w:hAnsi="Cambria Math"/>
          </w:rPr>
          <m:t>Q2</m:t>
        </m:r>
        <m:r>
          <m:rPr>
            <m:sty m:val="p"/>
          </m:rPr>
          <w:rPr>
            <w:rFonts w:ascii="Cambria Math" w:hAnsi="Cambria Math"/>
          </w:rPr>
          <m:t>+</m:t>
        </m:r>
        <m:r>
          <w:rPr>
            <w:rFonts w:ascii="Cambria Math" w:hAnsi="Cambria Math"/>
          </w:rPr>
          <m:t>0.5</m:t>
        </m:r>
      </m:oMath>
      <w:r>
        <w:rPr>
          <w:i/>
          <w:iCs/>
        </w:rPr>
        <w:t>$Q3 of CPS person-income quintiles (136.6M persons).</w:t>
      </w:r>
    </w:p>
    <w:p w14:paraId="0D0AF825" w14:textId="77777777" w:rsidR="004B4AA5" w:rsidRDefault="00000000">
      <w:pPr>
        <w:pStyle w:val="BodyText"/>
      </w:pPr>
      <w:r>
        <w:t>The spending-cut channel is strongly progressive in incidence (Q1 bears 35% of cuts). The tariff channel is regressive as a share of income. The combined effect is monotonically regressive: burden falls from $1,440 (Q1) to $893 (Q5) per person, and steeply when expressed as income shares.</w:t>
      </w:r>
    </w:p>
    <w:p w14:paraId="0D0AF826" w14:textId="77777777" w:rsidR="004B4AA5" w:rsidRDefault="00000000">
      <w:pPr>
        <w:pStyle w:val="Heading3"/>
      </w:pPr>
      <w:bookmarkStart w:id="50" w:name="combined-b50-burden"/>
      <w:bookmarkStart w:id="51" w:name="_Toc223873443"/>
      <w:bookmarkEnd w:id="48"/>
      <w:r>
        <w:t>6.2 Combined B50 Burden</w:t>
      </w:r>
      <w:bookmarkEnd w:id="51"/>
    </w:p>
    <w:p w14:paraId="0D0AF827" w14:textId="77777777" w:rsidR="004B4AA5" w:rsidRDefault="00000000">
      <w:pPr>
        <w:pStyle w:val="FirstParagraph"/>
      </w:pPr>
      <w:r>
        <w:rPr>
          <w:b/>
          <w:bCs/>
        </w:rPr>
        <w:t>Table 7. Total FY2025 Fiscal Impact on the Bottom 50%</w:t>
      </w:r>
    </w:p>
    <w:tbl>
      <w:tblPr>
        <w:tblStyle w:val="Table"/>
        <w:tblW w:w="0" w:type="auto"/>
        <w:tblLook w:val="0020" w:firstRow="1" w:lastRow="0" w:firstColumn="0" w:lastColumn="0" w:noHBand="0" w:noVBand="0"/>
      </w:tblPr>
      <w:tblGrid>
        <w:gridCol w:w="4324"/>
        <w:gridCol w:w="1419"/>
        <w:gridCol w:w="1337"/>
        <w:gridCol w:w="1953"/>
      </w:tblGrid>
      <w:tr w:rsidR="004B4AA5" w14:paraId="0D0AF82C"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0" w:type="auto"/>
          </w:tcPr>
          <w:p w14:paraId="0D0AF828" w14:textId="77777777" w:rsidR="004B4AA5" w:rsidRDefault="00000000">
            <w:pPr>
              <w:pStyle w:val="Compact"/>
            </w:pPr>
            <w:r>
              <w:t>Channel</w:t>
            </w:r>
          </w:p>
        </w:tc>
        <w:tc>
          <w:tcPr>
            <w:tcW w:w="0" w:type="auto"/>
          </w:tcPr>
          <w:p w14:paraId="0D0AF829" w14:textId="77777777" w:rsidR="004B4AA5" w:rsidRDefault="00000000">
            <w:pPr>
              <w:pStyle w:val="Compact"/>
            </w:pPr>
            <w:r>
              <w:t>B50 Burden</w:t>
            </w:r>
          </w:p>
        </w:tc>
        <w:tc>
          <w:tcPr>
            <w:tcW w:w="0" w:type="auto"/>
          </w:tcPr>
          <w:p w14:paraId="0D0AF82A" w14:textId="77777777" w:rsidR="004B4AA5" w:rsidRDefault="00000000">
            <w:pPr>
              <w:pStyle w:val="Compact"/>
            </w:pPr>
            <w:r>
              <w:t>Per Person</w:t>
            </w:r>
          </w:p>
        </w:tc>
        <w:tc>
          <w:tcPr>
            <w:tcW w:w="0" w:type="auto"/>
          </w:tcPr>
          <w:p w14:paraId="0D0AF82B" w14:textId="77777777" w:rsidR="004B4AA5" w:rsidRDefault="00000000">
            <w:pPr>
              <w:pStyle w:val="Compact"/>
            </w:pPr>
            <w:r>
              <w:t>% Pretax Income</w:t>
            </w:r>
          </w:p>
        </w:tc>
      </w:tr>
      <w:tr w:rsidR="004B4AA5" w14:paraId="0D0AF831" w14:textId="77777777">
        <w:tc>
          <w:tcPr>
            <w:tcW w:w="0" w:type="auto"/>
          </w:tcPr>
          <w:p w14:paraId="0D0AF82D" w14:textId="77777777" w:rsidR="004B4AA5" w:rsidRDefault="00000000">
            <w:pPr>
              <w:pStyle w:val="Compact"/>
            </w:pPr>
            <w:r>
              <w:t>Spending cuts</w:t>
            </w:r>
          </w:p>
        </w:tc>
        <w:tc>
          <w:tcPr>
            <w:tcW w:w="0" w:type="auto"/>
          </w:tcPr>
          <w:p w14:paraId="0D0AF82E" w14:textId="77777777" w:rsidR="004B4AA5" w:rsidRDefault="00000000">
            <w:pPr>
              <w:pStyle w:val="Compact"/>
            </w:pPr>
            <w:r>
              <w:t>$131.4B</w:t>
            </w:r>
          </w:p>
        </w:tc>
        <w:tc>
          <w:tcPr>
            <w:tcW w:w="0" w:type="auto"/>
          </w:tcPr>
          <w:p w14:paraId="0D0AF82F" w14:textId="77777777" w:rsidR="004B4AA5" w:rsidRDefault="00000000">
            <w:pPr>
              <w:pStyle w:val="Compact"/>
            </w:pPr>
            <w:r>
              <w:t>$962</w:t>
            </w:r>
          </w:p>
        </w:tc>
        <w:tc>
          <w:tcPr>
            <w:tcW w:w="0" w:type="auto"/>
          </w:tcPr>
          <w:p w14:paraId="0D0AF830" w14:textId="77777777" w:rsidR="004B4AA5" w:rsidRDefault="00000000">
            <w:pPr>
              <w:pStyle w:val="Compact"/>
            </w:pPr>
            <w:r>
              <w:t>7.7%</w:t>
            </w:r>
          </w:p>
        </w:tc>
      </w:tr>
      <w:tr w:rsidR="004B4AA5" w14:paraId="0D0AF836" w14:textId="77777777">
        <w:tc>
          <w:tcPr>
            <w:tcW w:w="0" w:type="auto"/>
          </w:tcPr>
          <w:p w14:paraId="0D0AF832" w14:textId="77777777" w:rsidR="004B4AA5" w:rsidRDefault="00000000">
            <w:pPr>
              <w:pStyle w:val="Compact"/>
            </w:pPr>
            <w:r>
              <w:t>Tariff consumer burden (DWL-inclusive)</w:t>
            </w:r>
          </w:p>
        </w:tc>
        <w:tc>
          <w:tcPr>
            <w:tcW w:w="0" w:type="auto"/>
          </w:tcPr>
          <w:p w14:paraId="0D0AF833" w14:textId="77777777" w:rsidR="004B4AA5" w:rsidRDefault="00000000">
            <w:pPr>
              <w:pStyle w:val="Compact"/>
            </w:pPr>
            <w:r>
              <w:t>$50.4B</w:t>
            </w:r>
          </w:p>
        </w:tc>
        <w:tc>
          <w:tcPr>
            <w:tcW w:w="0" w:type="auto"/>
          </w:tcPr>
          <w:p w14:paraId="0D0AF834" w14:textId="77777777" w:rsidR="004B4AA5" w:rsidRDefault="00000000">
            <w:pPr>
              <w:pStyle w:val="Compact"/>
            </w:pPr>
            <w:r>
              <w:t>$369</w:t>
            </w:r>
          </w:p>
        </w:tc>
        <w:tc>
          <w:tcPr>
            <w:tcW w:w="0" w:type="auto"/>
          </w:tcPr>
          <w:p w14:paraId="0D0AF835" w14:textId="77777777" w:rsidR="004B4AA5" w:rsidRDefault="00000000">
            <w:pPr>
              <w:pStyle w:val="Compact"/>
            </w:pPr>
            <w:r>
              <w:t>2.9%</w:t>
            </w:r>
          </w:p>
        </w:tc>
      </w:tr>
      <w:tr w:rsidR="004B4AA5" w14:paraId="0D0AF83B" w14:textId="77777777">
        <w:tc>
          <w:tcPr>
            <w:tcW w:w="0" w:type="auto"/>
          </w:tcPr>
          <w:p w14:paraId="0D0AF837" w14:textId="77777777" w:rsidR="004B4AA5" w:rsidRDefault="00000000">
            <w:pPr>
              <w:pStyle w:val="Compact"/>
            </w:pPr>
            <w:r>
              <w:rPr>
                <w:b/>
                <w:bCs/>
              </w:rPr>
              <w:t>Combined</w:t>
            </w:r>
          </w:p>
        </w:tc>
        <w:tc>
          <w:tcPr>
            <w:tcW w:w="0" w:type="auto"/>
          </w:tcPr>
          <w:p w14:paraId="0D0AF838" w14:textId="77777777" w:rsidR="004B4AA5" w:rsidRDefault="00000000">
            <w:pPr>
              <w:pStyle w:val="Compact"/>
            </w:pPr>
            <w:r>
              <w:rPr>
                <w:b/>
                <w:bCs/>
              </w:rPr>
              <w:t>$181.8B</w:t>
            </w:r>
          </w:p>
        </w:tc>
        <w:tc>
          <w:tcPr>
            <w:tcW w:w="0" w:type="auto"/>
          </w:tcPr>
          <w:p w14:paraId="0D0AF839" w14:textId="77777777" w:rsidR="004B4AA5" w:rsidRDefault="00000000">
            <w:pPr>
              <w:pStyle w:val="Compact"/>
            </w:pPr>
            <w:r>
              <w:rPr>
                <w:b/>
                <w:bCs/>
              </w:rPr>
              <w:t>$1,331</w:t>
            </w:r>
          </w:p>
        </w:tc>
        <w:tc>
          <w:tcPr>
            <w:tcW w:w="0" w:type="auto"/>
          </w:tcPr>
          <w:p w14:paraId="0D0AF83A" w14:textId="77777777" w:rsidR="004B4AA5" w:rsidRDefault="00000000">
            <w:pPr>
              <w:pStyle w:val="Compact"/>
            </w:pPr>
            <w:r>
              <w:rPr>
                <w:b/>
                <w:bCs/>
              </w:rPr>
              <w:t>10.6%</w:t>
            </w:r>
          </w:p>
        </w:tc>
      </w:tr>
    </w:tbl>
    <w:p w14:paraId="0D0AF83C" w14:textId="77777777" w:rsidR="004B4AA5" w:rsidRDefault="00000000">
      <w:pPr>
        <w:pStyle w:val="BodyText"/>
      </w:pPr>
      <w:r>
        <w:t xml:space="preserve">B50 mean pretax income is $12,526 (CPS ASEC 2024). The $1,331 benchmark is robust across specifications: propensity classification yields a B50 loss range of $108B–$135B, and the tariff channel spans $132–$527 per person depending on pass-through assumptions (Table 9). Even at the lower bound, the combined burden is comparable in </w:t>
      </w:r>
      <w:r>
        <w:lastRenderedPageBreak/>
        <w:t>magnitude to total means-tested transfer income ($1,111/person) that separates the B50 from their market income baseline.</w:t>
      </w:r>
    </w:p>
    <w:p w14:paraId="0D0AF83D" w14:textId="77777777" w:rsidR="004B4AA5" w:rsidRDefault="00000000">
      <w:pPr>
        <w:pStyle w:val="Heading3"/>
      </w:pPr>
      <w:bookmarkStart w:id="52" w:name="the-regressivity-gradient"/>
      <w:bookmarkStart w:id="53" w:name="_Toc223873444"/>
      <w:bookmarkEnd w:id="50"/>
      <w:r>
        <w:t>6.3 The Regressivity Gradient</w:t>
      </w:r>
      <w:bookmarkEnd w:id="53"/>
    </w:p>
    <w:p w14:paraId="0D0AF83E" w14:textId="77777777" w:rsidR="004B4AA5" w:rsidRDefault="00000000">
      <w:pPr>
        <w:pStyle w:val="FirstParagraph"/>
      </w:pPr>
      <w:r>
        <w:t>Using CPS ASEC 2024 microdata, I simulate the policy burden at each income percentile:</w:t>
      </w:r>
    </w:p>
    <w:p w14:paraId="0D0AF83F" w14:textId="77777777" w:rsidR="004B4AA5" w:rsidRDefault="00000000">
      <w:pPr>
        <w:pStyle w:val="BodyText"/>
      </w:pPr>
      <w:r>
        <w:rPr>
          <w:b/>
          <w:bCs/>
        </w:rPr>
        <w:t>Table 8. Simulated Policy Burden by Percentile</w:t>
      </w:r>
    </w:p>
    <w:tbl>
      <w:tblPr>
        <w:tblStyle w:val="Table"/>
        <w:tblW w:w="0" w:type="auto"/>
        <w:tblLook w:val="0020" w:firstRow="1" w:lastRow="0" w:firstColumn="0" w:lastColumn="0" w:noHBand="0" w:noVBand="0"/>
      </w:tblPr>
      <w:tblGrid>
        <w:gridCol w:w="1565"/>
        <w:gridCol w:w="1625"/>
        <w:gridCol w:w="1904"/>
        <w:gridCol w:w="1501"/>
      </w:tblGrid>
      <w:tr w:rsidR="004B4AA5" w14:paraId="0D0AF844"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0" w:type="auto"/>
          </w:tcPr>
          <w:p w14:paraId="0D0AF840" w14:textId="77777777" w:rsidR="004B4AA5" w:rsidRDefault="00000000">
            <w:pPr>
              <w:pStyle w:val="Compact"/>
            </w:pPr>
            <w:r>
              <w:t>Percentile</w:t>
            </w:r>
          </w:p>
        </w:tc>
        <w:tc>
          <w:tcPr>
            <w:tcW w:w="0" w:type="auto"/>
          </w:tcPr>
          <w:p w14:paraId="0D0AF841" w14:textId="77777777" w:rsidR="004B4AA5" w:rsidRDefault="00000000">
            <w:pPr>
              <w:pStyle w:val="Compact"/>
            </w:pPr>
            <w:r>
              <w:t>Mean Income</w:t>
            </w:r>
          </w:p>
        </w:tc>
        <w:tc>
          <w:tcPr>
            <w:tcW w:w="0" w:type="auto"/>
          </w:tcPr>
          <w:p w14:paraId="0D0AF842" w14:textId="77777777" w:rsidR="004B4AA5" w:rsidRDefault="00000000">
            <w:pPr>
              <w:pStyle w:val="Compact"/>
            </w:pPr>
            <w:r>
              <w:t>Per-Person Loss</w:t>
            </w:r>
          </w:p>
        </w:tc>
        <w:tc>
          <w:tcPr>
            <w:tcW w:w="0" w:type="auto"/>
          </w:tcPr>
          <w:p w14:paraId="0D0AF843" w14:textId="77777777" w:rsidR="004B4AA5" w:rsidRDefault="00000000">
            <w:pPr>
              <w:pStyle w:val="Compact"/>
            </w:pPr>
            <w:r>
              <w:t>% of Income</w:t>
            </w:r>
          </w:p>
        </w:tc>
      </w:tr>
      <w:tr w:rsidR="004B4AA5" w14:paraId="0D0AF849" w14:textId="77777777">
        <w:tc>
          <w:tcPr>
            <w:tcW w:w="0" w:type="auto"/>
          </w:tcPr>
          <w:p w14:paraId="0D0AF845" w14:textId="77777777" w:rsidR="004B4AA5" w:rsidRDefault="00000000">
            <w:pPr>
              <w:pStyle w:val="Compact"/>
            </w:pPr>
            <w:r>
              <w:t>p20</w:t>
            </w:r>
          </w:p>
        </w:tc>
        <w:tc>
          <w:tcPr>
            <w:tcW w:w="0" w:type="auto"/>
          </w:tcPr>
          <w:p w14:paraId="0D0AF846" w14:textId="77777777" w:rsidR="004B4AA5" w:rsidRDefault="00000000">
            <w:pPr>
              <w:pStyle w:val="Compact"/>
            </w:pPr>
            <w:r>
              <w:t>$5,342</w:t>
            </w:r>
          </w:p>
        </w:tc>
        <w:tc>
          <w:tcPr>
            <w:tcW w:w="0" w:type="auto"/>
          </w:tcPr>
          <w:p w14:paraId="0D0AF847" w14:textId="77777777" w:rsidR="004B4AA5" w:rsidRDefault="00000000">
            <w:pPr>
              <w:pStyle w:val="Compact"/>
            </w:pPr>
            <w:r>
              <w:t>$1,057</w:t>
            </w:r>
          </w:p>
        </w:tc>
        <w:tc>
          <w:tcPr>
            <w:tcW w:w="0" w:type="auto"/>
          </w:tcPr>
          <w:p w14:paraId="0D0AF848" w14:textId="77777777" w:rsidR="004B4AA5" w:rsidRDefault="00000000">
            <w:pPr>
              <w:pStyle w:val="Compact"/>
            </w:pPr>
            <w:r>
              <w:t>19.8%</w:t>
            </w:r>
          </w:p>
        </w:tc>
      </w:tr>
      <w:tr w:rsidR="004B4AA5" w14:paraId="0D0AF84E" w14:textId="77777777">
        <w:tc>
          <w:tcPr>
            <w:tcW w:w="0" w:type="auto"/>
          </w:tcPr>
          <w:p w14:paraId="0D0AF84A" w14:textId="77777777" w:rsidR="004B4AA5" w:rsidRDefault="00000000">
            <w:pPr>
              <w:pStyle w:val="Compact"/>
            </w:pPr>
            <w:r>
              <w:t>p50 (Median)</w:t>
            </w:r>
          </w:p>
        </w:tc>
        <w:tc>
          <w:tcPr>
            <w:tcW w:w="0" w:type="auto"/>
          </w:tcPr>
          <w:p w14:paraId="0D0AF84B" w14:textId="77777777" w:rsidR="004B4AA5" w:rsidRDefault="00000000">
            <w:pPr>
              <w:pStyle w:val="Compact"/>
            </w:pPr>
            <w:r>
              <w:t>$35,625</w:t>
            </w:r>
          </w:p>
        </w:tc>
        <w:tc>
          <w:tcPr>
            <w:tcW w:w="0" w:type="auto"/>
          </w:tcPr>
          <w:p w14:paraId="0D0AF84C" w14:textId="77777777" w:rsidR="004B4AA5" w:rsidRDefault="00000000">
            <w:pPr>
              <w:pStyle w:val="Compact"/>
            </w:pPr>
            <w:r>
              <w:t>$755</w:t>
            </w:r>
          </w:p>
        </w:tc>
        <w:tc>
          <w:tcPr>
            <w:tcW w:w="0" w:type="auto"/>
          </w:tcPr>
          <w:p w14:paraId="0D0AF84D" w14:textId="77777777" w:rsidR="004B4AA5" w:rsidRDefault="00000000">
            <w:pPr>
              <w:pStyle w:val="Compact"/>
            </w:pPr>
            <w:r>
              <w:t>2.1%</w:t>
            </w:r>
          </w:p>
        </w:tc>
      </w:tr>
      <w:tr w:rsidR="004B4AA5" w14:paraId="0D0AF853" w14:textId="77777777">
        <w:tc>
          <w:tcPr>
            <w:tcW w:w="0" w:type="auto"/>
          </w:tcPr>
          <w:p w14:paraId="0D0AF84F" w14:textId="77777777" w:rsidR="004B4AA5" w:rsidRDefault="00000000">
            <w:pPr>
              <w:pStyle w:val="Compact"/>
            </w:pPr>
            <w:r>
              <w:t>p90</w:t>
            </w:r>
          </w:p>
        </w:tc>
        <w:tc>
          <w:tcPr>
            <w:tcW w:w="0" w:type="auto"/>
          </w:tcPr>
          <w:p w14:paraId="0D0AF850" w14:textId="77777777" w:rsidR="004B4AA5" w:rsidRDefault="00000000">
            <w:pPr>
              <w:pStyle w:val="Compact"/>
            </w:pPr>
            <w:r>
              <w:t>$128,195</w:t>
            </w:r>
          </w:p>
        </w:tc>
        <w:tc>
          <w:tcPr>
            <w:tcW w:w="0" w:type="auto"/>
          </w:tcPr>
          <w:p w14:paraId="0D0AF851" w14:textId="77777777" w:rsidR="004B4AA5" w:rsidRDefault="00000000">
            <w:pPr>
              <w:pStyle w:val="Compact"/>
            </w:pPr>
            <w:r>
              <w:t>$401</w:t>
            </w:r>
          </w:p>
        </w:tc>
        <w:tc>
          <w:tcPr>
            <w:tcW w:w="0" w:type="auto"/>
          </w:tcPr>
          <w:p w14:paraId="0D0AF852" w14:textId="77777777" w:rsidR="004B4AA5" w:rsidRDefault="00000000">
            <w:pPr>
              <w:pStyle w:val="Compact"/>
            </w:pPr>
            <w:r>
              <w:t>0.3%</w:t>
            </w:r>
          </w:p>
        </w:tc>
      </w:tr>
      <w:tr w:rsidR="004B4AA5" w14:paraId="0D0AF858" w14:textId="77777777">
        <w:tc>
          <w:tcPr>
            <w:tcW w:w="0" w:type="auto"/>
          </w:tcPr>
          <w:p w14:paraId="0D0AF854" w14:textId="77777777" w:rsidR="004B4AA5" w:rsidRDefault="00000000">
            <w:pPr>
              <w:pStyle w:val="Compact"/>
            </w:pPr>
            <w:r>
              <w:t>p99</w:t>
            </w:r>
          </w:p>
        </w:tc>
        <w:tc>
          <w:tcPr>
            <w:tcW w:w="0" w:type="auto"/>
          </w:tcPr>
          <w:p w14:paraId="0D0AF855" w14:textId="77777777" w:rsidR="004B4AA5" w:rsidRDefault="00000000">
            <w:pPr>
              <w:pStyle w:val="Compact"/>
            </w:pPr>
            <w:r>
              <w:t>$671,160</w:t>
            </w:r>
          </w:p>
        </w:tc>
        <w:tc>
          <w:tcPr>
            <w:tcW w:w="0" w:type="auto"/>
          </w:tcPr>
          <w:p w14:paraId="0D0AF856" w14:textId="77777777" w:rsidR="004B4AA5" w:rsidRDefault="00000000">
            <w:pPr>
              <w:pStyle w:val="Compact"/>
            </w:pPr>
            <w:r>
              <w:t>$347</w:t>
            </w:r>
          </w:p>
        </w:tc>
        <w:tc>
          <w:tcPr>
            <w:tcW w:w="0" w:type="auto"/>
          </w:tcPr>
          <w:p w14:paraId="0D0AF857" w14:textId="77777777" w:rsidR="004B4AA5" w:rsidRDefault="00000000">
            <w:pPr>
              <w:pStyle w:val="Compact"/>
            </w:pPr>
            <w:r>
              <w:t>&lt;0.1%</w:t>
            </w:r>
          </w:p>
        </w:tc>
      </w:tr>
    </w:tbl>
    <w:p w14:paraId="0D0AF859" w14:textId="77777777" w:rsidR="004B4AA5" w:rsidRDefault="00000000">
      <w:pPr>
        <w:pStyle w:val="BodyText"/>
      </w:pPr>
      <w:r>
        <w:t>The burden at the 20th percentile (19.8% of income) exceeds that at the 99th percentile (&lt;0.1%) by more than two orders of magnitude—a gradient driven primarily by the structural-break channels: tariff escalation and interest crowding.</w:t>
      </w:r>
    </w:p>
    <w:p w14:paraId="0D0AF85A" w14:textId="77777777" w:rsidR="004B4AA5" w:rsidRDefault="00000000">
      <w:pPr>
        <w:pStyle w:val="Heading3"/>
      </w:pPr>
      <w:bookmarkStart w:id="54" w:name="the-interest-crowding-mechanism"/>
      <w:bookmarkStart w:id="55" w:name="_Toc223873445"/>
      <w:bookmarkEnd w:id="52"/>
      <w:r>
        <w:t>6.4 The Interest-Crowding Mechanism</w:t>
      </w:r>
      <w:bookmarkEnd w:id="55"/>
    </w:p>
    <w:p w14:paraId="0D0AF85B" w14:textId="77777777" w:rsidR="004B4AA5" w:rsidRDefault="00000000">
      <w:pPr>
        <w:pStyle w:val="FirstParagraph"/>
      </w:pPr>
      <w:r>
        <w:t>Net interest payments reached $980B in FY2025, reaching 105% of combined income security and Medicaid ($930B). This threshold was last crossed in the pre–New Deal era. Interest payments flow to bondholders concentrated in the top decile (67% of bonds and fixed-income securities, Federal Reserve 2023 SCF), while the spending they crowd out—Medicaid, income security, nondefense discretionary—flows to the bottom quintiles. The interest/safety-net ratio’s classification as a structural break (z = 2.4) is consistent with a substantial redistribution from the bottom to the top of the income distribution operating through the federal balance sheet.</w:t>
      </w:r>
    </w:p>
    <w:p w14:paraId="0D0AF85C" w14:textId="77777777" w:rsidR="004B4AA5" w:rsidRDefault="00000000">
      <w:r>
        <w:pict w14:anchorId="0D0AFA5D">
          <v:rect id="_x0000_i1030" style="width:0;height:1.5pt" o:hralign="center" o:hrstd="t" o:hr="t"/>
        </w:pict>
      </w:r>
    </w:p>
    <w:p w14:paraId="0D0AF85D" w14:textId="77777777" w:rsidR="004B4AA5" w:rsidRDefault="00000000">
      <w:pPr>
        <w:pStyle w:val="Heading2"/>
      </w:pPr>
      <w:bookmarkStart w:id="56" w:name="robustness"/>
      <w:bookmarkStart w:id="57" w:name="_Toc223873446"/>
      <w:bookmarkEnd w:id="46"/>
      <w:bookmarkEnd w:id="54"/>
      <w:r>
        <w:t>7. Robustness</w:t>
      </w:r>
      <w:bookmarkEnd w:id="57"/>
    </w:p>
    <w:p w14:paraId="0D0AF85E" w14:textId="77777777" w:rsidR="004B4AA5" w:rsidRDefault="00000000">
      <w:pPr>
        <w:pStyle w:val="FirstParagraph"/>
      </w:pPr>
      <w:r>
        <w:rPr>
          <w:b/>
          <w:bCs/>
        </w:rPr>
        <w:t>Table 9. Robustness Battery (6 Dimensions, 21 Specifications + 500 Bootstrap Draws)</w:t>
      </w:r>
    </w:p>
    <w:tbl>
      <w:tblPr>
        <w:tblStyle w:val="Table"/>
        <w:tblW w:w="5000" w:type="pct"/>
        <w:tblLayout w:type="fixed"/>
        <w:tblLook w:val="0020" w:firstRow="1" w:lastRow="0" w:firstColumn="0" w:lastColumn="0" w:noHBand="0" w:noVBand="0"/>
      </w:tblPr>
      <w:tblGrid>
        <w:gridCol w:w="2736"/>
        <w:gridCol w:w="3192"/>
        <w:gridCol w:w="3648"/>
      </w:tblGrid>
      <w:tr w:rsidR="004B4AA5" w14:paraId="0D0AF862"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2262" w:type="dxa"/>
          </w:tcPr>
          <w:p w14:paraId="0D0AF85F" w14:textId="77777777" w:rsidR="004B4AA5" w:rsidRDefault="00000000">
            <w:pPr>
              <w:pStyle w:val="Compact"/>
            </w:pPr>
            <w:r>
              <w:t>Test</w:t>
            </w:r>
          </w:p>
        </w:tc>
        <w:tc>
          <w:tcPr>
            <w:tcW w:w="2640" w:type="dxa"/>
          </w:tcPr>
          <w:p w14:paraId="0D0AF860" w14:textId="77777777" w:rsidR="004B4AA5" w:rsidRDefault="00000000">
            <w:pPr>
              <w:pStyle w:val="Compact"/>
            </w:pPr>
            <w:r>
              <w:t>Specs</w:t>
            </w:r>
          </w:p>
        </w:tc>
        <w:tc>
          <w:tcPr>
            <w:tcW w:w="3017" w:type="dxa"/>
          </w:tcPr>
          <w:p w14:paraId="0D0AF861" w14:textId="77777777" w:rsidR="004B4AA5" w:rsidRDefault="00000000">
            <w:pPr>
              <w:pStyle w:val="Compact"/>
            </w:pPr>
            <w:r>
              <w:t>Result</w:t>
            </w:r>
          </w:p>
        </w:tc>
      </w:tr>
      <w:tr w:rsidR="004B4AA5" w14:paraId="0D0AF866" w14:textId="77777777">
        <w:tc>
          <w:tcPr>
            <w:tcW w:w="2262" w:type="dxa"/>
          </w:tcPr>
          <w:p w14:paraId="0D0AF863" w14:textId="77777777" w:rsidR="004B4AA5" w:rsidRDefault="00000000">
            <w:pPr>
              <w:pStyle w:val="Compact"/>
            </w:pPr>
            <w:r>
              <w:t>Propensity Classification</w:t>
            </w:r>
          </w:p>
        </w:tc>
        <w:tc>
          <w:tcPr>
            <w:tcW w:w="2640" w:type="dxa"/>
          </w:tcPr>
          <w:p w14:paraId="0D0AF864" w14:textId="77777777" w:rsidR="004B4AA5" w:rsidRDefault="00000000">
            <w:pPr>
              <w:pStyle w:val="Compact"/>
            </w:pPr>
            <w:r>
              <w:t>4</w:t>
            </w:r>
          </w:p>
        </w:tc>
        <w:tc>
          <w:tcPr>
            <w:tcW w:w="3017" w:type="dxa"/>
          </w:tcPr>
          <w:p w14:paraId="0D0AF865" w14:textId="77777777" w:rsidR="004B4AA5" w:rsidRDefault="00000000">
            <w:pPr>
              <w:pStyle w:val="Compact"/>
            </w:pPr>
            <w:r>
              <w:t>B50 loss range: $108B–$135B, all negative</w:t>
            </w:r>
          </w:p>
        </w:tc>
      </w:tr>
      <w:tr w:rsidR="004B4AA5" w14:paraId="0D0AF86A" w14:textId="77777777">
        <w:tc>
          <w:tcPr>
            <w:tcW w:w="2262" w:type="dxa"/>
          </w:tcPr>
          <w:p w14:paraId="0D0AF867" w14:textId="77777777" w:rsidR="004B4AA5" w:rsidRDefault="00000000">
            <w:pPr>
              <w:pStyle w:val="Compact"/>
            </w:pPr>
            <w:r>
              <w:t>Tariff Pass-Through</w:t>
            </w:r>
          </w:p>
        </w:tc>
        <w:tc>
          <w:tcPr>
            <w:tcW w:w="2640" w:type="dxa"/>
          </w:tcPr>
          <w:p w14:paraId="0D0AF868" w14:textId="77777777" w:rsidR="004B4AA5" w:rsidRDefault="00000000">
            <w:pPr>
              <w:pStyle w:val="Compact"/>
            </w:pPr>
            <w:r>
              <w:t>6</w:t>
            </w:r>
          </w:p>
        </w:tc>
        <w:tc>
          <w:tcPr>
            <w:tcW w:w="3017" w:type="dxa"/>
          </w:tcPr>
          <w:p w14:paraId="0D0AF869" w14:textId="77777777" w:rsidR="004B4AA5" w:rsidRDefault="00000000">
            <w:pPr>
              <w:pStyle w:val="Compact"/>
            </w:pPr>
            <w:r>
              <w:t>B50 per-person: $132–$527</w:t>
            </w:r>
          </w:p>
        </w:tc>
      </w:tr>
      <w:tr w:rsidR="004B4AA5" w14:paraId="0D0AF86E" w14:textId="77777777">
        <w:tc>
          <w:tcPr>
            <w:tcW w:w="2262" w:type="dxa"/>
          </w:tcPr>
          <w:p w14:paraId="0D0AF86B" w14:textId="77777777" w:rsidR="004B4AA5" w:rsidRDefault="00000000">
            <w:pPr>
              <w:pStyle w:val="Compact"/>
            </w:pPr>
            <w:r>
              <w:t>CBO Baseline Uncertainty</w:t>
            </w:r>
          </w:p>
        </w:tc>
        <w:tc>
          <w:tcPr>
            <w:tcW w:w="2640" w:type="dxa"/>
          </w:tcPr>
          <w:p w14:paraId="0D0AF86C" w14:textId="77777777" w:rsidR="004B4AA5" w:rsidRDefault="00000000">
            <w:pPr>
              <w:pStyle w:val="Compact"/>
            </w:pPr>
            <w:r>
              <w:t>5</w:t>
            </w:r>
          </w:p>
        </w:tc>
        <w:tc>
          <w:tcPr>
            <w:tcW w:w="3017" w:type="dxa"/>
          </w:tcPr>
          <w:p w14:paraId="0D0AF86D" w14:textId="77777777" w:rsidR="004B4AA5" w:rsidRDefault="00000000">
            <w:pPr>
              <w:pStyle w:val="Compact"/>
            </w:pPr>
            <w:r>
              <w:t>All scenarios below baseline</w:t>
            </w:r>
          </w:p>
        </w:tc>
      </w:tr>
      <w:tr w:rsidR="004B4AA5" w14:paraId="0D0AF872" w14:textId="77777777">
        <w:tc>
          <w:tcPr>
            <w:tcW w:w="2262" w:type="dxa"/>
          </w:tcPr>
          <w:p w14:paraId="0D0AF86F" w14:textId="77777777" w:rsidR="004B4AA5" w:rsidRDefault="00000000">
            <w:pPr>
              <w:pStyle w:val="Compact"/>
            </w:pPr>
            <w:r>
              <w:t>Alternative Deflators</w:t>
            </w:r>
          </w:p>
        </w:tc>
        <w:tc>
          <w:tcPr>
            <w:tcW w:w="2640" w:type="dxa"/>
          </w:tcPr>
          <w:p w14:paraId="0D0AF870" w14:textId="77777777" w:rsidR="004B4AA5" w:rsidRDefault="00000000">
            <w:pPr>
              <w:pStyle w:val="Compact"/>
            </w:pPr>
            <w:r>
              <w:t>5</w:t>
            </w:r>
          </w:p>
        </w:tc>
        <w:tc>
          <w:tcPr>
            <w:tcW w:w="3017" w:type="dxa"/>
          </w:tcPr>
          <w:p w14:paraId="0D0AF871" w14:textId="77777777" w:rsidR="004B4AA5" w:rsidRDefault="00000000">
            <w:pPr>
              <w:pStyle w:val="Compact"/>
            </w:pPr>
            <w:r>
              <w:t>Income security decline &gt;70% under all</w:t>
            </w:r>
          </w:p>
        </w:tc>
      </w:tr>
      <w:tr w:rsidR="004B4AA5" w14:paraId="0D0AF876" w14:textId="77777777">
        <w:tc>
          <w:tcPr>
            <w:tcW w:w="2262" w:type="dxa"/>
          </w:tcPr>
          <w:p w14:paraId="0D0AF873" w14:textId="77777777" w:rsidR="004B4AA5" w:rsidRDefault="00000000">
            <w:pPr>
              <w:pStyle w:val="Compact"/>
            </w:pPr>
            <w:r>
              <w:t xml:space="preserve">Bootstrap CIs (n=500, </w:t>
            </w:r>
            <w:r>
              <w:lastRenderedPageBreak/>
              <w:t>HH-clustered)</w:t>
            </w:r>
          </w:p>
        </w:tc>
        <w:tc>
          <w:tcPr>
            <w:tcW w:w="2640" w:type="dxa"/>
          </w:tcPr>
          <w:p w14:paraId="0D0AF874" w14:textId="77777777" w:rsidR="004B4AA5" w:rsidRDefault="00000000">
            <w:pPr>
              <w:pStyle w:val="Compact"/>
            </w:pPr>
            <w:r>
              <w:lastRenderedPageBreak/>
              <w:t>500</w:t>
            </w:r>
          </w:p>
        </w:tc>
        <w:tc>
          <w:tcPr>
            <w:tcW w:w="3017" w:type="dxa"/>
          </w:tcPr>
          <w:p w14:paraId="0D0AF875" w14:textId="77777777" w:rsidR="004B4AA5" w:rsidRDefault="00000000">
            <w:pPr>
              <w:pStyle w:val="Compact"/>
            </w:pPr>
            <w:r>
              <w:t>B50 share: 11.12% [10.96, 11.29]</w:t>
            </w:r>
          </w:p>
        </w:tc>
      </w:tr>
      <w:tr w:rsidR="004B4AA5" w14:paraId="0D0AF87A" w14:textId="77777777">
        <w:tc>
          <w:tcPr>
            <w:tcW w:w="2262" w:type="dxa"/>
          </w:tcPr>
          <w:p w14:paraId="0D0AF877" w14:textId="77777777" w:rsidR="004B4AA5" w:rsidRDefault="00000000">
            <w:pPr>
              <w:pStyle w:val="Compact"/>
            </w:pPr>
            <w:r>
              <w:t>Placebo (FY2019)</w:t>
            </w:r>
          </w:p>
        </w:tc>
        <w:tc>
          <w:tcPr>
            <w:tcW w:w="2640" w:type="dxa"/>
          </w:tcPr>
          <w:p w14:paraId="0D0AF878" w14:textId="77777777" w:rsidR="004B4AA5" w:rsidRDefault="00000000">
            <w:pPr>
              <w:pStyle w:val="Compact"/>
            </w:pPr>
            <w:r>
              <w:t>1</w:t>
            </w:r>
          </w:p>
        </w:tc>
        <w:tc>
          <w:tcPr>
            <w:tcW w:w="3017" w:type="dxa"/>
          </w:tcPr>
          <w:p w14:paraId="0D0AF879" w14:textId="77777777" w:rsidR="004B4AA5" w:rsidRDefault="00000000">
            <w:pPr>
              <w:pStyle w:val="Compact"/>
            </w:pPr>
            <w:r>
              <w:t xml:space="preserve">FY2019 gap </w:t>
            </w:r>
            <m:oMath>
              <m:r>
                <m:rPr>
                  <m:sty m:val="p"/>
                </m:rPr>
                <w:rPr>
                  <w:rFonts w:ascii="Cambria Math" w:hAnsi="Cambria Math"/>
                </w:rPr>
                <m:t>≈</m:t>
              </m:r>
            </m:oMath>
            <w:r>
              <w:t xml:space="preserve"> $0B vs. FY2025 -$404B</w:t>
            </w:r>
          </w:p>
        </w:tc>
      </w:tr>
    </w:tbl>
    <w:p w14:paraId="0D0AF87B" w14:textId="77777777" w:rsidR="004B4AA5" w:rsidRDefault="00000000">
      <w:pPr>
        <w:pStyle w:val="BodyText"/>
      </w:pPr>
      <w:r>
        <w:t>All 21 specifications confirm the direction and approximate magnitude of B50 fiscal burden. The FY2019 placebo test—applying the identical methodology to a non-event year—produces a spending gap of approximately $0B, confirming that the FY2025 findings are not an artifact of the CBO baseline methodology.</w:t>
      </w:r>
    </w:p>
    <w:p w14:paraId="0D0AF87C" w14:textId="77777777" w:rsidR="004B4AA5" w:rsidRDefault="00000000">
      <w:r>
        <w:pict w14:anchorId="0D0AFA5E">
          <v:rect id="_x0000_i1031" style="width:0;height:1.5pt" o:hralign="center" o:hrstd="t" o:hr="t"/>
        </w:pict>
      </w:r>
    </w:p>
    <w:p w14:paraId="0D0AF87D" w14:textId="77777777" w:rsidR="004B4AA5" w:rsidRDefault="00000000">
      <w:pPr>
        <w:pStyle w:val="Heading2"/>
      </w:pPr>
      <w:bookmarkStart w:id="58" w:name="limitations"/>
      <w:bookmarkStart w:id="59" w:name="_Toc223873447"/>
      <w:bookmarkEnd w:id="56"/>
      <w:r>
        <w:t>8. Limitations</w:t>
      </w:r>
      <w:bookmarkEnd w:id="59"/>
    </w:p>
    <w:p w14:paraId="0D0AF87E" w14:textId="77777777" w:rsidR="004B4AA5" w:rsidRDefault="00000000">
      <w:pPr>
        <w:numPr>
          <w:ilvl w:val="0"/>
          <w:numId w:val="7"/>
        </w:numPr>
      </w:pPr>
      <w:r>
        <w:rPr>
          <w:b/>
          <w:bCs/>
        </w:rPr>
        <w:t>FY2025 spending estimates</w:t>
      </w:r>
      <w:r>
        <w:t xml:space="preserve"> use CBO January 2025 baseline and partial-year Treasury data. Full-year reconciliation against final MTS actuals is warranted.</w:t>
      </w:r>
    </w:p>
    <w:p w14:paraId="0D0AF87F" w14:textId="77777777" w:rsidR="004B4AA5" w:rsidRDefault="00000000">
      <w:pPr>
        <w:numPr>
          <w:ilvl w:val="0"/>
          <w:numId w:val="7"/>
        </w:numPr>
      </w:pPr>
      <w:r>
        <w:rPr>
          <w:b/>
          <w:bCs/>
        </w:rPr>
        <w:t>CPS ASEC 2024 reflects CY2023 income</w:t>
      </w:r>
      <w:r>
        <w:t>—a pre-policy baseline. When the ASEC 2025 becomes available (September 2026), formal difference-in-differences estimation exploiting cross-state tariff and transfer exposure variation will enable causal identification.</w:t>
      </w:r>
    </w:p>
    <w:p w14:paraId="0D0AF880" w14:textId="77777777" w:rsidR="004B4AA5" w:rsidRDefault="00000000">
      <w:pPr>
        <w:numPr>
          <w:ilvl w:val="0"/>
          <w:numId w:val="7"/>
        </w:numPr>
      </w:pPr>
      <w:r>
        <w:rPr>
          <w:b/>
          <w:bCs/>
        </w:rPr>
        <w:t>Causal identification is partial.</w:t>
      </w:r>
      <w:r>
        <w:t xml:space="preserve"> The CBO counterfactual identifies the spending gap. Tariff price effects are supported by two identification strategies (within-goods dose-response </w:t>
      </w:r>
      <m:oMath>
        <m:r>
          <w:rPr>
            <w:rFonts w:ascii="Cambria Math" w:hAnsi="Cambria Math"/>
          </w:rPr>
          <m:t>ρ</m:t>
        </m:r>
      </m:oMath>
      <w:r>
        <w:t xml:space="preserve"> = 0.684, p = 0.020; traded-vs.-services differential +3.44pp, p = 0.015) but cannot fully separate tariff causality from other supply-side factors.</w:t>
      </w:r>
    </w:p>
    <w:p w14:paraId="0D0AF881" w14:textId="77777777" w:rsidR="004B4AA5" w:rsidRDefault="00000000">
      <w:pPr>
        <w:numPr>
          <w:ilvl w:val="0"/>
          <w:numId w:val="7"/>
        </w:numPr>
      </w:pPr>
      <w:r>
        <w:rPr>
          <w:b/>
          <w:bCs/>
        </w:rPr>
        <w:t>Post-pandemic normalization</w:t>
      </w:r>
      <w:r>
        <w:t xml:space="preserve"> in income security spending is partially captured by the FY2019 placebo test but requires a formal panel DiD for definitive causal claims.</w:t>
      </w:r>
    </w:p>
    <w:p w14:paraId="0D0AF882" w14:textId="77777777" w:rsidR="004B4AA5" w:rsidRDefault="00000000">
      <w:pPr>
        <w:numPr>
          <w:ilvl w:val="0"/>
          <w:numId w:val="7"/>
        </w:numPr>
      </w:pPr>
      <w:r>
        <w:rPr>
          <w:b/>
          <w:bCs/>
        </w:rPr>
        <w:t>CEX-to-CPS mapping</w:t>
      </w:r>
      <w:r>
        <w:t xml:space="preserve"> uses a calibrated but not exact partitioning. Sensitivity bounds (42.2–65.3% B50 tariff share) bracket the 51.7% estimate.</w:t>
      </w:r>
    </w:p>
    <w:p w14:paraId="0D0AF883" w14:textId="77777777" w:rsidR="004B4AA5" w:rsidRDefault="00000000">
      <w:pPr>
        <w:numPr>
          <w:ilvl w:val="0"/>
          <w:numId w:val="7"/>
        </w:numPr>
      </w:pPr>
      <w:r>
        <w:rPr>
          <w:b/>
          <w:bCs/>
        </w:rPr>
        <w:t>Price stickiness duration</w:t>
      </w:r>
      <w:r>
        <w:t xml:space="preserve"> is uncertain. My near-term (0–12 month) assumption is empirically grounded but prices may partially adjust over 12–24 months.</w:t>
      </w:r>
    </w:p>
    <w:p w14:paraId="0D0AF884" w14:textId="77777777" w:rsidR="004B4AA5" w:rsidRDefault="00000000">
      <w:r>
        <w:pict w14:anchorId="0D0AFA5F">
          <v:rect id="_x0000_i1032" style="width:0;height:1.5pt" o:hralign="center" o:hrstd="t" o:hr="t"/>
        </w:pict>
      </w:r>
    </w:p>
    <w:p w14:paraId="0D0AF885" w14:textId="77777777" w:rsidR="004B4AA5" w:rsidRDefault="00000000">
      <w:pPr>
        <w:pStyle w:val="Heading2"/>
      </w:pPr>
      <w:bookmarkStart w:id="60" w:name="conclusion"/>
      <w:bookmarkStart w:id="61" w:name="_Toc223873448"/>
      <w:bookmarkEnd w:id="58"/>
      <w:r>
        <w:t>9. Conclusion</w:t>
      </w:r>
      <w:bookmarkEnd w:id="61"/>
    </w:p>
    <w:p w14:paraId="0D0AF886" w14:textId="77777777" w:rsidR="004B4AA5" w:rsidRDefault="00000000">
      <w:pPr>
        <w:pStyle w:val="FirstParagraph"/>
      </w:pPr>
      <w:r>
        <w:t>Embedding FY2025 within 26 years of fiscal data reveals that the current fiscal configuration is part trend, part discontinuity—and the distinction matters for both diagnosis and remedy.</w:t>
      </w:r>
    </w:p>
    <w:p w14:paraId="0D0AF887" w14:textId="77777777" w:rsidR="004B4AA5" w:rsidRDefault="00000000">
      <w:pPr>
        <w:pStyle w:val="BodyText"/>
      </w:pPr>
      <w:r>
        <w:t xml:space="preserve">The gradual shift toward more regressive federal revenue (+2.5pp over 25 years) and the compression of the B50 income share (from 19.9% to 18.0%) are secular trends that predate 2025, would continue under any administration, and require structural reform. The </w:t>
      </w:r>
      <w:r>
        <w:lastRenderedPageBreak/>
        <w:t>safety-net outlay share, while below its trend-predicted level, does not meet the structural break threshold (z = -1.5) once pandemic-era observations are excluded.</w:t>
      </w:r>
    </w:p>
    <w:p w14:paraId="0D0AF888" w14:textId="77777777" w:rsidR="004B4AA5" w:rsidRDefault="00000000">
      <w:pPr>
        <w:pStyle w:val="BodyText"/>
      </w:pPr>
      <w:r>
        <w:t>What is historically anomalous is the tariff channel. The customs revenue share jumped from 1.0% to 3.7% of total revenue—a z-score of 25.8 that constitutes the most dramatic single-year change in the federal revenue mix since the introduction of the income tax. The interest-crowding ratio (z = 2.4) also breaks from trend, pushing interest payments to double their predicted level relative to safety-net spending.</w:t>
      </w:r>
    </w:p>
    <w:p w14:paraId="0D0AF889" w14:textId="77777777" w:rsidR="004B4AA5" w:rsidRDefault="00000000">
      <w:pPr>
        <w:pStyle w:val="BodyText"/>
      </w:pPr>
      <w:r>
        <w:t>These structural breaks are precisely the channels that burden the bottom 50% most heavily. The combined fiscal burden on the B50 is $1,331 per person (10.6% of pretax income, robust across 21 specifications)—an amount comparable in magnitude to total means-tested transfer income separating B50 from their market-income baseline. This burden exceeds that at the 99th percentile by more than two orders of magnitude as a share of income, validated across 1.4 million person-records of CPS ASEC microdata.</w:t>
      </w:r>
    </w:p>
    <w:p w14:paraId="0D0AF88A" w14:textId="77777777" w:rsidR="004B4AA5" w:rsidRDefault="00000000">
      <w:pPr>
        <w:pStyle w:val="BodyText"/>
      </w:pPr>
      <w:r>
        <w:t>Appendix E extends the framework to the post-</w:t>
      </w:r>
      <w:r>
        <w:rPr>
          <w:i/>
          <w:iCs/>
        </w:rPr>
        <w:t>Learning Resources</w:t>
      </w:r>
      <w:r>
        <w:t xml:space="preserve"> policy environment, showing that tariff revocation under price stickiness provides limited near-term consumer relief and that the announced legislative replacement would amplify rather than resolve the structural break.</w:t>
      </w:r>
    </w:p>
    <w:p w14:paraId="0D0AF88B" w14:textId="77777777" w:rsidR="004B4AA5" w:rsidRDefault="00000000">
      <w:pPr>
        <w:pStyle w:val="BodyText"/>
      </w:pPr>
      <w:r>
        <w:t>When the CPS ASEC 2025 becomes available (September 2026), synthetic difference-in-differences estimation following Athey and Imbens (2023) will enable formal causal identification. Until then, the evidence presented here—linking 26 years of fiscal accounting, structural break tests, realized price pass-through, and validated distributional weights—constitutes the strongest available assessment of which features of FY2025 are trend, which are discontinuity, and who bears the cost of each.</w:t>
      </w:r>
    </w:p>
    <w:p w14:paraId="0D0AF88C" w14:textId="77777777" w:rsidR="004B4AA5" w:rsidRDefault="00000000">
      <w:r>
        <w:pict w14:anchorId="0D0AFA60">
          <v:rect id="_x0000_i1033" style="width:0;height:1.5pt" o:hralign="center" o:hrstd="t" o:hr="t"/>
        </w:pict>
      </w:r>
    </w:p>
    <w:p w14:paraId="0D0AF88D" w14:textId="77777777" w:rsidR="004B4AA5" w:rsidRDefault="00000000">
      <w:pPr>
        <w:pStyle w:val="Heading2"/>
      </w:pPr>
      <w:bookmarkStart w:id="62" w:name="declaration-of-interest"/>
      <w:bookmarkStart w:id="63" w:name="_Toc223873449"/>
      <w:bookmarkEnd w:id="60"/>
      <w:r>
        <w:t>Declaration of Interest</w:t>
      </w:r>
      <w:bookmarkEnd w:id="63"/>
    </w:p>
    <w:p w14:paraId="0D0AF88E" w14:textId="77777777" w:rsidR="004B4AA5" w:rsidRDefault="00000000">
      <w:pPr>
        <w:pStyle w:val="FirstParagraph"/>
      </w:pPr>
      <w:r>
        <w:t>The author declares no competing financial interests or personal relationships that could have appeared to influence the work reported in this paper. This research received no external funding.</w:t>
      </w:r>
    </w:p>
    <w:p w14:paraId="0D0AF88F" w14:textId="77777777" w:rsidR="004B4AA5" w:rsidRDefault="00000000">
      <w:r>
        <w:pict w14:anchorId="0D0AFA61">
          <v:rect id="_x0000_i1034" style="width:0;height:1.5pt" o:hralign="center" o:hrstd="t" o:hr="t"/>
        </w:pict>
      </w:r>
    </w:p>
    <w:p w14:paraId="0D0AF890" w14:textId="77777777" w:rsidR="004B4AA5" w:rsidRDefault="00000000">
      <w:pPr>
        <w:pStyle w:val="Heading2"/>
      </w:pPr>
      <w:bookmarkStart w:id="64" w:name="X1f74eb43af444059c7518034463b6c89b1cacf4"/>
      <w:bookmarkStart w:id="65" w:name="_Toc223873450"/>
      <w:bookmarkEnd w:id="62"/>
      <w:r>
        <w:t>Declaration of Generative AI and AI-Assisted Technologies in the Manuscript Preparation Process</w:t>
      </w:r>
      <w:bookmarkEnd w:id="65"/>
    </w:p>
    <w:p w14:paraId="0D0AF891" w14:textId="77777777" w:rsidR="004B4AA5" w:rsidRDefault="00000000">
      <w:pPr>
        <w:pStyle w:val="FirstParagraph"/>
      </w:pPr>
      <w:r>
        <w:t>During the preparation of this work the author used Claude Opus 4.6 in order to code this project and make available on GitHub. After using this tool/service, the author reviewed and edited the content as needed and takes full responsibility for the content of the published article.</w:t>
      </w:r>
    </w:p>
    <w:p w14:paraId="0D0AF892" w14:textId="77777777" w:rsidR="004B4AA5" w:rsidRDefault="00000000">
      <w:r>
        <w:pict w14:anchorId="0D0AFA62">
          <v:rect id="_x0000_i1035" style="width:0;height:1.5pt" o:hralign="center" o:hrstd="t" o:hr="t"/>
        </w:pict>
      </w:r>
    </w:p>
    <w:p w14:paraId="0D0AF893" w14:textId="77777777" w:rsidR="004B4AA5" w:rsidRDefault="00000000">
      <w:pPr>
        <w:pStyle w:val="Heading2"/>
      </w:pPr>
      <w:bookmarkStart w:id="66" w:name="references"/>
      <w:bookmarkStart w:id="67" w:name="_Toc223873451"/>
      <w:bookmarkEnd w:id="64"/>
      <w:r>
        <w:lastRenderedPageBreak/>
        <w:t>References</w:t>
      </w:r>
      <w:bookmarkEnd w:id="67"/>
    </w:p>
    <w:p w14:paraId="0D0AF894" w14:textId="77777777" w:rsidR="004B4AA5" w:rsidRDefault="00000000">
      <w:pPr>
        <w:pStyle w:val="FirstParagraph"/>
      </w:pPr>
      <w:r>
        <w:t xml:space="preserve">Amiti, M., Redding, S. J., &amp; Weinstein, D. E. (2019). The impact of the 2018 tariffs on prices and welfare. </w:t>
      </w:r>
      <w:r>
        <w:rPr>
          <w:i/>
          <w:iCs/>
        </w:rPr>
        <w:t>Journal of Economic Perspectives</w:t>
      </w:r>
      <w:r>
        <w:t>, 33(4), 187–210.</w:t>
      </w:r>
    </w:p>
    <w:p w14:paraId="0D0AF895" w14:textId="77777777" w:rsidR="004B4AA5" w:rsidRDefault="00000000">
      <w:pPr>
        <w:pStyle w:val="BodyText"/>
      </w:pPr>
      <w:r>
        <w:t xml:space="preserve">Amiti, M., Redding, S. J., &amp; Weinstein, D. E. (2020). Who’s paying for the US tariffs? A longer-term perspective. </w:t>
      </w:r>
      <w:r>
        <w:rPr>
          <w:i/>
          <w:iCs/>
        </w:rPr>
        <w:t>AEA Papers and Proceedings</w:t>
      </w:r>
      <w:r>
        <w:t>, 110, 541–546.</w:t>
      </w:r>
    </w:p>
    <w:p w14:paraId="0D0AF896" w14:textId="77777777" w:rsidR="004B4AA5" w:rsidRDefault="00000000">
      <w:pPr>
        <w:pStyle w:val="BodyText"/>
      </w:pPr>
      <w:r>
        <w:t xml:space="preserve">Athey, S., &amp; Imbens, G. W. (2023). Design-based analysis in difference-in-differences settings with staggered adoption. </w:t>
      </w:r>
      <w:r>
        <w:rPr>
          <w:i/>
          <w:iCs/>
        </w:rPr>
        <w:t>Journal of Econometrics</w:t>
      </w:r>
      <w:r>
        <w:t>, 226(1), 62–79.</w:t>
      </w:r>
    </w:p>
    <w:p w14:paraId="0D0AF897" w14:textId="77777777" w:rsidR="004B4AA5" w:rsidRDefault="00000000">
      <w:pPr>
        <w:pStyle w:val="BodyText"/>
      </w:pPr>
      <w:r>
        <w:t xml:space="preserve">Auerbach, A. J., &amp; Gorodnichenko, Y. (2012). Measuring the output responses to fiscal policy. </w:t>
      </w:r>
      <w:r>
        <w:rPr>
          <w:i/>
          <w:iCs/>
        </w:rPr>
        <w:t>American Economic Journal: Economic Policy</w:t>
      </w:r>
      <w:r>
        <w:t>, 4(2), 1–27.</w:t>
      </w:r>
    </w:p>
    <w:p w14:paraId="0D0AF898" w14:textId="77777777" w:rsidR="004B4AA5" w:rsidRDefault="00000000">
      <w:pPr>
        <w:pStyle w:val="BodyText"/>
      </w:pPr>
      <w:r>
        <w:t xml:space="preserve">Bitler, M. P., Gelbach, J. B., &amp; Hoynes, H. W. (2006). What mean impacts miss. </w:t>
      </w:r>
      <w:r>
        <w:rPr>
          <w:i/>
          <w:iCs/>
        </w:rPr>
        <w:t>American Economic Review</w:t>
      </w:r>
      <w:r>
        <w:t>, 96(4), 988–1012.</w:t>
      </w:r>
    </w:p>
    <w:p w14:paraId="0D0AF899" w14:textId="77777777" w:rsidR="004B4AA5" w:rsidRDefault="00000000">
      <w:pPr>
        <w:pStyle w:val="BodyText"/>
      </w:pPr>
      <w:r>
        <w:t xml:space="preserve">Bitler, M. P., Gelbach, J. B., &amp; Hoynes, H. W. (2010). Distributional impacts of the Self-Sufficiency Project. </w:t>
      </w:r>
      <w:r>
        <w:rPr>
          <w:i/>
          <w:iCs/>
        </w:rPr>
        <w:t>Journal of Public Economics</w:t>
      </w:r>
      <w:r>
        <w:t>, 94(11–12), 781–793.</w:t>
      </w:r>
    </w:p>
    <w:p w14:paraId="0D0AF89A" w14:textId="77777777" w:rsidR="004B4AA5" w:rsidRDefault="00000000">
      <w:pPr>
        <w:pStyle w:val="BodyText"/>
      </w:pPr>
      <w:r>
        <w:t xml:space="preserve">Cavallo, A. (2018). Scraped data and sticky prices. </w:t>
      </w:r>
      <w:r>
        <w:rPr>
          <w:i/>
          <w:iCs/>
        </w:rPr>
        <w:t>Review of Economics and Statistics</w:t>
      </w:r>
      <w:r>
        <w:t>, 100(1), 105–119.</w:t>
      </w:r>
    </w:p>
    <w:p w14:paraId="0D0AF89B" w14:textId="77777777" w:rsidR="004B4AA5" w:rsidRDefault="00000000">
      <w:pPr>
        <w:pStyle w:val="BodyText"/>
      </w:pPr>
      <w:r>
        <w:t xml:space="preserve">Cavallo, A., Gopinath, G., Neiman, B., &amp; Tang, J. (2021). Tariff pass-through at the border and at the store. </w:t>
      </w:r>
      <w:r>
        <w:rPr>
          <w:i/>
          <w:iCs/>
        </w:rPr>
        <w:t>AER: Insights</w:t>
      </w:r>
      <w:r>
        <w:t>, 3(1), 19–34.</w:t>
      </w:r>
    </w:p>
    <w:p w14:paraId="0D0AF89C" w14:textId="77777777" w:rsidR="004B4AA5" w:rsidRDefault="00000000">
      <w:pPr>
        <w:pStyle w:val="BodyText"/>
      </w:pPr>
      <w:r>
        <w:t>Clausing, K. A., &amp; Obstfeld, M. (2025). Tariffs as fiscal policy. NBER WP 34192.</w:t>
      </w:r>
    </w:p>
    <w:p w14:paraId="0D0AF89D" w14:textId="77777777" w:rsidR="004B4AA5" w:rsidRDefault="00000000">
      <w:pPr>
        <w:pStyle w:val="BodyText"/>
      </w:pPr>
      <w:r>
        <w:t>Congressional Budget Office. (2022). The distribution of household income, 2019.</w:t>
      </w:r>
    </w:p>
    <w:p w14:paraId="0D0AF89E" w14:textId="77777777" w:rsidR="004B4AA5" w:rsidRDefault="00000000">
      <w:pPr>
        <w:pStyle w:val="BodyText"/>
      </w:pPr>
      <w:r>
        <w:t xml:space="preserve">Fajgelbaum, P. D., Goldberg, P. K., Kennedy, P. J., &amp; Khandelwal, A. K. (2020). The return to protectionism. </w:t>
      </w:r>
      <w:r>
        <w:rPr>
          <w:i/>
          <w:iCs/>
        </w:rPr>
        <w:t>QJE</w:t>
      </w:r>
      <w:r>
        <w:t>, 135(1), 1–55.</w:t>
      </w:r>
    </w:p>
    <w:p w14:paraId="0D0AF89F" w14:textId="77777777" w:rsidR="004B4AA5" w:rsidRDefault="00000000">
      <w:pPr>
        <w:pStyle w:val="BodyText"/>
      </w:pPr>
      <w:r>
        <w:t>Falkenheim, M. (2022). How changes in the federal budget affect the economy. CBO Working Paper.</w:t>
      </w:r>
    </w:p>
    <w:p w14:paraId="0D0AF8A0" w14:textId="77777777" w:rsidR="004B4AA5" w:rsidRDefault="00000000">
      <w:pPr>
        <w:pStyle w:val="BodyText"/>
      </w:pPr>
      <w:r>
        <w:t xml:space="preserve">Federal Reserve Board. (2023). Changes in U.S. family finances from 2019 to 2022. </w:t>
      </w:r>
      <w:r>
        <w:rPr>
          <w:i/>
          <w:iCs/>
        </w:rPr>
        <w:t>Federal Reserve Bulletin</w:t>
      </w:r>
      <w:r>
        <w:t>, 109(4).</w:t>
      </w:r>
    </w:p>
    <w:p w14:paraId="0D0AF8A1" w14:textId="77777777" w:rsidR="004B4AA5" w:rsidRDefault="00000000">
      <w:pPr>
        <w:pStyle w:val="BodyText"/>
      </w:pPr>
      <w:r>
        <w:t xml:space="preserve">Gopinath, G., Itskhoki, O., &amp; Rigobon, R. (2010). Currency choice and exchange rate pass-through. </w:t>
      </w:r>
      <w:r>
        <w:rPr>
          <w:i/>
          <w:iCs/>
        </w:rPr>
        <w:t>AER</w:t>
      </w:r>
      <w:r>
        <w:t>, 100(1), 304–336.</w:t>
      </w:r>
    </w:p>
    <w:p w14:paraId="0D0AF8A2" w14:textId="77777777" w:rsidR="004B4AA5" w:rsidRDefault="00000000">
      <w:pPr>
        <w:pStyle w:val="BodyText"/>
      </w:pPr>
      <w:r>
        <w:t>Gopinath, G., &amp; Neiman, B. (2026). The incidence of tariffs: Rates and reality. NBER WP 34620.</w:t>
      </w:r>
    </w:p>
    <w:p w14:paraId="0D0AF8A3" w14:textId="77777777" w:rsidR="004B4AA5" w:rsidRDefault="00000000">
      <w:pPr>
        <w:pStyle w:val="BodyText"/>
      </w:pPr>
      <w:r>
        <w:t xml:space="preserve">Leibovici, F., &amp; Dunn, J. (2025). What have we learned from the U.S. tariff increases of 2018–19? </w:t>
      </w:r>
      <w:r>
        <w:rPr>
          <w:i/>
          <w:iCs/>
        </w:rPr>
        <w:t>FRB St. Louis Review</w:t>
      </w:r>
      <w:r>
        <w:t>.</w:t>
      </w:r>
    </w:p>
    <w:p w14:paraId="0D0AF8A4" w14:textId="77777777" w:rsidR="004B4AA5" w:rsidRDefault="00000000">
      <w:pPr>
        <w:pStyle w:val="BodyText"/>
      </w:pPr>
      <w:r>
        <w:t>Minton, T., &amp; Somale, M. (2025). Detecting tariff effects on consumer prices in real time. FEDS Notes.</w:t>
      </w:r>
    </w:p>
    <w:p w14:paraId="0D0AF8A5" w14:textId="77777777" w:rsidR="004B4AA5" w:rsidRDefault="00000000">
      <w:pPr>
        <w:pStyle w:val="BodyText"/>
      </w:pPr>
      <w:r>
        <w:lastRenderedPageBreak/>
        <w:t xml:space="preserve">Peltzman, S. (2000). Prices rise faster than they fall. </w:t>
      </w:r>
      <w:r>
        <w:rPr>
          <w:i/>
          <w:iCs/>
        </w:rPr>
        <w:t>JPE</w:t>
      </w:r>
      <w:r>
        <w:t>, 108(3), 466–502.</w:t>
      </w:r>
    </w:p>
    <w:p w14:paraId="0D0AF8A6" w14:textId="77777777" w:rsidR="004B4AA5" w:rsidRDefault="00000000">
      <w:pPr>
        <w:pStyle w:val="BodyText"/>
      </w:pPr>
      <w:r>
        <w:t>Perese, K. (2017). CBO’s framework for analyzing means-tested transfers and federal taxes. CBO WP 2017-09.</w:t>
      </w:r>
    </w:p>
    <w:p w14:paraId="0D0AF8A7" w14:textId="77777777" w:rsidR="004B4AA5" w:rsidRDefault="00000000">
      <w:pPr>
        <w:pStyle w:val="BodyText"/>
      </w:pPr>
      <w:r>
        <w:t xml:space="preserve">Piketty, T., Saez, E., &amp; Zucman, G. (2018). Distributional national accounts: Methods and estimates for the United States. </w:t>
      </w:r>
      <w:r>
        <w:rPr>
          <w:i/>
          <w:iCs/>
        </w:rPr>
        <w:t>QJE</w:t>
      </w:r>
      <w:r>
        <w:t>, 133(2), 553–609.</w:t>
      </w:r>
    </w:p>
    <w:p w14:paraId="0D0AF8A8" w14:textId="77777777" w:rsidR="004B4AA5" w:rsidRDefault="00000000">
      <w:pPr>
        <w:pStyle w:val="BodyText"/>
      </w:pPr>
      <w:r>
        <w:t>The Budget Lab at Yale. (2026). The effect of tariffs on poverty. Working Paper.</w:t>
      </w:r>
    </w:p>
    <w:p w14:paraId="0D0AF8A9" w14:textId="77777777" w:rsidR="004B4AA5" w:rsidRDefault="00000000">
      <w:pPr>
        <w:pStyle w:val="BodyText"/>
      </w:pPr>
      <w:r>
        <w:t xml:space="preserve">Wolff, E. N., &amp; Zacharias, A. (2007). The distributional consequences of government spending and taxation in the US. </w:t>
      </w:r>
      <w:r>
        <w:rPr>
          <w:i/>
          <w:iCs/>
        </w:rPr>
        <w:t>Review of Income and Wealth</w:t>
      </w:r>
      <w:r>
        <w:t>, 53(4), 692–715.</w:t>
      </w:r>
    </w:p>
    <w:p w14:paraId="0D0AF8AA" w14:textId="77777777" w:rsidR="004B4AA5" w:rsidRDefault="00000000">
      <w:r>
        <w:pict w14:anchorId="0D0AFA63">
          <v:rect id="_x0000_i1036" style="width:0;height:1.5pt" o:hralign="center" o:hrstd="t" o:hr="t"/>
        </w:pict>
      </w:r>
    </w:p>
    <w:p w14:paraId="0D0AF8AB" w14:textId="77777777" w:rsidR="004B4AA5" w:rsidRDefault="00000000">
      <w:pPr>
        <w:pStyle w:val="Heading2"/>
      </w:pPr>
      <w:bookmarkStart w:id="68" w:name="Xa41fc967329c1d557d52f0bb9259f1faddfd4f9"/>
      <w:bookmarkStart w:id="69" w:name="_Toc223873452"/>
      <w:bookmarkEnd w:id="66"/>
      <w:r>
        <w:t>Appendix A: B50 Calibration and CEX-CPS Cross-Walk</w:t>
      </w:r>
      <w:bookmarkEnd w:id="69"/>
    </w:p>
    <w:p w14:paraId="0D0AF8AC" w14:textId="77777777" w:rsidR="004B4AA5" w:rsidRDefault="00000000">
      <w:pPr>
        <w:pStyle w:val="FirstParagraph"/>
      </w:pPr>
      <w:r>
        <w:t>CEX quintile boundaries (Q1 &lt; $23,810; Q5 &gt; $127,080) are defined by consumer unit before-tax income, which differs from person-level income ranking. I calibrate the cross-walk using CPS ASEC 2024 (115,836 persons): grouping by household (PH_SEQ), summing pretax income, and assigning each person their household’s CEX quintile band. The person-weighted 50th percentile of household income is $96,000—in CEX Q4 ($77,025–$127,080). Exactly 41.4% of Q4 persons have household income below this threshold:</w:t>
      </w:r>
    </w:p>
    <w:p w14:paraId="0D0AF8AD" w14:textId="77777777" w:rsidR="004B4AA5" w:rsidRDefault="00000000">
      <w:pPr>
        <w:pStyle w:val="BodyText"/>
      </w:pPr>
      <m:oMathPara>
        <m:oMathParaPr>
          <m:jc m:val="center"/>
        </m:oMathParaPr>
        <m:oMath>
          <m:sSub>
            <m:sSubPr>
              <m:ctrlPr>
                <w:rPr>
                  <w:rFonts w:ascii="Cambria Math" w:hAnsi="Cambria Math"/>
                </w:rPr>
              </m:ctrlPr>
            </m:sSubPr>
            <m:e>
              <m:r>
                <m:rPr>
                  <m:nor/>
                </m:rPr>
                <m:t>B50</m:t>
              </m:r>
            </m:e>
            <m:sub>
              <m:r>
                <m:rPr>
                  <m:nor/>
                </m:rPr>
                <m:t>CEX</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3</m:t>
              </m:r>
            </m:sub>
          </m:sSub>
          <m:r>
            <m:rPr>
              <m:sty m:val="p"/>
            </m:rPr>
            <w:rPr>
              <w:rFonts w:ascii="Cambria Math" w:hAnsi="Cambria Math"/>
            </w:rPr>
            <m:t>+</m:t>
          </m:r>
          <m:r>
            <w:rPr>
              <w:rFonts w:ascii="Cambria Math" w:hAnsi="Cambria Math"/>
            </w:rPr>
            <m:t>0.414</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4</m:t>
              </m:r>
            </m:sub>
          </m:sSub>
        </m:oMath>
      </m:oMathPara>
    </w:p>
    <w:p w14:paraId="0D0AF8AE" w14:textId="77777777" w:rsidR="004B4AA5" w:rsidRDefault="00000000">
      <w:pPr>
        <w:pStyle w:val="FirstParagraph"/>
      </w:pPr>
      <w:r>
        <w:t xml:space="preserve">This captures 50.0% of persons (10.1% + 12.7% + 17.8% + 0.414 </w:t>
      </w:r>
      <m:oMath>
        <m:r>
          <m:rPr>
            <m:sty m:val="p"/>
          </m:rPr>
          <w:rPr>
            <w:rFonts w:ascii="Cambria Math" w:hAnsi="Cambria Math"/>
          </w:rPr>
          <m:t>×</m:t>
        </m:r>
      </m:oMath>
      <w:r>
        <w:t xml:space="preserve"> 22.7%). Sensitivity bounds: Q1+Q2+Q3 only (40.6%, 42.2% tariff share) to Q1+Q2+Q3+Q4 (63.3%, 65.3% tariff share).</w:t>
      </w:r>
    </w:p>
    <w:p w14:paraId="0D0AF8AF" w14:textId="77777777" w:rsidR="004B4AA5" w:rsidRDefault="00000000">
      <w:pPr>
        <w:pStyle w:val="BodyText"/>
      </w:pPr>
      <w:r>
        <w:rPr>
          <w:b/>
          <w:bCs/>
        </w:rPr>
        <w:t>Important distinction.</w:t>
      </w:r>
      <w:r>
        <w:t xml:space="preserve"> The CEX calibration applies only to tariff expenditure share calculations. For spending-cut attribution, I use CPS person-income quintiles where each quintile contains exactly 20% of persons: B50 = Q1+Q2+0.5</w:t>
      </w:r>
      <m:oMath>
        <m:r>
          <m:rPr>
            <m:sty m:val="p"/>
          </m:rPr>
          <w:rPr>
            <w:rFonts w:ascii="Cambria Math" w:hAnsi="Cambria Math"/>
          </w:rPr>
          <m:t>×</m:t>
        </m:r>
      </m:oMath>
      <w:r>
        <w:t>Q3 (136.6M persons).</w:t>
      </w:r>
    </w:p>
    <w:p w14:paraId="0D0AF8B0" w14:textId="77777777" w:rsidR="004B4AA5" w:rsidRDefault="00000000">
      <w:r>
        <w:pict w14:anchorId="0D0AFA64">
          <v:rect id="_x0000_i1037" style="width:0;height:1.5pt" o:hralign="center" o:hrstd="t" o:hr="t"/>
        </w:pict>
      </w:r>
    </w:p>
    <w:p w14:paraId="0D0AF8B1" w14:textId="77777777" w:rsidR="004B4AA5" w:rsidRDefault="00000000">
      <w:pPr>
        <w:pStyle w:val="Heading2"/>
      </w:pPr>
      <w:bookmarkStart w:id="70" w:name="X9304a2c90c5413219d78c34636952260f0e9b95"/>
      <w:bookmarkStart w:id="71" w:name="_Toc223873453"/>
      <w:bookmarkEnd w:id="68"/>
      <w:r>
        <w:t>Appendix B: Income Distribution Baseline (CPS ASEC)</w:t>
      </w:r>
      <w:bookmarkEnd w:id="71"/>
    </w:p>
    <w:p w14:paraId="0D0AF8B2" w14:textId="77777777" w:rsidR="004B4AA5" w:rsidRDefault="00000000">
      <w:pPr>
        <w:pStyle w:val="FirstParagraph"/>
      </w:pPr>
      <w:r>
        <w:rPr>
          <w:b/>
          <w:bCs/>
        </w:rPr>
        <w:t>Table B1. National Income Shares, CY2023 (PSZ Framework)</w:t>
      </w:r>
    </w:p>
    <w:tbl>
      <w:tblPr>
        <w:tblStyle w:val="Table"/>
        <w:tblW w:w="5000" w:type="pct"/>
        <w:tblLayout w:type="fixed"/>
        <w:tblLook w:val="0020" w:firstRow="1" w:lastRow="0" w:firstColumn="0" w:lastColumn="0" w:noHBand="0" w:noVBand="0"/>
      </w:tblPr>
      <w:tblGrid>
        <w:gridCol w:w="999"/>
        <w:gridCol w:w="2001"/>
        <w:gridCol w:w="2001"/>
        <w:gridCol w:w="2430"/>
        <w:gridCol w:w="2145"/>
      </w:tblGrid>
      <w:tr w:rsidR="004B4AA5" w14:paraId="0D0AF8B8"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827" w:type="dxa"/>
          </w:tcPr>
          <w:p w14:paraId="0D0AF8B3" w14:textId="77777777" w:rsidR="004B4AA5" w:rsidRDefault="00000000">
            <w:pPr>
              <w:pStyle w:val="Compact"/>
            </w:pPr>
            <w:r>
              <w:t>Group</w:t>
            </w:r>
          </w:p>
        </w:tc>
        <w:tc>
          <w:tcPr>
            <w:tcW w:w="1654" w:type="dxa"/>
          </w:tcPr>
          <w:p w14:paraId="0D0AF8B4" w14:textId="77777777" w:rsidR="004B4AA5" w:rsidRDefault="00000000">
            <w:pPr>
              <w:pStyle w:val="Compact"/>
            </w:pPr>
            <w:r>
              <w:t>Market Income</w:t>
            </w:r>
          </w:p>
        </w:tc>
        <w:tc>
          <w:tcPr>
            <w:tcW w:w="1654" w:type="dxa"/>
          </w:tcPr>
          <w:p w14:paraId="0D0AF8B5" w14:textId="77777777" w:rsidR="004B4AA5" w:rsidRDefault="00000000">
            <w:pPr>
              <w:pStyle w:val="Compact"/>
            </w:pPr>
            <w:r>
              <w:t>Pretax Income</w:t>
            </w:r>
          </w:p>
        </w:tc>
        <w:tc>
          <w:tcPr>
            <w:tcW w:w="2009" w:type="dxa"/>
          </w:tcPr>
          <w:p w14:paraId="0D0AF8B6" w14:textId="77777777" w:rsidR="004B4AA5" w:rsidRDefault="00000000">
            <w:pPr>
              <w:pStyle w:val="Compact"/>
            </w:pPr>
            <w:r>
              <w:t>Post-Tax Income</w:t>
            </w:r>
          </w:p>
        </w:tc>
        <w:tc>
          <w:tcPr>
            <w:tcW w:w="1773" w:type="dxa"/>
          </w:tcPr>
          <w:p w14:paraId="0D0AF8B7" w14:textId="77777777" w:rsidR="004B4AA5" w:rsidRDefault="00000000">
            <w:pPr>
              <w:pStyle w:val="Compact"/>
            </w:pPr>
            <w:r>
              <w:t>Capital Income</w:t>
            </w:r>
          </w:p>
        </w:tc>
      </w:tr>
      <w:tr w:rsidR="004B4AA5" w14:paraId="0D0AF8BE" w14:textId="77777777">
        <w:tc>
          <w:tcPr>
            <w:tcW w:w="827" w:type="dxa"/>
          </w:tcPr>
          <w:p w14:paraId="0D0AF8B9" w14:textId="77777777" w:rsidR="004B4AA5" w:rsidRDefault="00000000">
            <w:pPr>
              <w:pStyle w:val="Compact"/>
            </w:pPr>
            <w:r>
              <w:t>Bottom 50%</w:t>
            </w:r>
          </w:p>
        </w:tc>
        <w:tc>
          <w:tcPr>
            <w:tcW w:w="1654" w:type="dxa"/>
          </w:tcPr>
          <w:p w14:paraId="0D0AF8BA" w14:textId="77777777" w:rsidR="004B4AA5" w:rsidRDefault="00000000">
            <w:pPr>
              <w:pStyle w:val="Compact"/>
            </w:pPr>
            <w:r>
              <w:t>6.7%</w:t>
            </w:r>
          </w:p>
        </w:tc>
        <w:tc>
          <w:tcPr>
            <w:tcW w:w="1654" w:type="dxa"/>
          </w:tcPr>
          <w:p w14:paraId="0D0AF8BB" w14:textId="77777777" w:rsidR="004B4AA5" w:rsidRDefault="00000000">
            <w:pPr>
              <w:pStyle w:val="Compact"/>
            </w:pPr>
            <w:r>
              <w:t>11.1%</w:t>
            </w:r>
          </w:p>
        </w:tc>
        <w:tc>
          <w:tcPr>
            <w:tcW w:w="2009" w:type="dxa"/>
          </w:tcPr>
          <w:p w14:paraId="0D0AF8BC" w14:textId="77777777" w:rsidR="004B4AA5" w:rsidRDefault="00000000">
            <w:pPr>
              <w:pStyle w:val="Compact"/>
            </w:pPr>
            <w:r>
              <w:t>12.0%</w:t>
            </w:r>
          </w:p>
        </w:tc>
        <w:tc>
          <w:tcPr>
            <w:tcW w:w="1773" w:type="dxa"/>
          </w:tcPr>
          <w:p w14:paraId="0D0AF8BD" w14:textId="77777777" w:rsidR="004B4AA5" w:rsidRDefault="00000000">
            <w:pPr>
              <w:pStyle w:val="Compact"/>
            </w:pPr>
            <w:r>
              <w:t>-0.1%</w:t>
            </w:r>
          </w:p>
        </w:tc>
      </w:tr>
      <w:tr w:rsidR="004B4AA5" w14:paraId="0D0AF8C4" w14:textId="77777777">
        <w:tc>
          <w:tcPr>
            <w:tcW w:w="827" w:type="dxa"/>
          </w:tcPr>
          <w:p w14:paraId="0D0AF8BF" w14:textId="77777777" w:rsidR="004B4AA5" w:rsidRDefault="00000000">
            <w:pPr>
              <w:pStyle w:val="Compact"/>
            </w:pPr>
            <w:r>
              <w:t>Middle 40%</w:t>
            </w:r>
          </w:p>
        </w:tc>
        <w:tc>
          <w:tcPr>
            <w:tcW w:w="1654" w:type="dxa"/>
          </w:tcPr>
          <w:p w14:paraId="0D0AF8C0" w14:textId="77777777" w:rsidR="004B4AA5" w:rsidRDefault="00000000">
            <w:pPr>
              <w:pStyle w:val="Compact"/>
            </w:pPr>
            <w:r>
              <w:t>48.6%</w:t>
            </w:r>
          </w:p>
        </w:tc>
        <w:tc>
          <w:tcPr>
            <w:tcW w:w="1654" w:type="dxa"/>
          </w:tcPr>
          <w:p w14:paraId="0D0AF8C1" w14:textId="77777777" w:rsidR="004B4AA5" w:rsidRDefault="00000000">
            <w:pPr>
              <w:pStyle w:val="Compact"/>
            </w:pPr>
            <w:r>
              <w:t>47.3%</w:t>
            </w:r>
          </w:p>
        </w:tc>
        <w:tc>
          <w:tcPr>
            <w:tcW w:w="2009" w:type="dxa"/>
          </w:tcPr>
          <w:p w14:paraId="0D0AF8C2" w14:textId="77777777" w:rsidR="004B4AA5" w:rsidRDefault="00000000">
            <w:pPr>
              <w:pStyle w:val="Compact"/>
            </w:pPr>
            <w:r>
              <w:t>48.1%</w:t>
            </w:r>
          </w:p>
        </w:tc>
        <w:tc>
          <w:tcPr>
            <w:tcW w:w="1773" w:type="dxa"/>
          </w:tcPr>
          <w:p w14:paraId="0D0AF8C3" w14:textId="77777777" w:rsidR="004B4AA5" w:rsidRDefault="00000000">
            <w:pPr>
              <w:pStyle w:val="Compact"/>
            </w:pPr>
            <w:r>
              <w:t>9.0%</w:t>
            </w:r>
          </w:p>
        </w:tc>
      </w:tr>
      <w:tr w:rsidR="004B4AA5" w14:paraId="0D0AF8CA" w14:textId="77777777">
        <w:tc>
          <w:tcPr>
            <w:tcW w:w="827" w:type="dxa"/>
          </w:tcPr>
          <w:p w14:paraId="0D0AF8C5" w14:textId="77777777" w:rsidR="004B4AA5" w:rsidRDefault="00000000">
            <w:pPr>
              <w:pStyle w:val="Compact"/>
            </w:pPr>
            <w:r>
              <w:t>Top 10%</w:t>
            </w:r>
          </w:p>
        </w:tc>
        <w:tc>
          <w:tcPr>
            <w:tcW w:w="1654" w:type="dxa"/>
          </w:tcPr>
          <w:p w14:paraId="0D0AF8C6" w14:textId="77777777" w:rsidR="004B4AA5" w:rsidRDefault="00000000">
            <w:pPr>
              <w:pStyle w:val="Compact"/>
            </w:pPr>
            <w:r>
              <w:t>44.7%</w:t>
            </w:r>
          </w:p>
        </w:tc>
        <w:tc>
          <w:tcPr>
            <w:tcW w:w="1654" w:type="dxa"/>
          </w:tcPr>
          <w:p w14:paraId="0D0AF8C7" w14:textId="77777777" w:rsidR="004B4AA5" w:rsidRDefault="00000000">
            <w:pPr>
              <w:pStyle w:val="Compact"/>
            </w:pPr>
            <w:r>
              <w:t>41.6%</w:t>
            </w:r>
          </w:p>
        </w:tc>
        <w:tc>
          <w:tcPr>
            <w:tcW w:w="2009" w:type="dxa"/>
          </w:tcPr>
          <w:p w14:paraId="0D0AF8C8" w14:textId="77777777" w:rsidR="004B4AA5" w:rsidRDefault="00000000">
            <w:pPr>
              <w:pStyle w:val="Compact"/>
            </w:pPr>
            <w:r>
              <w:t>39.9%</w:t>
            </w:r>
          </w:p>
        </w:tc>
        <w:tc>
          <w:tcPr>
            <w:tcW w:w="1773" w:type="dxa"/>
          </w:tcPr>
          <w:p w14:paraId="0D0AF8C9" w14:textId="77777777" w:rsidR="004B4AA5" w:rsidRDefault="00000000">
            <w:pPr>
              <w:pStyle w:val="Compact"/>
            </w:pPr>
            <w:r>
              <w:t>91.1%</w:t>
            </w:r>
          </w:p>
        </w:tc>
      </w:tr>
      <w:tr w:rsidR="004B4AA5" w14:paraId="0D0AF8D0" w14:textId="77777777">
        <w:tc>
          <w:tcPr>
            <w:tcW w:w="827" w:type="dxa"/>
          </w:tcPr>
          <w:p w14:paraId="0D0AF8CB" w14:textId="77777777" w:rsidR="004B4AA5" w:rsidRDefault="00000000">
            <w:pPr>
              <w:pStyle w:val="Compact"/>
            </w:pPr>
            <w:r>
              <w:lastRenderedPageBreak/>
              <w:t>Top 1%</w:t>
            </w:r>
          </w:p>
        </w:tc>
        <w:tc>
          <w:tcPr>
            <w:tcW w:w="1654" w:type="dxa"/>
          </w:tcPr>
          <w:p w14:paraId="0D0AF8CC" w14:textId="77777777" w:rsidR="004B4AA5" w:rsidRDefault="00000000">
            <w:pPr>
              <w:pStyle w:val="Compact"/>
            </w:pPr>
            <w:r>
              <w:t>13.0%</w:t>
            </w:r>
          </w:p>
        </w:tc>
        <w:tc>
          <w:tcPr>
            <w:tcW w:w="1654" w:type="dxa"/>
          </w:tcPr>
          <w:p w14:paraId="0D0AF8CD" w14:textId="77777777" w:rsidR="004B4AA5" w:rsidRDefault="00000000">
            <w:pPr>
              <w:pStyle w:val="Compact"/>
            </w:pPr>
            <w:r>
              <w:t>11.9%</w:t>
            </w:r>
          </w:p>
        </w:tc>
        <w:tc>
          <w:tcPr>
            <w:tcW w:w="2009" w:type="dxa"/>
          </w:tcPr>
          <w:p w14:paraId="0D0AF8CE" w14:textId="77777777" w:rsidR="004B4AA5" w:rsidRDefault="00000000">
            <w:pPr>
              <w:pStyle w:val="Compact"/>
            </w:pPr>
            <w:r>
              <w:t>11.1%</w:t>
            </w:r>
          </w:p>
        </w:tc>
        <w:tc>
          <w:tcPr>
            <w:tcW w:w="1773" w:type="dxa"/>
          </w:tcPr>
          <w:p w14:paraId="0D0AF8CF" w14:textId="77777777" w:rsidR="004B4AA5" w:rsidRDefault="00000000">
            <w:pPr>
              <w:pStyle w:val="Compact"/>
            </w:pPr>
            <w:r>
              <w:t>42.8%</w:t>
            </w:r>
          </w:p>
        </w:tc>
      </w:tr>
    </w:tbl>
    <w:p w14:paraId="0D0AF8D1" w14:textId="77777777" w:rsidR="004B4AA5" w:rsidRDefault="00000000">
      <w:pPr>
        <w:pStyle w:val="BodyText"/>
      </w:pPr>
      <w:r>
        <w:t>The B50 earns 6.7% of market income but receives 12.0% of post-tax income—the difference is entirely attributable to the transfer system, making the B50 uniquely exposed to cuts in means-tested spending.</w:t>
      </w:r>
    </w:p>
    <w:p w14:paraId="0D0AF8D2" w14:textId="77777777" w:rsidR="004B4AA5" w:rsidRDefault="00000000">
      <w:pPr>
        <w:pStyle w:val="BodyText"/>
      </w:pPr>
      <w:r>
        <w:rPr>
          <w:b/>
          <w:bCs/>
        </w:rPr>
        <w:t>Table B2. Income and Transfer Receipt by Quintile (Person-Weighted)</w:t>
      </w:r>
    </w:p>
    <w:tbl>
      <w:tblPr>
        <w:tblStyle w:val="Table"/>
        <w:tblW w:w="5000" w:type="pct"/>
        <w:tblLayout w:type="fixed"/>
        <w:tblLook w:val="0020" w:firstRow="1" w:lastRow="0" w:firstColumn="0" w:lastColumn="0" w:noHBand="0" w:noVBand="0"/>
      </w:tblPr>
      <w:tblGrid>
        <w:gridCol w:w="1197"/>
        <w:gridCol w:w="1436"/>
        <w:gridCol w:w="2274"/>
        <w:gridCol w:w="1796"/>
        <w:gridCol w:w="1556"/>
        <w:gridCol w:w="1317"/>
      </w:tblGrid>
      <w:tr w:rsidR="004B4AA5" w14:paraId="0D0AF8D9"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990" w:type="dxa"/>
          </w:tcPr>
          <w:p w14:paraId="0D0AF8D3" w14:textId="77777777" w:rsidR="004B4AA5" w:rsidRDefault="00000000">
            <w:pPr>
              <w:pStyle w:val="Compact"/>
            </w:pPr>
            <w:r>
              <w:t>Quintile</w:t>
            </w:r>
          </w:p>
        </w:tc>
        <w:tc>
          <w:tcPr>
            <w:tcW w:w="1188" w:type="dxa"/>
          </w:tcPr>
          <w:p w14:paraId="0D0AF8D4" w14:textId="77777777" w:rsidR="004B4AA5" w:rsidRDefault="00000000">
            <w:pPr>
              <w:pStyle w:val="Compact"/>
            </w:pPr>
            <w:r>
              <w:t>Mean Pretax</w:t>
            </w:r>
          </w:p>
        </w:tc>
        <w:tc>
          <w:tcPr>
            <w:tcW w:w="1881" w:type="dxa"/>
          </w:tcPr>
          <w:p w14:paraId="0D0AF8D5" w14:textId="77777777" w:rsidR="004B4AA5" w:rsidRDefault="00000000">
            <w:pPr>
              <w:pStyle w:val="Compact"/>
            </w:pPr>
            <w:r>
              <w:t>Mean Means-Tested</w:t>
            </w:r>
          </w:p>
        </w:tc>
        <w:tc>
          <w:tcPr>
            <w:tcW w:w="1485" w:type="dxa"/>
          </w:tcPr>
          <w:p w14:paraId="0D0AF8D6" w14:textId="77777777" w:rsidR="004B4AA5" w:rsidRDefault="00000000">
            <w:pPr>
              <w:pStyle w:val="Compact"/>
            </w:pPr>
            <w:r>
              <w:t>Eff. Tax Rate</w:t>
            </w:r>
          </w:p>
        </w:tc>
        <w:tc>
          <w:tcPr>
            <w:tcW w:w="1287" w:type="dxa"/>
          </w:tcPr>
          <w:p w14:paraId="0D0AF8D7" w14:textId="77777777" w:rsidR="004B4AA5" w:rsidRDefault="00000000">
            <w:pPr>
              <w:pStyle w:val="Compact"/>
            </w:pPr>
            <w:r>
              <w:t>SSI Receipt</w:t>
            </w:r>
          </w:p>
        </w:tc>
        <w:tc>
          <w:tcPr>
            <w:tcW w:w="1089" w:type="dxa"/>
          </w:tcPr>
          <w:p w14:paraId="0D0AF8D8" w14:textId="77777777" w:rsidR="004B4AA5" w:rsidRDefault="00000000">
            <w:pPr>
              <w:pStyle w:val="Compact"/>
            </w:pPr>
            <w:r>
              <w:t>EITC Mean</w:t>
            </w:r>
          </w:p>
        </w:tc>
      </w:tr>
      <w:tr w:rsidR="004B4AA5" w14:paraId="0D0AF8E0" w14:textId="77777777">
        <w:tc>
          <w:tcPr>
            <w:tcW w:w="990" w:type="dxa"/>
          </w:tcPr>
          <w:p w14:paraId="0D0AF8DA" w14:textId="77777777" w:rsidR="004B4AA5" w:rsidRDefault="00000000">
            <w:pPr>
              <w:pStyle w:val="Compact"/>
            </w:pPr>
            <w:r>
              <w:t>Q1 (Bottom 20%)</w:t>
            </w:r>
          </w:p>
        </w:tc>
        <w:tc>
          <w:tcPr>
            <w:tcW w:w="1188" w:type="dxa"/>
          </w:tcPr>
          <w:p w14:paraId="0D0AF8DB" w14:textId="77777777" w:rsidR="004B4AA5" w:rsidRDefault="00000000">
            <w:pPr>
              <w:pStyle w:val="Compact"/>
            </w:pPr>
            <w:r>
              <w:t>$396</w:t>
            </w:r>
          </w:p>
        </w:tc>
        <w:tc>
          <w:tcPr>
            <w:tcW w:w="1881" w:type="dxa"/>
          </w:tcPr>
          <w:p w14:paraId="0D0AF8DC" w14:textId="77777777" w:rsidR="004B4AA5" w:rsidRDefault="00000000">
            <w:pPr>
              <w:pStyle w:val="Compact"/>
            </w:pPr>
            <w:r>
              <w:t>$1,606</w:t>
            </w:r>
          </w:p>
        </w:tc>
        <w:tc>
          <w:tcPr>
            <w:tcW w:w="1485" w:type="dxa"/>
          </w:tcPr>
          <w:p w14:paraId="0D0AF8DD" w14:textId="77777777" w:rsidR="004B4AA5" w:rsidRDefault="00000000">
            <w:pPr>
              <w:pStyle w:val="Compact"/>
            </w:pPr>
            <w:r>
              <w:t>153%*</w:t>
            </w:r>
          </w:p>
        </w:tc>
        <w:tc>
          <w:tcPr>
            <w:tcW w:w="1287" w:type="dxa"/>
          </w:tcPr>
          <w:p w14:paraId="0D0AF8DE" w14:textId="77777777" w:rsidR="004B4AA5" w:rsidRDefault="00000000">
            <w:pPr>
              <w:pStyle w:val="Compact"/>
            </w:pPr>
            <w:r>
              <w:t>6.4%</w:t>
            </w:r>
          </w:p>
        </w:tc>
        <w:tc>
          <w:tcPr>
            <w:tcW w:w="1089" w:type="dxa"/>
          </w:tcPr>
          <w:p w14:paraId="0D0AF8DF" w14:textId="77777777" w:rsidR="004B4AA5" w:rsidRDefault="00000000">
            <w:pPr>
              <w:pStyle w:val="Compact"/>
            </w:pPr>
            <w:r>
              <w:t>$108</w:t>
            </w:r>
          </w:p>
        </w:tc>
      </w:tr>
      <w:tr w:rsidR="004B4AA5" w14:paraId="0D0AF8E7" w14:textId="77777777">
        <w:tc>
          <w:tcPr>
            <w:tcW w:w="990" w:type="dxa"/>
          </w:tcPr>
          <w:p w14:paraId="0D0AF8E1" w14:textId="77777777" w:rsidR="004B4AA5" w:rsidRDefault="00000000">
            <w:pPr>
              <w:pStyle w:val="Compact"/>
            </w:pPr>
            <w:r>
              <w:t>Q2</w:t>
            </w:r>
          </w:p>
        </w:tc>
        <w:tc>
          <w:tcPr>
            <w:tcW w:w="1188" w:type="dxa"/>
          </w:tcPr>
          <w:p w14:paraId="0D0AF8E2" w14:textId="77777777" w:rsidR="004B4AA5" w:rsidRDefault="00000000">
            <w:pPr>
              <w:pStyle w:val="Compact"/>
            </w:pPr>
            <w:r>
              <w:t>$15,826</w:t>
            </w:r>
          </w:p>
        </w:tc>
        <w:tc>
          <w:tcPr>
            <w:tcW w:w="1881" w:type="dxa"/>
          </w:tcPr>
          <w:p w14:paraId="0D0AF8E3" w14:textId="77777777" w:rsidR="004B4AA5" w:rsidRDefault="00000000">
            <w:pPr>
              <w:pStyle w:val="Compact"/>
            </w:pPr>
            <w:r>
              <w:t>$944</w:t>
            </w:r>
          </w:p>
        </w:tc>
        <w:tc>
          <w:tcPr>
            <w:tcW w:w="1485" w:type="dxa"/>
          </w:tcPr>
          <w:p w14:paraId="0D0AF8E4" w14:textId="77777777" w:rsidR="004B4AA5" w:rsidRDefault="00000000">
            <w:pPr>
              <w:pStyle w:val="Compact"/>
            </w:pPr>
            <w:r>
              <w:t>7.1%</w:t>
            </w:r>
          </w:p>
        </w:tc>
        <w:tc>
          <w:tcPr>
            <w:tcW w:w="1287" w:type="dxa"/>
          </w:tcPr>
          <w:p w14:paraId="0D0AF8E5" w14:textId="77777777" w:rsidR="004B4AA5" w:rsidRDefault="00000000">
            <w:pPr>
              <w:pStyle w:val="Compact"/>
            </w:pPr>
            <w:r>
              <w:t>3.3%</w:t>
            </w:r>
          </w:p>
        </w:tc>
        <w:tc>
          <w:tcPr>
            <w:tcW w:w="1089" w:type="dxa"/>
          </w:tcPr>
          <w:p w14:paraId="0D0AF8E6" w14:textId="77777777" w:rsidR="004B4AA5" w:rsidRDefault="00000000">
            <w:pPr>
              <w:pStyle w:val="Compact"/>
            </w:pPr>
            <w:r>
              <w:t>$329</w:t>
            </w:r>
          </w:p>
        </w:tc>
      </w:tr>
      <w:tr w:rsidR="004B4AA5" w14:paraId="0D0AF8EE" w14:textId="77777777">
        <w:tc>
          <w:tcPr>
            <w:tcW w:w="990" w:type="dxa"/>
          </w:tcPr>
          <w:p w14:paraId="0D0AF8E8" w14:textId="77777777" w:rsidR="004B4AA5" w:rsidRDefault="00000000">
            <w:pPr>
              <w:pStyle w:val="Compact"/>
            </w:pPr>
            <w:r>
              <w:t>Q3</w:t>
            </w:r>
          </w:p>
        </w:tc>
        <w:tc>
          <w:tcPr>
            <w:tcW w:w="1188" w:type="dxa"/>
          </w:tcPr>
          <w:p w14:paraId="0D0AF8E9" w14:textId="77777777" w:rsidR="004B4AA5" w:rsidRDefault="00000000">
            <w:pPr>
              <w:pStyle w:val="Compact"/>
            </w:pPr>
            <w:r>
              <w:t>$35,619</w:t>
            </w:r>
          </w:p>
        </w:tc>
        <w:tc>
          <w:tcPr>
            <w:tcW w:w="1881" w:type="dxa"/>
          </w:tcPr>
          <w:p w14:paraId="0D0AF8EA" w14:textId="77777777" w:rsidR="004B4AA5" w:rsidRDefault="00000000">
            <w:pPr>
              <w:pStyle w:val="Compact"/>
            </w:pPr>
            <w:r>
              <w:t>$421</w:t>
            </w:r>
          </w:p>
        </w:tc>
        <w:tc>
          <w:tcPr>
            <w:tcW w:w="1485" w:type="dxa"/>
          </w:tcPr>
          <w:p w14:paraId="0D0AF8EB" w14:textId="77777777" w:rsidR="004B4AA5" w:rsidRDefault="00000000">
            <w:pPr>
              <w:pStyle w:val="Compact"/>
            </w:pPr>
            <w:r>
              <w:t>11.2%</w:t>
            </w:r>
          </w:p>
        </w:tc>
        <w:tc>
          <w:tcPr>
            <w:tcW w:w="1287" w:type="dxa"/>
          </w:tcPr>
          <w:p w14:paraId="0D0AF8EC" w14:textId="77777777" w:rsidR="004B4AA5" w:rsidRDefault="00000000">
            <w:pPr>
              <w:pStyle w:val="Compact"/>
            </w:pPr>
            <w:r>
              <w:t>0.6%</w:t>
            </w:r>
          </w:p>
        </w:tc>
        <w:tc>
          <w:tcPr>
            <w:tcW w:w="1089" w:type="dxa"/>
          </w:tcPr>
          <w:p w14:paraId="0D0AF8ED" w14:textId="77777777" w:rsidR="004B4AA5" w:rsidRDefault="00000000">
            <w:pPr>
              <w:pStyle w:val="Compact"/>
            </w:pPr>
            <w:r>
              <w:t>$269</w:t>
            </w:r>
          </w:p>
        </w:tc>
      </w:tr>
      <w:tr w:rsidR="004B4AA5" w14:paraId="0D0AF8F5" w14:textId="77777777">
        <w:tc>
          <w:tcPr>
            <w:tcW w:w="990" w:type="dxa"/>
          </w:tcPr>
          <w:p w14:paraId="0D0AF8EF" w14:textId="77777777" w:rsidR="004B4AA5" w:rsidRDefault="00000000">
            <w:pPr>
              <w:pStyle w:val="Compact"/>
            </w:pPr>
            <w:r>
              <w:t>Q4</w:t>
            </w:r>
          </w:p>
        </w:tc>
        <w:tc>
          <w:tcPr>
            <w:tcW w:w="1188" w:type="dxa"/>
          </w:tcPr>
          <w:p w14:paraId="0D0AF8F0" w14:textId="77777777" w:rsidR="004B4AA5" w:rsidRDefault="00000000">
            <w:pPr>
              <w:pStyle w:val="Compact"/>
            </w:pPr>
            <w:r>
              <w:t>$62,473</w:t>
            </w:r>
          </w:p>
        </w:tc>
        <w:tc>
          <w:tcPr>
            <w:tcW w:w="1881" w:type="dxa"/>
          </w:tcPr>
          <w:p w14:paraId="0D0AF8F1" w14:textId="77777777" w:rsidR="004B4AA5" w:rsidRDefault="00000000">
            <w:pPr>
              <w:pStyle w:val="Compact"/>
            </w:pPr>
            <w:r>
              <w:t>$258</w:t>
            </w:r>
          </w:p>
        </w:tc>
        <w:tc>
          <w:tcPr>
            <w:tcW w:w="1485" w:type="dxa"/>
          </w:tcPr>
          <w:p w14:paraId="0D0AF8F2" w14:textId="77777777" w:rsidR="004B4AA5" w:rsidRDefault="00000000">
            <w:pPr>
              <w:pStyle w:val="Compact"/>
            </w:pPr>
            <w:r>
              <w:t>14.8%</w:t>
            </w:r>
          </w:p>
        </w:tc>
        <w:tc>
          <w:tcPr>
            <w:tcW w:w="1287" w:type="dxa"/>
          </w:tcPr>
          <w:p w14:paraId="0D0AF8F3" w14:textId="77777777" w:rsidR="004B4AA5" w:rsidRDefault="00000000">
            <w:pPr>
              <w:pStyle w:val="Compact"/>
            </w:pPr>
            <w:r>
              <w:t>0.2%</w:t>
            </w:r>
          </w:p>
        </w:tc>
        <w:tc>
          <w:tcPr>
            <w:tcW w:w="1089" w:type="dxa"/>
          </w:tcPr>
          <w:p w14:paraId="0D0AF8F4" w14:textId="77777777" w:rsidR="004B4AA5" w:rsidRDefault="00000000">
            <w:pPr>
              <w:pStyle w:val="Compact"/>
            </w:pPr>
            <w:r>
              <w:t>$23</w:t>
            </w:r>
          </w:p>
        </w:tc>
      </w:tr>
      <w:tr w:rsidR="004B4AA5" w14:paraId="0D0AF8FC" w14:textId="77777777">
        <w:tc>
          <w:tcPr>
            <w:tcW w:w="990" w:type="dxa"/>
          </w:tcPr>
          <w:p w14:paraId="0D0AF8F6" w14:textId="77777777" w:rsidR="004B4AA5" w:rsidRDefault="00000000">
            <w:pPr>
              <w:pStyle w:val="Compact"/>
            </w:pPr>
            <w:r>
              <w:t>Q5 (Top 20%)</w:t>
            </w:r>
          </w:p>
        </w:tc>
        <w:tc>
          <w:tcPr>
            <w:tcW w:w="1188" w:type="dxa"/>
          </w:tcPr>
          <w:p w14:paraId="0D0AF8F7" w14:textId="77777777" w:rsidR="004B4AA5" w:rsidRDefault="00000000">
            <w:pPr>
              <w:pStyle w:val="Compact"/>
            </w:pPr>
            <w:r>
              <w:t>$167,416</w:t>
            </w:r>
          </w:p>
        </w:tc>
        <w:tc>
          <w:tcPr>
            <w:tcW w:w="1881" w:type="dxa"/>
          </w:tcPr>
          <w:p w14:paraId="0D0AF8F8" w14:textId="77777777" w:rsidR="004B4AA5" w:rsidRDefault="00000000">
            <w:pPr>
              <w:pStyle w:val="Compact"/>
            </w:pPr>
            <w:r>
              <w:t>$198</w:t>
            </w:r>
          </w:p>
        </w:tc>
        <w:tc>
          <w:tcPr>
            <w:tcW w:w="1485" w:type="dxa"/>
          </w:tcPr>
          <w:p w14:paraId="0D0AF8F9" w14:textId="77777777" w:rsidR="004B4AA5" w:rsidRDefault="00000000">
            <w:pPr>
              <w:pStyle w:val="Compact"/>
            </w:pPr>
            <w:r>
              <w:t>19.7%</w:t>
            </w:r>
          </w:p>
        </w:tc>
        <w:tc>
          <w:tcPr>
            <w:tcW w:w="1287" w:type="dxa"/>
          </w:tcPr>
          <w:p w14:paraId="0D0AF8FA" w14:textId="77777777" w:rsidR="004B4AA5" w:rsidRDefault="00000000">
            <w:pPr>
              <w:pStyle w:val="Compact"/>
            </w:pPr>
            <w:r>
              <w:t>0.1%</w:t>
            </w:r>
          </w:p>
        </w:tc>
        <w:tc>
          <w:tcPr>
            <w:tcW w:w="1089" w:type="dxa"/>
          </w:tcPr>
          <w:p w14:paraId="0D0AF8FB" w14:textId="77777777" w:rsidR="004B4AA5" w:rsidRDefault="00000000">
            <w:pPr>
              <w:pStyle w:val="Compact"/>
            </w:pPr>
            <w:r>
              <w:t>$1</w:t>
            </w:r>
          </w:p>
        </w:tc>
      </w:tr>
    </w:tbl>
    <w:p w14:paraId="0D0AF8FD" w14:textId="77777777" w:rsidR="004B4AA5" w:rsidRDefault="00000000">
      <w:pPr>
        <w:pStyle w:val="BodyText"/>
      </w:pPr>
      <w:r>
        <w:t>Inequality measures: Gini (pretax) = 0.587 [95% CI: 0.584–0.591]; B50 income share = 11.12% [10.96–11.29]; Top 10% / B50 ratio = 18.7:1.</w:t>
      </w:r>
    </w:p>
    <w:p w14:paraId="0D0AF8FE" w14:textId="77777777" w:rsidR="004B4AA5" w:rsidRDefault="00000000">
      <w:r>
        <w:pict w14:anchorId="0D0AFA65">
          <v:rect id="_x0000_i1038" style="width:0;height:1.5pt" o:hralign="center" o:hrstd="t" o:hr="t"/>
        </w:pict>
      </w:r>
    </w:p>
    <w:p w14:paraId="0D0AF8FF" w14:textId="77777777" w:rsidR="004B4AA5" w:rsidRDefault="00000000">
      <w:pPr>
        <w:pStyle w:val="Heading2"/>
      </w:pPr>
      <w:bookmarkStart w:id="72" w:name="X2dd669017aacd566977131b762dd4678d93372a"/>
      <w:bookmarkStart w:id="73" w:name="_Toc223873454"/>
      <w:bookmarkEnd w:id="70"/>
      <w:r>
        <w:t>Appendix C: Welfare Analysis and Simulations</w:t>
      </w:r>
      <w:bookmarkEnd w:id="73"/>
    </w:p>
    <w:p w14:paraId="0D0AF900" w14:textId="77777777" w:rsidR="004B4AA5" w:rsidRDefault="00000000">
      <w:pPr>
        <w:pStyle w:val="Heading3"/>
      </w:pPr>
      <w:bookmarkStart w:id="74" w:name="c.1-crra-welfare-weighting-sigma-2"/>
      <w:bookmarkStart w:id="75" w:name="_Toc223873455"/>
      <w:r>
        <w:t>C.1 CRRA Welfare Weighting (</w:t>
      </w:r>
      <m:oMath>
        <m:r>
          <w:rPr>
            <w:rFonts w:ascii="Cambria Math" w:hAnsi="Cambria Math"/>
          </w:rPr>
          <m:t>σ</m:t>
        </m:r>
      </m:oMath>
      <w:r>
        <w:t xml:space="preserve"> = 2)</w:t>
      </w:r>
      <w:bookmarkEnd w:id="75"/>
    </w:p>
    <w:p w14:paraId="0D0AF901" w14:textId="77777777" w:rsidR="004B4AA5" w:rsidRDefault="00000000">
      <w:pPr>
        <w:pStyle w:val="FirstParagraph"/>
      </w:pPr>
      <w:r>
        <w:t xml:space="preserve">Under CRRA with </w:t>
      </w:r>
      <m:oMath>
        <m:r>
          <w:rPr>
            <w:rFonts w:ascii="Cambria Math" w:hAnsi="Cambria Math"/>
          </w:rPr>
          <m:t>σ</m:t>
        </m:r>
      </m:oMath>
      <w:r>
        <w:t xml:space="preserve"> = 2, the welfare weight for Q1 exceeds Q5 by a factor of approximately 11,000, making Q1 welfare losses orders of magnitude more consequential.</w:t>
      </w:r>
    </w:p>
    <w:p w14:paraId="0D0AF902" w14:textId="77777777" w:rsidR="004B4AA5" w:rsidRDefault="00000000">
      <w:pPr>
        <w:pStyle w:val="Heading3"/>
      </w:pPr>
      <w:bookmarkStart w:id="76" w:name="c.2-spm-poverty-simulation"/>
      <w:bookmarkStart w:id="77" w:name="_Toc223873456"/>
      <w:bookmarkEnd w:id="74"/>
      <w:r>
        <w:t>C.2 SPM Poverty Simulation</w:t>
      </w:r>
      <w:bookmarkEnd w:id="77"/>
    </w:p>
    <w:p w14:paraId="0D0AF903" w14:textId="77777777" w:rsidR="004B4AA5" w:rsidRDefault="00000000">
      <w:pPr>
        <w:pStyle w:val="FirstParagraph"/>
      </w:pPr>
      <w:r>
        <w:rPr>
          <w:b/>
          <w:bCs/>
        </w:rPr>
        <w:t>Table C1. Poverty Simulation Under SNAP Reduction Scenarios</w:t>
      </w:r>
    </w:p>
    <w:tbl>
      <w:tblPr>
        <w:tblStyle w:val="Table"/>
        <w:tblW w:w="0" w:type="auto"/>
        <w:tblLook w:val="0020" w:firstRow="1" w:lastRow="0" w:firstColumn="0" w:lastColumn="0" w:noHBand="0" w:noVBand="0"/>
      </w:tblPr>
      <w:tblGrid>
        <w:gridCol w:w="1692"/>
        <w:gridCol w:w="1206"/>
        <w:gridCol w:w="1067"/>
        <w:gridCol w:w="2166"/>
      </w:tblGrid>
      <w:tr w:rsidR="004B4AA5" w14:paraId="0D0AF908"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0" w:type="auto"/>
          </w:tcPr>
          <w:p w14:paraId="0D0AF904" w14:textId="77777777" w:rsidR="004B4AA5" w:rsidRDefault="00000000">
            <w:pPr>
              <w:pStyle w:val="Compact"/>
            </w:pPr>
            <w:r>
              <w:t>Scenario</w:t>
            </w:r>
          </w:p>
        </w:tc>
        <w:tc>
          <w:tcPr>
            <w:tcW w:w="0" w:type="auto"/>
          </w:tcPr>
          <w:p w14:paraId="0D0AF905" w14:textId="77777777" w:rsidR="004B4AA5" w:rsidRDefault="00000000">
            <w:pPr>
              <w:pStyle w:val="Compact"/>
            </w:pPr>
            <w:r>
              <w:t>SPM Rate</w:t>
            </w:r>
          </w:p>
        </w:tc>
        <w:tc>
          <w:tcPr>
            <w:tcW w:w="0" w:type="auto"/>
          </w:tcPr>
          <w:p w14:paraId="0D0AF906" w14:textId="77777777" w:rsidR="004B4AA5" w:rsidRDefault="00000000">
            <w:pPr>
              <w:pStyle w:val="Compact"/>
            </w:pPr>
            <w:r>
              <w:t>Change</w:t>
            </w:r>
          </w:p>
        </w:tc>
        <w:tc>
          <w:tcPr>
            <w:tcW w:w="0" w:type="auto"/>
          </w:tcPr>
          <w:p w14:paraId="0D0AF907" w14:textId="77777777" w:rsidR="004B4AA5" w:rsidRDefault="00000000">
            <w:pPr>
              <w:pStyle w:val="Compact"/>
            </w:pPr>
            <w:r>
              <w:t>Additional Persons</w:t>
            </w:r>
          </w:p>
        </w:tc>
      </w:tr>
      <w:tr w:rsidR="004B4AA5" w14:paraId="0D0AF90D" w14:textId="77777777">
        <w:tc>
          <w:tcPr>
            <w:tcW w:w="0" w:type="auto"/>
          </w:tcPr>
          <w:p w14:paraId="0D0AF909" w14:textId="77777777" w:rsidR="004B4AA5" w:rsidRDefault="00000000">
            <w:pPr>
              <w:pStyle w:val="Compact"/>
            </w:pPr>
            <w:r>
              <w:t>Baseline</w:t>
            </w:r>
          </w:p>
        </w:tc>
        <w:tc>
          <w:tcPr>
            <w:tcW w:w="0" w:type="auto"/>
          </w:tcPr>
          <w:p w14:paraId="0D0AF90A" w14:textId="77777777" w:rsidR="004B4AA5" w:rsidRDefault="00000000">
            <w:pPr>
              <w:pStyle w:val="Compact"/>
            </w:pPr>
            <w:r>
              <w:t>12.70%</w:t>
            </w:r>
          </w:p>
        </w:tc>
        <w:tc>
          <w:tcPr>
            <w:tcW w:w="0" w:type="auto"/>
          </w:tcPr>
          <w:p w14:paraId="0D0AF90B" w14:textId="77777777" w:rsidR="004B4AA5" w:rsidRDefault="00000000">
            <w:pPr>
              <w:pStyle w:val="Compact"/>
            </w:pPr>
            <w:r>
              <w:t>—</w:t>
            </w:r>
          </w:p>
        </w:tc>
        <w:tc>
          <w:tcPr>
            <w:tcW w:w="0" w:type="auto"/>
          </w:tcPr>
          <w:p w14:paraId="0D0AF90C" w14:textId="77777777" w:rsidR="004B4AA5" w:rsidRDefault="00000000">
            <w:pPr>
              <w:pStyle w:val="Compact"/>
            </w:pPr>
            <w:r>
              <w:t>—</w:t>
            </w:r>
          </w:p>
        </w:tc>
      </w:tr>
      <w:tr w:rsidR="004B4AA5" w14:paraId="0D0AF912" w14:textId="77777777">
        <w:tc>
          <w:tcPr>
            <w:tcW w:w="0" w:type="auto"/>
          </w:tcPr>
          <w:p w14:paraId="0D0AF90E" w14:textId="77777777" w:rsidR="004B4AA5" w:rsidRDefault="00000000">
            <w:pPr>
              <w:pStyle w:val="Compact"/>
            </w:pPr>
            <w:r>
              <w:t>10% SNAP cut</w:t>
            </w:r>
          </w:p>
        </w:tc>
        <w:tc>
          <w:tcPr>
            <w:tcW w:w="0" w:type="auto"/>
          </w:tcPr>
          <w:p w14:paraId="0D0AF90F" w14:textId="77777777" w:rsidR="004B4AA5" w:rsidRDefault="00000000">
            <w:pPr>
              <w:pStyle w:val="Compact"/>
            </w:pPr>
            <w:r>
              <w:t>12.78%</w:t>
            </w:r>
          </w:p>
        </w:tc>
        <w:tc>
          <w:tcPr>
            <w:tcW w:w="0" w:type="auto"/>
          </w:tcPr>
          <w:p w14:paraId="0D0AF910" w14:textId="77777777" w:rsidR="004B4AA5" w:rsidRDefault="00000000">
            <w:pPr>
              <w:pStyle w:val="Compact"/>
            </w:pPr>
            <w:r>
              <w:t>+0.08pp</w:t>
            </w:r>
          </w:p>
        </w:tc>
        <w:tc>
          <w:tcPr>
            <w:tcW w:w="0" w:type="auto"/>
          </w:tcPr>
          <w:p w14:paraId="0D0AF911" w14:textId="77777777" w:rsidR="004B4AA5" w:rsidRDefault="00000000">
            <w:pPr>
              <w:pStyle w:val="Compact"/>
            </w:pPr>
            <w:r>
              <w:t>+209,494</w:t>
            </w:r>
          </w:p>
        </w:tc>
      </w:tr>
      <w:tr w:rsidR="004B4AA5" w14:paraId="0D0AF917" w14:textId="77777777">
        <w:tc>
          <w:tcPr>
            <w:tcW w:w="0" w:type="auto"/>
          </w:tcPr>
          <w:p w14:paraId="0D0AF913" w14:textId="77777777" w:rsidR="004B4AA5" w:rsidRDefault="00000000">
            <w:pPr>
              <w:pStyle w:val="Compact"/>
            </w:pPr>
            <w:r>
              <w:t>25% SNAP cut</w:t>
            </w:r>
          </w:p>
        </w:tc>
        <w:tc>
          <w:tcPr>
            <w:tcW w:w="0" w:type="auto"/>
          </w:tcPr>
          <w:p w14:paraId="0D0AF914" w14:textId="77777777" w:rsidR="004B4AA5" w:rsidRDefault="00000000">
            <w:pPr>
              <w:pStyle w:val="Compact"/>
            </w:pPr>
            <w:r>
              <w:t>12.89%</w:t>
            </w:r>
          </w:p>
        </w:tc>
        <w:tc>
          <w:tcPr>
            <w:tcW w:w="0" w:type="auto"/>
          </w:tcPr>
          <w:p w14:paraId="0D0AF915" w14:textId="77777777" w:rsidR="004B4AA5" w:rsidRDefault="00000000">
            <w:pPr>
              <w:pStyle w:val="Compact"/>
            </w:pPr>
            <w:r>
              <w:t>+0.19pp</w:t>
            </w:r>
          </w:p>
        </w:tc>
        <w:tc>
          <w:tcPr>
            <w:tcW w:w="0" w:type="auto"/>
          </w:tcPr>
          <w:p w14:paraId="0D0AF916" w14:textId="77777777" w:rsidR="004B4AA5" w:rsidRDefault="00000000">
            <w:pPr>
              <w:pStyle w:val="Compact"/>
            </w:pPr>
            <w:r>
              <w:t>+517,170</w:t>
            </w:r>
          </w:p>
        </w:tc>
      </w:tr>
      <w:tr w:rsidR="004B4AA5" w14:paraId="0D0AF91C" w14:textId="77777777">
        <w:tc>
          <w:tcPr>
            <w:tcW w:w="0" w:type="auto"/>
          </w:tcPr>
          <w:p w14:paraId="0D0AF918" w14:textId="77777777" w:rsidR="004B4AA5" w:rsidRDefault="00000000">
            <w:pPr>
              <w:pStyle w:val="Compact"/>
            </w:pPr>
            <w:r>
              <w:t>50% SNAP cut</w:t>
            </w:r>
          </w:p>
        </w:tc>
        <w:tc>
          <w:tcPr>
            <w:tcW w:w="0" w:type="auto"/>
          </w:tcPr>
          <w:p w14:paraId="0D0AF919" w14:textId="77777777" w:rsidR="004B4AA5" w:rsidRDefault="00000000">
            <w:pPr>
              <w:pStyle w:val="Compact"/>
            </w:pPr>
            <w:r>
              <w:t>13.11%</w:t>
            </w:r>
          </w:p>
        </w:tc>
        <w:tc>
          <w:tcPr>
            <w:tcW w:w="0" w:type="auto"/>
          </w:tcPr>
          <w:p w14:paraId="0D0AF91A" w14:textId="77777777" w:rsidR="004B4AA5" w:rsidRDefault="00000000">
            <w:pPr>
              <w:pStyle w:val="Compact"/>
            </w:pPr>
            <w:r>
              <w:t>+0.41pp</w:t>
            </w:r>
          </w:p>
        </w:tc>
        <w:tc>
          <w:tcPr>
            <w:tcW w:w="0" w:type="auto"/>
          </w:tcPr>
          <w:p w14:paraId="0D0AF91B" w14:textId="77777777" w:rsidR="004B4AA5" w:rsidRDefault="00000000">
            <w:pPr>
              <w:pStyle w:val="Compact"/>
            </w:pPr>
            <w:r>
              <w:t>+1,117,918</w:t>
            </w:r>
          </w:p>
        </w:tc>
      </w:tr>
    </w:tbl>
    <w:p w14:paraId="0D0AF91D" w14:textId="77777777" w:rsidR="004B4AA5" w:rsidRDefault="00000000">
      <w:pPr>
        <w:pStyle w:val="Heading3"/>
      </w:pPr>
      <w:bookmarkStart w:id="78" w:name="Xf5edaf7b0018cdf260830f8a5bbd73506b60e42"/>
      <w:bookmarkStart w:id="79" w:name="_Toc223873457"/>
      <w:bookmarkEnd w:id="76"/>
      <w:r>
        <w:lastRenderedPageBreak/>
        <w:t>C.3 Geographic Heterogeneity: State Exposure Index</w:t>
      </w:r>
      <w:bookmarkEnd w:id="79"/>
    </w:p>
    <w:p w14:paraId="0D0AF91E" w14:textId="77777777" w:rsidR="004B4AA5" w:rsidRDefault="00000000">
      <w:pPr>
        <w:pStyle w:val="FirstParagraph"/>
      </w:pPr>
      <w:r>
        <w:t>Following Fajgelbaum et al. (2020), composite state-level exposure using transfer dependency (35%), capital income share (15%), B50 income level (30%), and Gini (20%):</w:t>
      </w:r>
    </w:p>
    <w:tbl>
      <w:tblPr>
        <w:tblStyle w:val="Table"/>
        <w:tblW w:w="5000" w:type="pct"/>
        <w:tblLayout w:type="fixed"/>
        <w:tblLook w:val="0020" w:firstRow="1" w:lastRow="0" w:firstColumn="0" w:lastColumn="0" w:noHBand="0" w:noVBand="0"/>
      </w:tblPr>
      <w:tblGrid>
        <w:gridCol w:w="6246"/>
        <w:gridCol w:w="3330"/>
      </w:tblGrid>
      <w:tr w:rsidR="004B4AA5" w14:paraId="0D0AF921"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5165" w:type="dxa"/>
          </w:tcPr>
          <w:p w14:paraId="0D0AF91F" w14:textId="77777777" w:rsidR="004B4AA5" w:rsidRDefault="00000000">
            <w:pPr>
              <w:pStyle w:val="Compact"/>
            </w:pPr>
            <w:r>
              <w:t>Classification</w:t>
            </w:r>
          </w:p>
        </w:tc>
        <w:tc>
          <w:tcPr>
            <w:tcW w:w="2754" w:type="dxa"/>
          </w:tcPr>
          <w:p w14:paraId="0D0AF920" w14:textId="77777777" w:rsidR="004B4AA5" w:rsidRDefault="00000000">
            <w:pPr>
              <w:pStyle w:val="Compact"/>
            </w:pPr>
            <w:r>
              <w:t>States</w:t>
            </w:r>
          </w:p>
        </w:tc>
      </w:tr>
      <w:tr w:rsidR="004B4AA5" w14:paraId="0D0AF924" w14:textId="77777777">
        <w:tc>
          <w:tcPr>
            <w:tcW w:w="5165" w:type="dxa"/>
          </w:tcPr>
          <w:p w14:paraId="0D0AF922" w14:textId="77777777" w:rsidR="004B4AA5" w:rsidRDefault="00000000">
            <w:pPr>
              <w:pStyle w:val="Compact"/>
            </w:pPr>
            <w:r>
              <w:rPr>
                <w:b/>
                <w:bCs/>
              </w:rPr>
              <w:t>High Exposure</w:t>
            </w:r>
          </w:p>
        </w:tc>
        <w:tc>
          <w:tcPr>
            <w:tcW w:w="2754" w:type="dxa"/>
          </w:tcPr>
          <w:p w14:paraId="0D0AF923" w14:textId="77777777" w:rsidR="004B4AA5" w:rsidRDefault="00000000">
            <w:pPr>
              <w:pStyle w:val="Compact"/>
            </w:pPr>
            <w:r>
              <w:t>MS (1.86), LA (1.60), WV (1.40), NM (1.36), KY (0.91), SC (0.84)</w:t>
            </w:r>
          </w:p>
        </w:tc>
      </w:tr>
      <w:tr w:rsidR="004B4AA5" w14:paraId="0D0AF927" w14:textId="77777777">
        <w:tc>
          <w:tcPr>
            <w:tcW w:w="5165" w:type="dxa"/>
          </w:tcPr>
          <w:p w14:paraId="0D0AF925" w14:textId="77777777" w:rsidR="004B4AA5" w:rsidRDefault="00000000">
            <w:pPr>
              <w:pStyle w:val="Compact"/>
            </w:pPr>
            <w:r>
              <w:rPr>
                <w:b/>
                <w:bCs/>
              </w:rPr>
              <w:t>Low Exposure</w:t>
            </w:r>
          </w:p>
        </w:tc>
        <w:tc>
          <w:tcPr>
            <w:tcW w:w="2754" w:type="dxa"/>
          </w:tcPr>
          <w:p w14:paraId="0D0AF926" w14:textId="77777777" w:rsidR="004B4AA5" w:rsidRDefault="00000000">
            <w:pPr>
              <w:pStyle w:val="Compact"/>
            </w:pPr>
            <w:r>
              <w:t>DC (-1.78), SD (-1.38), VT (-1.16), MN (-1.05), ND (-0.96)</w:t>
            </w:r>
          </w:p>
        </w:tc>
      </w:tr>
    </w:tbl>
    <w:p w14:paraId="0D0AF928" w14:textId="77777777" w:rsidR="004B4AA5" w:rsidRDefault="00000000">
      <w:pPr>
        <w:pStyle w:val="BodyText"/>
      </w:pPr>
      <w:r>
        <w:t>This geographic variation forms the basis for future synthetic DiD estimation with post-treatment ASEC data.</w:t>
      </w:r>
    </w:p>
    <w:p w14:paraId="0D0AF929" w14:textId="77777777" w:rsidR="004B4AA5" w:rsidRDefault="00000000">
      <w:r>
        <w:pict w14:anchorId="0D0AFA66">
          <v:rect id="_x0000_i1039" style="width:0;height:1.5pt" o:hralign="center" o:hrstd="t" o:hr="t"/>
        </w:pict>
      </w:r>
    </w:p>
    <w:p w14:paraId="0D0AF92A" w14:textId="77777777" w:rsidR="004B4AA5" w:rsidRDefault="00000000">
      <w:pPr>
        <w:pStyle w:val="Heading2"/>
      </w:pPr>
      <w:bookmarkStart w:id="80" w:name="Xd347f89ac581d92c7496d719dcb25ec4e7c89b5"/>
      <w:bookmarkStart w:id="81" w:name="_Toc223873458"/>
      <w:bookmarkEnd w:id="72"/>
      <w:bookmarkEnd w:id="78"/>
      <w:r>
        <w:t>Appendix D: Structural Break Regression Detail</w:t>
      </w:r>
      <w:bookmarkEnd w:id="81"/>
    </w:p>
    <w:p w14:paraId="0D0AF92B" w14:textId="77777777" w:rsidR="004B4AA5" w:rsidRDefault="00000000">
      <w:pPr>
        <w:pStyle w:val="FirstParagraph"/>
      </w:pPr>
      <w:r>
        <w:rPr>
          <w:b/>
          <w:bCs/>
        </w:rPr>
        <w:t>Table D1. Full OLS Outputs</w:t>
      </w:r>
    </w:p>
    <w:tbl>
      <w:tblPr>
        <w:tblStyle w:val="Table"/>
        <w:tblW w:w="5000" w:type="pct"/>
        <w:tblLayout w:type="fixed"/>
        <w:tblLook w:val="0020" w:firstRow="1" w:lastRow="0" w:firstColumn="0" w:lastColumn="0" w:noHBand="0" w:noVBand="0"/>
      </w:tblPr>
      <w:tblGrid>
        <w:gridCol w:w="1170"/>
        <w:gridCol w:w="1490"/>
        <w:gridCol w:w="2446"/>
        <w:gridCol w:w="2235"/>
        <w:gridCol w:w="2235"/>
      </w:tblGrid>
      <w:tr w:rsidR="004B4AA5" w14:paraId="0D0AF931"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968" w:type="dxa"/>
          </w:tcPr>
          <w:p w14:paraId="0D0AF92C" w14:textId="77777777" w:rsidR="004B4AA5" w:rsidRDefault="00000000">
            <w:pPr>
              <w:pStyle w:val="Compact"/>
            </w:pPr>
            <w:r>
              <w:t>Parameter</w:t>
            </w:r>
          </w:p>
        </w:tc>
        <w:tc>
          <w:tcPr>
            <w:tcW w:w="1232" w:type="dxa"/>
          </w:tcPr>
          <w:p w14:paraId="0D0AF92D" w14:textId="77777777" w:rsidR="004B4AA5" w:rsidRDefault="00000000">
            <w:pPr>
              <w:pStyle w:val="Compact"/>
              <w:jc w:val="center"/>
            </w:pPr>
            <w:r>
              <w:t>Customs / Rev</w:t>
            </w:r>
          </w:p>
        </w:tc>
        <w:tc>
          <w:tcPr>
            <w:tcW w:w="2023" w:type="dxa"/>
          </w:tcPr>
          <w:p w14:paraId="0D0AF92E" w14:textId="77777777" w:rsidR="004B4AA5" w:rsidRDefault="00000000">
            <w:pPr>
              <w:pStyle w:val="Compact"/>
              <w:jc w:val="center"/>
            </w:pPr>
            <w:r>
              <w:t>Interest / Safety-net</w:t>
            </w:r>
          </w:p>
        </w:tc>
        <w:tc>
          <w:tcPr>
            <w:tcW w:w="1848" w:type="dxa"/>
          </w:tcPr>
          <w:p w14:paraId="0D0AF92F" w14:textId="77777777" w:rsidR="004B4AA5" w:rsidRDefault="00000000">
            <w:pPr>
              <w:pStyle w:val="Compact"/>
              <w:jc w:val="center"/>
            </w:pPr>
            <w:r>
              <w:t>Regressive Rev Share</w:t>
            </w:r>
          </w:p>
        </w:tc>
        <w:tc>
          <w:tcPr>
            <w:tcW w:w="1848" w:type="dxa"/>
          </w:tcPr>
          <w:p w14:paraId="0D0AF930" w14:textId="77777777" w:rsidR="004B4AA5" w:rsidRDefault="00000000">
            <w:pPr>
              <w:pStyle w:val="Compact"/>
              <w:jc w:val="center"/>
            </w:pPr>
            <w:r>
              <w:t>Safety-net / Outlays</w:t>
            </w:r>
          </w:p>
        </w:tc>
      </w:tr>
      <w:tr w:rsidR="004B4AA5" w14:paraId="0D0AF937" w14:textId="77777777">
        <w:tc>
          <w:tcPr>
            <w:tcW w:w="968" w:type="dxa"/>
          </w:tcPr>
          <w:p w14:paraId="0D0AF932" w14:textId="77777777" w:rsidR="004B4AA5" w:rsidRDefault="00000000">
            <w:pPr>
              <w:pStyle w:val="Compact"/>
            </w:pPr>
            <w:r>
              <w:t>Training period</w:t>
            </w:r>
          </w:p>
        </w:tc>
        <w:tc>
          <w:tcPr>
            <w:tcW w:w="1232" w:type="dxa"/>
          </w:tcPr>
          <w:p w14:paraId="0D0AF933" w14:textId="77777777" w:rsidR="004B4AA5" w:rsidRDefault="00000000">
            <w:pPr>
              <w:pStyle w:val="Compact"/>
              <w:jc w:val="center"/>
            </w:pPr>
            <w:r>
              <w:t>FY2000–2017</w:t>
            </w:r>
          </w:p>
        </w:tc>
        <w:tc>
          <w:tcPr>
            <w:tcW w:w="2023" w:type="dxa"/>
          </w:tcPr>
          <w:p w14:paraId="0D0AF934" w14:textId="77777777" w:rsidR="004B4AA5" w:rsidRDefault="00000000">
            <w:pPr>
              <w:pStyle w:val="Compact"/>
              <w:jc w:val="center"/>
            </w:pPr>
            <w:r>
              <w:t>FY2000–2024 excl. COVID</w:t>
            </w:r>
          </w:p>
        </w:tc>
        <w:tc>
          <w:tcPr>
            <w:tcW w:w="1848" w:type="dxa"/>
          </w:tcPr>
          <w:p w14:paraId="0D0AF935" w14:textId="77777777" w:rsidR="004B4AA5" w:rsidRDefault="00000000">
            <w:pPr>
              <w:pStyle w:val="Compact"/>
              <w:jc w:val="center"/>
            </w:pPr>
            <w:r>
              <w:t>FY2000–2017</w:t>
            </w:r>
          </w:p>
        </w:tc>
        <w:tc>
          <w:tcPr>
            <w:tcW w:w="1848" w:type="dxa"/>
          </w:tcPr>
          <w:p w14:paraId="0D0AF936" w14:textId="77777777" w:rsidR="004B4AA5" w:rsidRDefault="00000000">
            <w:pPr>
              <w:pStyle w:val="Compact"/>
              <w:jc w:val="center"/>
            </w:pPr>
            <w:r>
              <w:t>FY2000–2024 excl. COVID</w:t>
            </w:r>
          </w:p>
        </w:tc>
      </w:tr>
      <w:tr w:rsidR="004B4AA5" w14:paraId="0D0AF93D" w14:textId="77777777">
        <w:tc>
          <w:tcPr>
            <w:tcW w:w="968" w:type="dxa"/>
          </w:tcPr>
          <w:p w14:paraId="0D0AF938" w14:textId="77777777" w:rsidR="004B4AA5" w:rsidRDefault="00000000">
            <w:pPr>
              <w:pStyle w:val="Compact"/>
            </w:pPr>
            <w:r>
              <w:t>N</w:t>
            </w:r>
          </w:p>
        </w:tc>
        <w:tc>
          <w:tcPr>
            <w:tcW w:w="1232" w:type="dxa"/>
          </w:tcPr>
          <w:p w14:paraId="0D0AF939" w14:textId="77777777" w:rsidR="004B4AA5" w:rsidRDefault="00000000">
            <w:pPr>
              <w:pStyle w:val="Compact"/>
              <w:jc w:val="center"/>
            </w:pPr>
            <w:r>
              <w:t>18</w:t>
            </w:r>
          </w:p>
        </w:tc>
        <w:tc>
          <w:tcPr>
            <w:tcW w:w="2023" w:type="dxa"/>
          </w:tcPr>
          <w:p w14:paraId="0D0AF93A" w14:textId="77777777" w:rsidR="004B4AA5" w:rsidRDefault="00000000">
            <w:pPr>
              <w:pStyle w:val="Compact"/>
              <w:jc w:val="center"/>
            </w:pPr>
            <w:r>
              <w:t>23</w:t>
            </w:r>
          </w:p>
        </w:tc>
        <w:tc>
          <w:tcPr>
            <w:tcW w:w="1848" w:type="dxa"/>
          </w:tcPr>
          <w:p w14:paraId="0D0AF93B" w14:textId="77777777" w:rsidR="004B4AA5" w:rsidRDefault="00000000">
            <w:pPr>
              <w:pStyle w:val="Compact"/>
              <w:jc w:val="center"/>
            </w:pPr>
            <w:r>
              <w:t>18</w:t>
            </w:r>
          </w:p>
        </w:tc>
        <w:tc>
          <w:tcPr>
            <w:tcW w:w="1848" w:type="dxa"/>
          </w:tcPr>
          <w:p w14:paraId="0D0AF93C" w14:textId="77777777" w:rsidR="004B4AA5" w:rsidRDefault="00000000">
            <w:pPr>
              <w:pStyle w:val="Compact"/>
              <w:jc w:val="center"/>
            </w:pPr>
            <w:r>
              <w:t>23</w:t>
            </w:r>
          </w:p>
        </w:tc>
      </w:tr>
      <w:tr w:rsidR="004B4AA5" w14:paraId="0D0AF943" w14:textId="77777777">
        <w:tc>
          <w:tcPr>
            <w:tcW w:w="968" w:type="dxa"/>
          </w:tcPr>
          <w:p w14:paraId="0D0AF93E" w14:textId="77777777" w:rsidR="004B4AA5" w:rsidRDefault="00000000">
            <w:pPr>
              <w:pStyle w:val="Compact"/>
            </w:pPr>
            <w:r>
              <w:t>Intercept (</w:t>
            </w:r>
            <m:oMath>
              <m:r>
                <w:rPr>
                  <w:rFonts w:ascii="Cambria Math" w:hAnsi="Cambria Math"/>
                </w:rPr>
                <m:t>α</m:t>
              </m:r>
            </m:oMath>
            <w:r>
              <w:t>̂)</w:t>
            </w:r>
          </w:p>
        </w:tc>
        <w:tc>
          <w:tcPr>
            <w:tcW w:w="1232" w:type="dxa"/>
          </w:tcPr>
          <w:p w14:paraId="0D0AF93F" w14:textId="77777777" w:rsidR="004B4AA5" w:rsidRDefault="00000000">
            <w:pPr>
              <w:pStyle w:val="Compact"/>
              <w:jc w:val="center"/>
            </w:pPr>
            <w:r>
              <w:t>-12.28</w:t>
            </w:r>
          </w:p>
        </w:tc>
        <w:tc>
          <w:tcPr>
            <w:tcW w:w="2023" w:type="dxa"/>
          </w:tcPr>
          <w:p w14:paraId="0D0AF940" w14:textId="77777777" w:rsidR="004B4AA5" w:rsidRDefault="00000000">
            <w:pPr>
              <w:pStyle w:val="Compact"/>
              <w:jc w:val="center"/>
            </w:pPr>
            <w:r>
              <w:t>6.63</w:t>
            </w:r>
          </w:p>
        </w:tc>
        <w:tc>
          <w:tcPr>
            <w:tcW w:w="1848" w:type="dxa"/>
          </w:tcPr>
          <w:p w14:paraId="0D0AF941" w14:textId="77777777" w:rsidR="004B4AA5" w:rsidRDefault="00000000">
            <w:pPr>
              <w:pStyle w:val="Compact"/>
              <w:jc w:val="center"/>
            </w:pPr>
            <w:r>
              <w:t>377.9</w:t>
            </w:r>
          </w:p>
        </w:tc>
        <w:tc>
          <w:tcPr>
            <w:tcW w:w="1848" w:type="dxa"/>
          </w:tcPr>
          <w:p w14:paraId="0D0AF942" w14:textId="77777777" w:rsidR="004B4AA5" w:rsidRDefault="00000000">
            <w:pPr>
              <w:pStyle w:val="Compact"/>
              <w:jc w:val="center"/>
            </w:pPr>
            <w:r>
              <w:t>-152.5</w:t>
            </w:r>
          </w:p>
        </w:tc>
      </w:tr>
      <w:tr w:rsidR="004B4AA5" w14:paraId="0D0AF949" w14:textId="77777777">
        <w:tc>
          <w:tcPr>
            <w:tcW w:w="968" w:type="dxa"/>
          </w:tcPr>
          <w:p w14:paraId="0D0AF944" w14:textId="77777777" w:rsidR="004B4AA5" w:rsidRDefault="00000000">
            <w:pPr>
              <w:pStyle w:val="Compact"/>
            </w:pPr>
            <w:r>
              <w:t>Slope (</w:t>
            </w:r>
            <m:oMath>
              <m:r>
                <w:rPr>
                  <w:rFonts w:ascii="Cambria Math" w:hAnsi="Cambria Math"/>
                </w:rPr>
                <m:t>β</m:t>
              </m:r>
            </m:oMath>
            <w:r>
              <w:t>̂)</w:t>
            </w:r>
          </w:p>
        </w:tc>
        <w:tc>
          <w:tcPr>
            <w:tcW w:w="1232" w:type="dxa"/>
          </w:tcPr>
          <w:p w14:paraId="0D0AF945" w14:textId="77777777" w:rsidR="004B4AA5" w:rsidRDefault="00000000">
            <w:pPr>
              <w:pStyle w:val="Compact"/>
              <w:jc w:val="center"/>
            </w:pPr>
            <w:r>
              <w:t>+0.0067 pp/yr</w:t>
            </w:r>
          </w:p>
        </w:tc>
        <w:tc>
          <w:tcPr>
            <w:tcW w:w="2023" w:type="dxa"/>
          </w:tcPr>
          <w:p w14:paraId="0D0AF946" w14:textId="77777777" w:rsidR="004B4AA5" w:rsidRDefault="00000000">
            <w:pPr>
              <w:pStyle w:val="Compact"/>
              <w:jc w:val="center"/>
            </w:pPr>
            <w:r>
              <w:t>-0.0031 /yr</w:t>
            </w:r>
          </w:p>
        </w:tc>
        <w:tc>
          <w:tcPr>
            <w:tcW w:w="1848" w:type="dxa"/>
          </w:tcPr>
          <w:p w14:paraId="0D0AF947" w14:textId="77777777" w:rsidR="004B4AA5" w:rsidRDefault="00000000">
            <w:pPr>
              <w:pStyle w:val="Compact"/>
              <w:jc w:val="center"/>
            </w:pPr>
            <w:r>
              <w:t>-0.168 pp/yr</w:t>
            </w:r>
          </w:p>
        </w:tc>
        <w:tc>
          <w:tcPr>
            <w:tcW w:w="1848" w:type="dxa"/>
          </w:tcPr>
          <w:p w14:paraId="0D0AF948" w14:textId="77777777" w:rsidR="004B4AA5" w:rsidRDefault="00000000">
            <w:pPr>
              <w:pStyle w:val="Compact"/>
              <w:jc w:val="center"/>
            </w:pPr>
            <w:r>
              <w:t>+0.084 pp/yr</w:t>
            </w:r>
          </w:p>
        </w:tc>
      </w:tr>
      <w:tr w:rsidR="004B4AA5" w14:paraId="0D0AF94F" w14:textId="77777777">
        <w:tc>
          <w:tcPr>
            <w:tcW w:w="968" w:type="dxa"/>
          </w:tcPr>
          <w:p w14:paraId="0D0AF94A" w14:textId="77777777" w:rsidR="004B4AA5" w:rsidRDefault="00000000">
            <w:pPr>
              <w:pStyle w:val="Compact"/>
            </w:pPr>
            <w:r>
              <w:t>SE(</w:t>
            </w:r>
            <m:oMath>
              <m:r>
                <w:rPr>
                  <w:rFonts w:ascii="Cambria Math" w:hAnsi="Cambria Math"/>
                </w:rPr>
                <m:t>β</m:t>
              </m:r>
            </m:oMath>
            <w:r>
              <w:t>̂)</w:t>
            </w:r>
          </w:p>
        </w:tc>
        <w:tc>
          <w:tcPr>
            <w:tcW w:w="1232" w:type="dxa"/>
          </w:tcPr>
          <w:p w14:paraId="0D0AF94B" w14:textId="77777777" w:rsidR="004B4AA5" w:rsidRDefault="00000000">
            <w:pPr>
              <w:pStyle w:val="Compact"/>
              <w:jc w:val="center"/>
            </w:pPr>
            <w:r>
              <w:t>0.0035</w:t>
            </w:r>
          </w:p>
        </w:tc>
        <w:tc>
          <w:tcPr>
            <w:tcW w:w="2023" w:type="dxa"/>
          </w:tcPr>
          <w:p w14:paraId="0D0AF94C" w14:textId="77777777" w:rsidR="004B4AA5" w:rsidRDefault="00000000">
            <w:pPr>
              <w:pStyle w:val="Compact"/>
              <w:jc w:val="center"/>
            </w:pPr>
            <w:r>
              <w:t>0.0051</w:t>
            </w:r>
          </w:p>
        </w:tc>
        <w:tc>
          <w:tcPr>
            <w:tcW w:w="1848" w:type="dxa"/>
          </w:tcPr>
          <w:p w14:paraId="0D0AF94D" w14:textId="77777777" w:rsidR="004B4AA5" w:rsidRDefault="00000000">
            <w:pPr>
              <w:pStyle w:val="Compact"/>
              <w:jc w:val="center"/>
            </w:pPr>
            <w:r>
              <w:t>0.131</w:t>
            </w:r>
          </w:p>
        </w:tc>
        <w:tc>
          <w:tcPr>
            <w:tcW w:w="1848" w:type="dxa"/>
          </w:tcPr>
          <w:p w14:paraId="0D0AF94E" w14:textId="77777777" w:rsidR="004B4AA5" w:rsidRDefault="00000000">
            <w:pPr>
              <w:pStyle w:val="Compact"/>
              <w:jc w:val="center"/>
            </w:pPr>
            <w:r>
              <w:t>0.045</w:t>
            </w:r>
          </w:p>
        </w:tc>
      </w:tr>
      <w:tr w:rsidR="004B4AA5" w14:paraId="0D0AF955" w14:textId="77777777">
        <w:tc>
          <w:tcPr>
            <w:tcW w:w="968" w:type="dxa"/>
          </w:tcPr>
          <w:p w14:paraId="0D0AF950" w14:textId="77777777" w:rsidR="004B4AA5" w:rsidRDefault="00000000">
            <w:pPr>
              <w:pStyle w:val="Compact"/>
            </w:pPr>
            <w:r>
              <w:t>R²</w:t>
            </w:r>
          </w:p>
        </w:tc>
        <w:tc>
          <w:tcPr>
            <w:tcW w:w="1232" w:type="dxa"/>
          </w:tcPr>
          <w:p w14:paraId="0D0AF951" w14:textId="77777777" w:rsidR="004B4AA5" w:rsidRDefault="00000000">
            <w:pPr>
              <w:pStyle w:val="Compact"/>
              <w:jc w:val="center"/>
            </w:pPr>
            <w:r>
              <w:t>0.19</w:t>
            </w:r>
          </w:p>
        </w:tc>
        <w:tc>
          <w:tcPr>
            <w:tcW w:w="2023" w:type="dxa"/>
          </w:tcPr>
          <w:p w14:paraId="0D0AF952" w14:textId="77777777" w:rsidR="004B4AA5" w:rsidRDefault="00000000">
            <w:pPr>
              <w:pStyle w:val="Compact"/>
              <w:jc w:val="center"/>
            </w:pPr>
            <w:r>
              <w:t>0.02</w:t>
            </w:r>
          </w:p>
        </w:tc>
        <w:tc>
          <w:tcPr>
            <w:tcW w:w="1848" w:type="dxa"/>
          </w:tcPr>
          <w:p w14:paraId="0D0AF953" w14:textId="77777777" w:rsidR="004B4AA5" w:rsidRDefault="00000000">
            <w:pPr>
              <w:pStyle w:val="Compact"/>
              <w:jc w:val="center"/>
            </w:pPr>
            <w:r>
              <w:t>0.09</w:t>
            </w:r>
          </w:p>
        </w:tc>
        <w:tc>
          <w:tcPr>
            <w:tcW w:w="1848" w:type="dxa"/>
          </w:tcPr>
          <w:p w14:paraId="0D0AF954" w14:textId="77777777" w:rsidR="004B4AA5" w:rsidRDefault="00000000">
            <w:pPr>
              <w:pStyle w:val="Compact"/>
              <w:jc w:val="center"/>
            </w:pPr>
            <w:r>
              <w:t>0.14</w:t>
            </w:r>
          </w:p>
        </w:tc>
      </w:tr>
      <w:tr w:rsidR="004B4AA5" w14:paraId="0D0AF95B" w14:textId="77777777">
        <w:tc>
          <w:tcPr>
            <w:tcW w:w="968" w:type="dxa"/>
          </w:tcPr>
          <w:p w14:paraId="0D0AF956" w14:textId="77777777" w:rsidR="004B4AA5" w:rsidRDefault="00000000">
            <w:pPr>
              <w:pStyle w:val="Compact"/>
            </w:pPr>
            <m:oMath>
              <m:r>
                <w:rPr>
                  <w:rFonts w:ascii="Cambria Math" w:hAnsi="Cambria Math"/>
                </w:rPr>
                <m:t>σ</m:t>
              </m:r>
            </m:oMath>
            <w:r>
              <w:t>̂</w:t>
            </w:r>
          </w:p>
        </w:tc>
        <w:tc>
          <w:tcPr>
            <w:tcW w:w="1232" w:type="dxa"/>
          </w:tcPr>
          <w:p w14:paraId="0D0AF957" w14:textId="77777777" w:rsidR="004B4AA5" w:rsidRDefault="00000000">
            <w:pPr>
              <w:pStyle w:val="Compact"/>
              <w:jc w:val="center"/>
            </w:pPr>
            <w:r>
              <w:t>0.072</w:t>
            </w:r>
          </w:p>
        </w:tc>
        <w:tc>
          <w:tcPr>
            <w:tcW w:w="2023" w:type="dxa"/>
          </w:tcPr>
          <w:p w14:paraId="0D0AF958" w14:textId="77777777" w:rsidR="004B4AA5" w:rsidRDefault="00000000">
            <w:pPr>
              <w:pStyle w:val="Compact"/>
              <w:jc w:val="center"/>
            </w:pPr>
            <w:r>
              <w:t>0.166</w:t>
            </w:r>
          </w:p>
        </w:tc>
        <w:tc>
          <w:tcPr>
            <w:tcW w:w="1848" w:type="dxa"/>
          </w:tcPr>
          <w:p w14:paraId="0D0AF959" w14:textId="77777777" w:rsidR="004B4AA5" w:rsidRDefault="00000000">
            <w:pPr>
              <w:pStyle w:val="Compact"/>
              <w:jc w:val="center"/>
            </w:pPr>
            <w:r>
              <w:t>2.73</w:t>
            </w:r>
          </w:p>
        </w:tc>
        <w:tc>
          <w:tcPr>
            <w:tcW w:w="1848" w:type="dxa"/>
          </w:tcPr>
          <w:p w14:paraId="0D0AF95A" w14:textId="77777777" w:rsidR="004B4AA5" w:rsidRDefault="00000000">
            <w:pPr>
              <w:pStyle w:val="Compact"/>
              <w:jc w:val="center"/>
            </w:pPr>
            <w:r>
              <w:t>1.46</w:t>
            </w:r>
          </w:p>
        </w:tc>
      </w:tr>
      <w:tr w:rsidR="004B4AA5" w14:paraId="0D0AF961" w14:textId="77777777">
        <w:tc>
          <w:tcPr>
            <w:tcW w:w="968" w:type="dxa"/>
          </w:tcPr>
          <w:p w14:paraId="0D0AF95C" w14:textId="77777777" w:rsidR="004B4AA5" w:rsidRDefault="00000000">
            <w:pPr>
              <w:pStyle w:val="Compact"/>
            </w:pPr>
            <w:r>
              <w:t>Predicted FY2025</w:t>
            </w:r>
          </w:p>
        </w:tc>
        <w:tc>
          <w:tcPr>
            <w:tcW w:w="1232" w:type="dxa"/>
          </w:tcPr>
          <w:p w14:paraId="0D0AF95D" w14:textId="77777777" w:rsidR="004B4AA5" w:rsidRDefault="00000000">
            <w:pPr>
              <w:pStyle w:val="Compact"/>
              <w:jc w:val="center"/>
            </w:pPr>
            <w:r>
              <w:t>1.20%</w:t>
            </w:r>
          </w:p>
        </w:tc>
        <w:tc>
          <w:tcPr>
            <w:tcW w:w="2023" w:type="dxa"/>
          </w:tcPr>
          <w:p w14:paraId="0D0AF95E" w14:textId="77777777" w:rsidR="004B4AA5" w:rsidRDefault="00000000">
            <w:pPr>
              <w:pStyle w:val="Compact"/>
              <w:jc w:val="center"/>
            </w:pPr>
            <w:r>
              <w:t>0.450</w:t>
            </w:r>
          </w:p>
        </w:tc>
        <w:tc>
          <w:tcPr>
            <w:tcW w:w="1848" w:type="dxa"/>
          </w:tcPr>
          <w:p w14:paraId="0D0AF95F" w14:textId="77777777" w:rsidR="004B4AA5" w:rsidRDefault="00000000">
            <w:pPr>
              <w:pStyle w:val="Compact"/>
              <w:jc w:val="center"/>
            </w:pPr>
            <w:r>
              <w:t>37.4%</w:t>
            </w:r>
          </w:p>
        </w:tc>
        <w:tc>
          <w:tcPr>
            <w:tcW w:w="1848" w:type="dxa"/>
          </w:tcPr>
          <w:p w14:paraId="0D0AF960" w14:textId="77777777" w:rsidR="004B4AA5" w:rsidRDefault="00000000">
            <w:pPr>
              <w:pStyle w:val="Compact"/>
              <w:jc w:val="center"/>
            </w:pPr>
            <w:r>
              <w:t>17.7%</w:t>
            </w:r>
          </w:p>
        </w:tc>
      </w:tr>
      <w:tr w:rsidR="004B4AA5" w14:paraId="0D0AF967" w14:textId="77777777">
        <w:tc>
          <w:tcPr>
            <w:tcW w:w="968" w:type="dxa"/>
          </w:tcPr>
          <w:p w14:paraId="0D0AF962" w14:textId="77777777" w:rsidR="004B4AA5" w:rsidRDefault="00000000">
            <w:pPr>
              <w:pStyle w:val="Compact"/>
            </w:pPr>
            <w:r>
              <w:t>Actual FY2025</w:t>
            </w:r>
          </w:p>
        </w:tc>
        <w:tc>
          <w:tcPr>
            <w:tcW w:w="1232" w:type="dxa"/>
          </w:tcPr>
          <w:p w14:paraId="0D0AF963" w14:textId="77777777" w:rsidR="004B4AA5" w:rsidRDefault="00000000">
            <w:pPr>
              <w:pStyle w:val="Compact"/>
              <w:jc w:val="center"/>
            </w:pPr>
            <w:r>
              <w:t>3.72%</w:t>
            </w:r>
          </w:p>
        </w:tc>
        <w:tc>
          <w:tcPr>
            <w:tcW w:w="2023" w:type="dxa"/>
          </w:tcPr>
          <w:p w14:paraId="0D0AF964" w14:textId="77777777" w:rsidR="004B4AA5" w:rsidRDefault="00000000">
            <w:pPr>
              <w:pStyle w:val="Compact"/>
              <w:jc w:val="center"/>
            </w:pPr>
            <w:r>
              <w:t>0.910</w:t>
            </w:r>
          </w:p>
        </w:tc>
        <w:tc>
          <w:tcPr>
            <w:tcW w:w="1848" w:type="dxa"/>
          </w:tcPr>
          <w:p w14:paraId="0D0AF965" w14:textId="77777777" w:rsidR="004B4AA5" w:rsidRDefault="00000000">
            <w:pPr>
              <w:pStyle w:val="Compact"/>
              <w:jc w:val="center"/>
            </w:pPr>
            <w:r>
              <w:t>39.1%</w:t>
            </w:r>
          </w:p>
        </w:tc>
        <w:tc>
          <w:tcPr>
            <w:tcW w:w="1848" w:type="dxa"/>
          </w:tcPr>
          <w:p w14:paraId="0D0AF966" w14:textId="77777777" w:rsidR="004B4AA5" w:rsidRDefault="00000000">
            <w:pPr>
              <w:pStyle w:val="Compact"/>
              <w:jc w:val="center"/>
            </w:pPr>
            <w:r>
              <w:t>15.2%</w:t>
            </w:r>
          </w:p>
        </w:tc>
      </w:tr>
      <w:tr w:rsidR="004B4AA5" w14:paraId="0D0AF96D" w14:textId="77777777">
        <w:tc>
          <w:tcPr>
            <w:tcW w:w="968" w:type="dxa"/>
          </w:tcPr>
          <w:p w14:paraId="0D0AF968" w14:textId="77777777" w:rsidR="004B4AA5" w:rsidRDefault="00000000">
            <w:pPr>
              <w:pStyle w:val="Compact"/>
            </w:pPr>
            <w:r>
              <w:rPr>
                <w:b/>
                <w:bCs/>
              </w:rPr>
              <w:t>z-score</w:t>
            </w:r>
          </w:p>
        </w:tc>
        <w:tc>
          <w:tcPr>
            <w:tcW w:w="1232" w:type="dxa"/>
          </w:tcPr>
          <w:p w14:paraId="0D0AF969" w14:textId="77777777" w:rsidR="004B4AA5" w:rsidRDefault="00000000">
            <w:pPr>
              <w:pStyle w:val="Compact"/>
              <w:jc w:val="center"/>
            </w:pPr>
            <w:r>
              <w:rPr>
                <w:b/>
                <w:bCs/>
              </w:rPr>
              <w:t>25.8</w:t>
            </w:r>
          </w:p>
        </w:tc>
        <w:tc>
          <w:tcPr>
            <w:tcW w:w="2023" w:type="dxa"/>
          </w:tcPr>
          <w:p w14:paraId="0D0AF96A" w14:textId="77777777" w:rsidR="004B4AA5" w:rsidRDefault="00000000">
            <w:pPr>
              <w:pStyle w:val="Compact"/>
              <w:jc w:val="center"/>
            </w:pPr>
            <w:r>
              <w:rPr>
                <w:b/>
                <w:bCs/>
              </w:rPr>
              <w:t>2.4</w:t>
            </w:r>
          </w:p>
        </w:tc>
        <w:tc>
          <w:tcPr>
            <w:tcW w:w="1848" w:type="dxa"/>
          </w:tcPr>
          <w:p w14:paraId="0D0AF96B" w14:textId="77777777" w:rsidR="004B4AA5" w:rsidRDefault="00000000">
            <w:pPr>
              <w:pStyle w:val="Compact"/>
              <w:jc w:val="center"/>
            </w:pPr>
            <w:r>
              <w:rPr>
                <w:b/>
                <w:bCs/>
              </w:rPr>
              <w:t>0.5</w:t>
            </w:r>
          </w:p>
        </w:tc>
        <w:tc>
          <w:tcPr>
            <w:tcW w:w="1848" w:type="dxa"/>
          </w:tcPr>
          <w:p w14:paraId="0D0AF96C" w14:textId="77777777" w:rsidR="004B4AA5" w:rsidRDefault="00000000">
            <w:pPr>
              <w:pStyle w:val="Compact"/>
              <w:jc w:val="center"/>
            </w:pPr>
            <w:r>
              <w:rPr>
                <w:b/>
                <w:bCs/>
              </w:rPr>
              <w:t>-1.5</w:t>
            </w:r>
          </w:p>
        </w:tc>
      </w:tr>
    </w:tbl>
    <w:p w14:paraId="0D0AF96E" w14:textId="77777777" w:rsidR="004B4AA5" w:rsidRDefault="00000000">
      <w:pPr>
        <w:pStyle w:val="BodyText"/>
      </w:pPr>
      <w:r>
        <w:t xml:space="preserve">The z-score uses the full out-of-sample prediction SE: </w:t>
      </w:r>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pred</m:t>
            </m:r>
          </m:sub>
        </m:sSub>
        <m:r>
          <m:rPr>
            <m:sty m:val="p"/>
          </m:rPr>
          <w:rPr>
            <w:rFonts w:ascii="Cambria Math" w:hAnsi="Cambria Math"/>
          </w:rPr>
          <m:t>=</m:t>
        </m:r>
        <m:acc>
          <m:accPr>
            <m:ctrlPr>
              <w:rPr>
                <w:rFonts w:ascii="Cambria Math" w:hAnsi="Cambria Math"/>
              </w:rPr>
            </m:ctrlPr>
          </m:accPr>
          <m:e>
            <m:r>
              <w:rPr>
                <w:rFonts w:ascii="Cambria Math" w:hAnsi="Cambria Math"/>
              </w:rPr>
              <m:t>σ</m:t>
            </m:r>
          </m:e>
        </m:acc>
        <m:rad>
          <m:radPr>
            <m:degHide m:val="1"/>
            <m:ctrlPr>
              <w:rPr>
                <w:rFonts w:ascii="Cambria Math" w:hAnsi="Cambria Math"/>
              </w:rPr>
            </m:ctrlPr>
          </m:radPr>
          <m:deg/>
          <m:e>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new</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S</m:t>
                </m:r>
              </m:e>
              <m:sub>
                <m:r>
                  <w:rPr>
                    <w:rFonts w:ascii="Cambria Math" w:hAnsi="Cambria Math"/>
                  </w:rPr>
                  <m:t>x</m:t>
                </m:r>
              </m:sub>
            </m:sSub>
          </m:e>
        </m:rad>
      </m:oMath>
      <w:r>
        <w:t>.</w:t>
      </w:r>
    </w:p>
    <w:p w14:paraId="0D0AF96F" w14:textId="77777777" w:rsidR="004B4AA5" w:rsidRDefault="00000000">
      <w:r>
        <w:pict w14:anchorId="0D0AFA67">
          <v:rect id="_x0000_i1040" style="width:0;height:1.5pt" o:hralign="center" o:hrstd="t" o:hr="t"/>
        </w:pict>
      </w:r>
    </w:p>
    <w:p w14:paraId="0D0AF970" w14:textId="77777777" w:rsidR="004B4AA5" w:rsidRDefault="00000000">
      <w:pPr>
        <w:pStyle w:val="Heading2"/>
      </w:pPr>
      <w:bookmarkStart w:id="82" w:name="X42345380c300d5838e95f98b783218d2b6d038e"/>
      <w:bookmarkStart w:id="83" w:name="_Toc223873459"/>
      <w:bookmarkEnd w:id="80"/>
      <w:r>
        <w:lastRenderedPageBreak/>
        <w:t>Appendix E: Policy Scenario Analysis—Judicial Revocation and Legislative Replacement</w:t>
      </w:r>
      <w:bookmarkEnd w:id="83"/>
    </w:p>
    <w:p w14:paraId="0D0AF971" w14:textId="77777777" w:rsidR="004B4AA5" w:rsidRDefault="00000000">
      <w:pPr>
        <w:pStyle w:val="FirstParagraph"/>
      </w:pPr>
      <w:r>
        <w:t>Following the Supreme Court’s invalidation of IEEPA tariff authority (</w:t>
      </w:r>
      <w:r>
        <w:rPr>
          <w:i/>
          <w:iCs/>
        </w:rPr>
        <w:t>Learning Resources, Inc. v. Trump</w:t>
      </w:r>
      <w:r>
        <w:t>, No. 24-1287, Feb. 20, 2026), this appendix extends the structural break framework to model the distributional consequences of tariff revocation and the announced 15% universal legislative replacement.</w:t>
      </w:r>
    </w:p>
    <w:p w14:paraId="0D0AF972" w14:textId="77777777" w:rsidR="004B4AA5" w:rsidRDefault="00000000">
      <w:pPr>
        <w:pStyle w:val="Heading3"/>
      </w:pPr>
      <w:bookmarkStart w:id="84" w:name="X25d7c83ecc1f63e440d18877d9cad0c8188287a"/>
      <w:bookmarkStart w:id="85" w:name="_Toc223873460"/>
      <w:r>
        <w:t>E.1 Tariff Revocation Does Not Reverse the B50 Burden</w:t>
      </w:r>
      <w:bookmarkEnd w:id="85"/>
    </w:p>
    <w:p w14:paraId="0D0AF973" w14:textId="77777777" w:rsidR="004B4AA5" w:rsidRDefault="00000000">
      <w:pPr>
        <w:pStyle w:val="FirstParagraph"/>
      </w:pPr>
      <w:r>
        <w:t>Under the empirically grounded assumption of asymmetric price adjustment (Peltzman, 2000; Cavallo, 2018; Gopinath, Itskhoki &amp; Rigobon, 2010), tariff revocation does not reduce consumer prices in the near term. The tariff wedge shifts from Treasury revenue to importer/retailer margins, while $133B+ in refunds flows to the importers who paid duties at the border—not to consumers. Under price stickiness, the B50 burden is unchanged at $1,331/person.</w:t>
      </w:r>
    </w:p>
    <w:p w14:paraId="0D0AF974" w14:textId="77777777" w:rsidR="004B4AA5" w:rsidRDefault="00000000">
      <w:pPr>
        <w:pStyle w:val="Heading3"/>
      </w:pPr>
      <w:bookmarkStart w:id="86" w:name="Xfdbb716702493bcf8f988465b623eb615d0c1f6"/>
      <w:bookmarkStart w:id="87" w:name="_Toc223873461"/>
      <w:bookmarkEnd w:id="84"/>
      <w:r>
        <w:t>E.2 The 15% Legislative Replacement Nearly Doubles the Burden</w:t>
      </w:r>
      <w:bookmarkEnd w:id="87"/>
    </w:p>
    <w:p w14:paraId="0D0AF975" w14:textId="77777777" w:rsidR="004B4AA5" w:rsidRDefault="00000000">
      <w:pPr>
        <w:pStyle w:val="FirstParagraph"/>
      </w:pPr>
      <w:r>
        <w:t>A 15% uniform tariff on the full $3,100B goods import base generates substantially higher consumer burden than the targeted executive tariffs:</w:t>
      </w:r>
    </w:p>
    <w:p w14:paraId="0D0AF976" w14:textId="77777777" w:rsidR="004B4AA5" w:rsidRDefault="00000000">
      <w:pPr>
        <w:pStyle w:val="BodyText"/>
      </w:pPr>
      <w:r>
        <w:rPr>
          <w:b/>
          <w:bCs/>
        </w:rPr>
        <w:t>Table E1. B50 Burden: Status Quo vs. Combined Revocation + Replacement</w:t>
      </w:r>
    </w:p>
    <w:tbl>
      <w:tblPr>
        <w:tblStyle w:val="Table"/>
        <w:tblW w:w="0" w:type="auto"/>
        <w:tblLook w:val="0020" w:firstRow="1" w:lastRow="0" w:firstColumn="0" w:lastColumn="0" w:noHBand="0" w:noVBand="0"/>
      </w:tblPr>
      <w:tblGrid>
        <w:gridCol w:w="2648"/>
        <w:gridCol w:w="1377"/>
        <w:gridCol w:w="1956"/>
      </w:tblGrid>
      <w:tr w:rsidR="004B4AA5" w14:paraId="0D0AF97A"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0" w:type="auto"/>
          </w:tcPr>
          <w:p w14:paraId="0D0AF977" w14:textId="77777777" w:rsidR="004B4AA5" w:rsidRDefault="00000000">
            <w:pPr>
              <w:pStyle w:val="Compact"/>
            </w:pPr>
            <w:r>
              <w:t>Metric</w:t>
            </w:r>
          </w:p>
        </w:tc>
        <w:tc>
          <w:tcPr>
            <w:tcW w:w="0" w:type="auto"/>
          </w:tcPr>
          <w:p w14:paraId="0D0AF978" w14:textId="77777777" w:rsidR="004B4AA5" w:rsidRDefault="00000000">
            <w:pPr>
              <w:pStyle w:val="Compact"/>
            </w:pPr>
            <w:r>
              <w:t>Status Quo</w:t>
            </w:r>
          </w:p>
        </w:tc>
        <w:tc>
          <w:tcPr>
            <w:tcW w:w="0" w:type="auto"/>
          </w:tcPr>
          <w:p w14:paraId="0D0AF979" w14:textId="77777777" w:rsidR="004B4AA5" w:rsidRDefault="00000000">
            <w:pPr>
              <w:pStyle w:val="Compact"/>
            </w:pPr>
            <w:r>
              <w:t>Central Scenario</w:t>
            </w:r>
          </w:p>
        </w:tc>
      </w:tr>
      <w:tr w:rsidR="004B4AA5" w14:paraId="0D0AF97E" w14:textId="77777777">
        <w:tc>
          <w:tcPr>
            <w:tcW w:w="0" w:type="auto"/>
          </w:tcPr>
          <w:p w14:paraId="0D0AF97B" w14:textId="77777777" w:rsidR="004B4AA5" w:rsidRDefault="00000000">
            <w:pPr>
              <w:pStyle w:val="Compact"/>
            </w:pPr>
            <w:r>
              <w:t>Consumer burden</w:t>
            </w:r>
          </w:p>
        </w:tc>
        <w:tc>
          <w:tcPr>
            <w:tcW w:w="0" w:type="auto"/>
          </w:tcPr>
          <w:p w14:paraId="0D0AF97C" w14:textId="77777777" w:rsidR="004B4AA5" w:rsidRDefault="00000000">
            <w:pPr>
              <w:pStyle w:val="Compact"/>
            </w:pPr>
            <w:r>
              <w:t>$140B</w:t>
            </w:r>
          </w:p>
        </w:tc>
        <w:tc>
          <w:tcPr>
            <w:tcW w:w="0" w:type="auto"/>
          </w:tcPr>
          <w:p w14:paraId="0D0AF97D" w14:textId="77777777" w:rsidR="004B4AA5" w:rsidRDefault="00000000">
            <w:pPr>
              <w:pStyle w:val="Compact"/>
            </w:pPr>
            <w:r>
              <w:t>$566B</w:t>
            </w:r>
          </w:p>
        </w:tc>
      </w:tr>
      <w:tr w:rsidR="004B4AA5" w14:paraId="0D0AF982" w14:textId="77777777">
        <w:tc>
          <w:tcPr>
            <w:tcW w:w="0" w:type="auto"/>
          </w:tcPr>
          <w:p w14:paraId="0D0AF97F" w14:textId="77777777" w:rsidR="004B4AA5" w:rsidRDefault="00000000">
            <w:pPr>
              <w:pStyle w:val="Compact"/>
            </w:pPr>
            <w:r>
              <w:t>B50 combined burden</w:t>
            </w:r>
          </w:p>
        </w:tc>
        <w:tc>
          <w:tcPr>
            <w:tcW w:w="0" w:type="auto"/>
          </w:tcPr>
          <w:p w14:paraId="0D0AF980" w14:textId="77777777" w:rsidR="004B4AA5" w:rsidRDefault="00000000">
            <w:pPr>
              <w:pStyle w:val="Compact"/>
            </w:pPr>
            <w:r>
              <w:t>$181.8B</w:t>
            </w:r>
          </w:p>
        </w:tc>
        <w:tc>
          <w:tcPr>
            <w:tcW w:w="0" w:type="auto"/>
          </w:tcPr>
          <w:p w14:paraId="0D0AF981" w14:textId="77777777" w:rsidR="004B4AA5" w:rsidRDefault="00000000">
            <w:pPr>
              <w:pStyle w:val="Compact"/>
            </w:pPr>
            <w:r>
              <w:t>$319.6B</w:t>
            </w:r>
          </w:p>
        </w:tc>
      </w:tr>
      <w:tr w:rsidR="004B4AA5" w14:paraId="0D0AF986" w14:textId="77777777">
        <w:tc>
          <w:tcPr>
            <w:tcW w:w="0" w:type="auto"/>
          </w:tcPr>
          <w:p w14:paraId="0D0AF983" w14:textId="77777777" w:rsidR="004B4AA5" w:rsidRDefault="00000000">
            <w:pPr>
              <w:pStyle w:val="Compact"/>
            </w:pPr>
            <w:r>
              <w:t>B50 per person</w:t>
            </w:r>
          </w:p>
        </w:tc>
        <w:tc>
          <w:tcPr>
            <w:tcW w:w="0" w:type="auto"/>
          </w:tcPr>
          <w:p w14:paraId="0D0AF984" w14:textId="77777777" w:rsidR="004B4AA5" w:rsidRDefault="00000000">
            <w:pPr>
              <w:pStyle w:val="Compact"/>
            </w:pPr>
            <w:r>
              <w:t>$1,331</w:t>
            </w:r>
          </w:p>
        </w:tc>
        <w:tc>
          <w:tcPr>
            <w:tcW w:w="0" w:type="auto"/>
          </w:tcPr>
          <w:p w14:paraId="0D0AF985" w14:textId="77777777" w:rsidR="004B4AA5" w:rsidRDefault="00000000">
            <w:pPr>
              <w:pStyle w:val="Compact"/>
            </w:pPr>
            <w:r>
              <w:t>$2,341</w:t>
            </w:r>
          </w:p>
        </w:tc>
      </w:tr>
      <w:tr w:rsidR="004B4AA5" w14:paraId="0D0AF98A" w14:textId="77777777">
        <w:tc>
          <w:tcPr>
            <w:tcW w:w="0" w:type="auto"/>
          </w:tcPr>
          <w:p w14:paraId="0D0AF987" w14:textId="77777777" w:rsidR="004B4AA5" w:rsidRDefault="00000000">
            <w:pPr>
              <w:pStyle w:val="Compact"/>
            </w:pPr>
            <w:r>
              <w:t>B50 % of pretax income</w:t>
            </w:r>
          </w:p>
        </w:tc>
        <w:tc>
          <w:tcPr>
            <w:tcW w:w="0" w:type="auto"/>
          </w:tcPr>
          <w:p w14:paraId="0D0AF988" w14:textId="77777777" w:rsidR="004B4AA5" w:rsidRDefault="00000000">
            <w:pPr>
              <w:pStyle w:val="Compact"/>
            </w:pPr>
            <w:r>
              <w:t>10.6%</w:t>
            </w:r>
          </w:p>
        </w:tc>
        <w:tc>
          <w:tcPr>
            <w:tcW w:w="0" w:type="auto"/>
          </w:tcPr>
          <w:p w14:paraId="0D0AF989" w14:textId="77777777" w:rsidR="004B4AA5" w:rsidRDefault="00000000">
            <w:pPr>
              <w:pStyle w:val="Compact"/>
            </w:pPr>
            <w:r>
              <w:t>18.7%</w:t>
            </w:r>
          </w:p>
        </w:tc>
      </w:tr>
    </w:tbl>
    <w:p w14:paraId="0D0AF98B" w14:textId="77777777" w:rsidR="004B4AA5" w:rsidRDefault="00000000">
      <w:pPr>
        <w:pStyle w:val="BodyText"/>
      </w:pPr>
      <w:r>
        <w:t>Under the central scenario, the B50 combined burden increases 76% to $2,341 per person—exceeding B50 mean transfer income by a factor of 2.1. The broader import base of a universal tariff amplifies its consumption-tax character relative to category-specific executive tariffs. Sensitivity analysis (Low: $1,703; High: $2,468 per person) brackets trade elasticity uncertainty.</w:t>
      </w:r>
    </w:p>
    <w:p w14:paraId="0D0AF98C" w14:textId="77777777" w:rsidR="004B4AA5" w:rsidRDefault="00000000">
      <w:pPr>
        <w:pStyle w:val="Heading3"/>
      </w:pPr>
      <w:bookmarkStart w:id="88" w:name="Xa0d6d48fb1e28c318b5aeebcdd75519924e82d9"/>
      <w:bookmarkStart w:id="89" w:name="_Toc223873462"/>
      <w:bookmarkEnd w:id="86"/>
      <w:r>
        <w:t>E.3 Implications for the Structural Break Framework</w:t>
      </w:r>
      <w:bookmarkEnd w:id="89"/>
    </w:p>
    <w:p w14:paraId="0D0AF98D" w14:textId="77777777" w:rsidR="004B4AA5" w:rsidRDefault="00000000">
      <w:pPr>
        <w:pStyle w:val="FirstParagraph"/>
      </w:pPr>
      <w:r>
        <w:t xml:space="preserve">The transition from IEEPA tariffs to a legislative replacement does not reverse the customs-revenue structural break. Under the central scenario, customs revenue increases from $195B to $404B, pushing the z-score even further above the break threshold. The only scenario that reverses the structural break is full tariff revocation </w:t>
      </w:r>
      <w:r>
        <w:rPr>
          <w:i/>
          <w:iCs/>
        </w:rPr>
        <w:t>with</w:t>
      </w:r>
      <w:r>
        <w:t xml:space="preserve"> flexible downward price adjustment and </w:t>
      </w:r>
      <w:r>
        <w:rPr>
          <w:i/>
          <w:iCs/>
        </w:rPr>
        <w:t>without</w:t>
      </w:r>
      <w:r>
        <w:t xml:space="preserve"> a replacement tariff—a combination that is neither empirically likely in the short run nor politically plausible given the announced 15% replacement.</w:t>
      </w:r>
    </w:p>
    <w:p w14:paraId="0D0AF98E" w14:textId="77777777" w:rsidR="004B4AA5" w:rsidRDefault="00000000">
      <w:pPr>
        <w:pStyle w:val="Heading3"/>
      </w:pPr>
      <w:bookmarkStart w:id="90" w:name="e.4-scotus-scenario-figures"/>
      <w:bookmarkStart w:id="91" w:name="_Toc223873463"/>
      <w:bookmarkEnd w:id="88"/>
      <w:r>
        <w:lastRenderedPageBreak/>
        <w:t>E.4 SCOTUS Scenario Figures</w:t>
      </w:r>
      <w:bookmarkEnd w:id="91"/>
    </w:p>
    <w:tbl>
      <w:tblPr>
        <w:tblStyle w:val="Table"/>
        <w:tblW w:w="0" w:type="auto"/>
        <w:tblLook w:val="0020" w:firstRow="1" w:lastRow="0" w:firstColumn="0" w:lastColumn="0" w:noHBand="0" w:noVBand="0"/>
      </w:tblPr>
      <w:tblGrid>
        <w:gridCol w:w="857"/>
        <w:gridCol w:w="6601"/>
      </w:tblGrid>
      <w:tr w:rsidR="004B4AA5" w14:paraId="0D0AF991"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0" w:type="auto"/>
          </w:tcPr>
          <w:p w14:paraId="0D0AF98F" w14:textId="77777777" w:rsidR="004B4AA5" w:rsidRDefault="00000000">
            <w:pPr>
              <w:pStyle w:val="Compact"/>
            </w:pPr>
            <w:r>
              <w:t>Figure</w:t>
            </w:r>
          </w:p>
        </w:tc>
        <w:tc>
          <w:tcPr>
            <w:tcW w:w="0" w:type="auto"/>
          </w:tcPr>
          <w:p w14:paraId="0D0AF990" w14:textId="77777777" w:rsidR="004B4AA5" w:rsidRDefault="00000000">
            <w:pPr>
              <w:pStyle w:val="Compact"/>
            </w:pPr>
            <w:r>
              <w:t>Description</w:t>
            </w:r>
          </w:p>
        </w:tc>
      </w:tr>
      <w:tr w:rsidR="004B4AA5" w14:paraId="0D0AF994" w14:textId="77777777">
        <w:tc>
          <w:tcPr>
            <w:tcW w:w="0" w:type="auto"/>
          </w:tcPr>
          <w:p w14:paraId="0D0AF992" w14:textId="77777777" w:rsidR="004B4AA5" w:rsidRDefault="00000000">
            <w:pPr>
              <w:pStyle w:val="Compact"/>
            </w:pPr>
            <w:r>
              <w:t>E1</w:t>
            </w:r>
          </w:p>
        </w:tc>
        <w:tc>
          <w:tcPr>
            <w:tcW w:w="0" w:type="auto"/>
          </w:tcPr>
          <w:p w14:paraId="0D0AF993" w14:textId="77777777" w:rsidR="004B4AA5" w:rsidRDefault="00000000">
            <w:pPr>
              <w:pStyle w:val="Compact"/>
            </w:pPr>
            <w:r>
              <w:t>B50 per-person burden: status quo vs. replacement scenarios</w:t>
            </w:r>
          </w:p>
        </w:tc>
      </w:tr>
      <w:tr w:rsidR="004B4AA5" w14:paraId="0D0AF997" w14:textId="77777777">
        <w:tc>
          <w:tcPr>
            <w:tcW w:w="0" w:type="auto"/>
          </w:tcPr>
          <w:p w14:paraId="0D0AF995" w14:textId="77777777" w:rsidR="004B4AA5" w:rsidRDefault="00000000">
            <w:pPr>
              <w:pStyle w:val="Compact"/>
            </w:pPr>
            <w:r>
              <w:t>E2</w:t>
            </w:r>
          </w:p>
        </w:tc>
        <w:tc>
          <w:tcPr>
            <w:tcW w:w="0" w:type="auto"/>
          </w:tcPr>
          <w:p w14:paraId="0D0AF996" w14:textId="77777777" w:rsidR="004B4AA5" w:rsidRDefault="00000000">
            <w:pPr>
              <w:pStyle w:val="Compact"/>
            </w:pPr>
            <w:r>
              <w:t>Price stickiness incidence flow diagram</w:t>
            </w:r>
          </w:p>
        </w:tc>
      </w:tr>
      <w:tr w:rsidR="004B4AA5" w14:paraId="0D0AF99A" w14:textId="77777777">
        <w:tc>
          <w:tcPr>
            <w:tcW w:w="0" w:type="auto"/>
          </w:tcPr>
          <w:p w14:paraId="0D0AF998" w14:textId="77777777" w:rsidR="004B4AA5" w:rsidRDefault="00000000">
            <w:pPr>
              <w:pStyle w:val="Compact"/>
            </w:pPr>
            <w:r>
              <w:t>E3</w:t>
            </w:r>
          </w:p>
        </w:tc>
        <w:tc>
          <w:tcPr>
            <w:tcW w:w="0" w:type="auto"/>
          </w:tcPr>
          <w:p w14:paraId="0D0AF999" w14:textId="77777777" w:rsidR="004B4AA5" w:rsidRDefault="00000000">
            <w:pPr>
              <w:pStyle w:val="Compact"/>
            </w:pPr>
            <w:r>
              <w:t>Sensitivity range and welfare impact</w:t>
            </w:r>
          </w:p>
        </w:tc>
      </w:tr>
    </w:tbl>
    <w:p w14:paraId="0D0AF99B" w14:textId="77777777" w:rsidR="004B4AA5" w:rsidRDefault="00000000">
      <w:r>
        <w:pict w14:anchorId="0D0AFA68">
          <v:rect id="_x0000_i1041" style="width:0;height:1.5pt" o:hralign="center" o:hrstd="t" o:hr="t"/>
        </w:pict>
      </w:r>
    </w:p>
    <w:p w14:paraId="0D0AF99C" w14:textId="77777777" w:rsidR="004B4AA5" w:rsidRDefault="00000000">
      <w:pPr>
        <w:pStyle w:val="Heading2"/>
      </w:pPr>
      <w:bookmarkStart w:id="92" w:name="appendix-f-data-sources-and-replication"/>
      <w:bookmarkStart w:id="93" w:name="_Toc223873464"/>
      <w:bookmarkEnd w:id="82"/>
      <w:bookmarkEnd w:id="90"/>
      <w:r>
        <w:t>Appendix F: Data Sources and Replication</w:t>
      </w:r>
      <w:bookmarkEnd w:id="93"/>
    </w:p>
    <w:tbl>
      <w:tblPr>
        <w:tblStyle w:val="Table"/>
        <w:tblW w:w="5000" w:type="pct"/>
        <w:tblLayout w:type="fixed"/>
        <w:tblLook w:val="0020" w:firstRow="1" w:lastRow="0" w:firstColumn="0" w:lastColumn="0" w:noHBand="0" w:noVBand="0"/>
      </w:tblPr>
      <w:tblGrid>
        <w:gridCol w:w="2736"/>
        <w:gridCol w:w="4446"/>
        <w:gridCol w:w="2394"/>
      </w:tblGrid>
      <w:tr w:rsidR="004B4AA5" w14:paraId="0D0AF9A0"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2262" w:type="dxa"/>
          </w:tcPr>
          <w:p w14:paraId="0D0AF99D" w14:textId="77777777" w:rsidR="004B4AA5" w:rsidRDefault="00000000">
            <w:pPr>
              <w:pStyle w:val="Compact"/>
            </w:pPr>
            <w:r>
              <w:t>Source</w:t>
            </w:r>
          </w:p>
        </w:tc>
        <w:tc>
          <w:tcPr>
            <w:tcW w:w="3677" w:type="dxa"/>
          </w:tcPr>
          <w:p w14:paraId="0D0AF99E" w14:textId="77777777" w:rsidR="004B4AA5" w:rsidRDefault="00000000">
            <w:pPr>
              <w:pStyle w:val="Compact"/>
            </w:pPr>
            <w:r>
              <w:t>Access Method</w:t>
            </w:r>
          </w:p>
        </w:tc>
        <w:tc>
          <w:tcPr>
            <w:tcW w:w="1980" w:type="dxa"/>
          </w:tcPr>
          <w:p w14:paraId="0D0AF99F" w14:textId="77777777" w:rsidR="004B4AA5" w:rsidRDefault="00000000">
            <w:pPr>
              <w:pStyle w:val="Compact"/>
            </w:pPr>
            <w:r>
              <w:t>Files</w:t>
            </w:r>
          </w:p>
        </w:tc>
      </w:tr>
      <w:tr w:rsidR="004B4AA5" w14:paraId="0D0AF9A4" w14:textId="77777777">
        <w:tc>
          <w:tcPr>
            <w:tcW w:w="2262" w:type="dxa"/>
          </w:tcPr>
          <w:p w14:paraId="0D0AF9A1" w14:textId="77777777" w:rsidR="004B4AA5" w:rsidRDefault="00000000">
            <w:pPr>
              <w:pStyle w:val="Compact"/>
            </w:pPr>
            <w:r>
              <w:t>FRED (48 series)</w:t>
            </w:r>
          </w:p>
        </w:tc>
        <w:tc>
          <w:tcPr>
            <w:tcW w:w="3677" w:type="dxa"/>
          </w:tcPr>
          <w:p w14:paraId="0D0AF9A2" w14:textId="77777777" w:rsidR="004B4AA5" w:rsidRDefault="00000000">
            <w:pPr>
              <w:pStyle w:val="Compact"/>
            </w:pPr>
            <w:r>
              <w:t>fredapi Python</w:t>
            </w:r>
          </w:p>
        </w:tc>
        <w:tc>
          <w:tcPr>
            <w:tcW w:w="1980" w:type="dxa"/>
          </w:tcPr>
          <w:p w14:paraId="0D0AF9A3" w14:textId="77777777" w:rsidR="004B4AA5" w:rsidRDefault="00000000">
            <w:pPr>
              <w:pStyle w:val="Compact"/>
            </w:pPr>
            <w:r>
              <w:t>federal_budget.db</w:t>
            </w:r>
          </w:p>
        </w:tc>
      </w:tr>
      <w:tr w:rsidR="004B4AA5" w14:paraId="0D0AF9A8" w14:textId="77777777">
        <w:tc>
          <w:tcPr>
            <w:tcW w:w="2262" w:type="dxa"/>
          </w:tcPr>
          <w:p w14:paraId="0D0AF9A5" w14:textId="77777777" w:rsidR="004B4AA5" w:rsidRDefault="00000000">
            <w:pPr>
              <w:pStyle w:val="Compact"/>
            </w:pPr>
            <w:r>
              <w:t>Treasury MTS</w:t>
            </w:r>
          </w:p>
        </w:tc>
        <w:tc>
          <w:tcPr>
            <w:tcW w:w="3677" w:type="dxa"/>
          </w:tcPr>
          <w:p w14:paraId="0D0AF9A6" w14:textId="77777777" w:rsidR="004B4AA5" w:rsidRDefault="00000000">
            <w:pPr>
              <w:pStyle w:val="Compact"/>
            </w:pPr>
            <w:r>
              <w:t>Fiscal Data API</w:t>
            </w:r>
          </w:p>
        </w:tc>
        <w:tc>
          <w:tcPr>
            <w:tcW w:w="1980" w:type="dxa"/>
          </w:tcPr>
          <w:p w14:paraId="0D0AF9A7" w14:textId="77777777" w:rsidR="004B4AA5" w:rsidRDefault="00000000">
            <w:pPr>
              <w:pStyle w:val="Compact"/>
            </w:pPr>
            <w:r>
              <w:t>federal_budget.db</w:t>
            </w:r>
          </w:p>
        </w:tc>
      </w:tr>
      <w:tr w:rsidR="004B4AA5" w14:paraId="0D0AF9AC" w14:textId="77777777">
        <w:tc>
          <w:tcPr>
            <w:tcW w:w="2262" w:type="dxa"/>
          </w:tcPr>
          <w:p w14:paraId="0D0AF9A9" w14:textId="77777777" w:rsidR="004B4AA5" w:rsidRDefault="00000000">
            <w:pPr>
              <w:pStyle w:val="Compact"/>
            </w:pPr>
            <w:r>
              <w:t>CBO Historical Budget</w:t>
            </w:r>
          </w:p>
        </w:tc>
        <w:tc>
          <w:tcPr>
            <w:tcW w:w="3677" w:type="dxa"/>
          </w:tcPr>
          <w:p w14:paraId="0D0AF9AA" w14:textId="77777777" w:rsidR="004B4AA5" w:rsidRDefault="00000000">
            <w:pPr>
              <w:pStyle w:val="Compact"/>
            </w:pPr>
            <w:r>
              <w:t>Manual + load_cbo_data.py</w:t>
            </w:r>
          </w:p>
        </w:tc>
        <w:tc>
          <w:tcPr>
            <w:tcW w:w="1980" w:type="dxa"/>
          </w:tcPr>
          <w:p w14:paraId="0D0AF9AB" w14:textId="77777777" w:rsidR="004B4AA5" w:rsidRDefault="00000000">
            <w:pPr>
              <w:pStyle w:val="Compact"/>
            </w:pPr>
            <w:r>
              <w:t>federal_budget.db</w:t>
            </w:r>
          </w:p>
        </w:tc>
      </w:tr>
      <w:tr w:rsidR="004B4AA5" w14:paraId="0D0AF9B0" w14:textId="77777777">
        <w:tc>
          <w:tcPr>
            <w:tcW w:w="2262" w:type="dxa"/>
          </w:tcPr>
          <w:p w14:paraId="0D0AF9AD" w14:textId="77777777" w:rsidR="004B4AA5" w:rsidRDefault="00000000">
            <w:pPr>
              <w:pStyle w:val="Compact"/>
            </w:pPr>
            <w:r>
              <w:t>CPS ASEC 2024</w:t>
            </w:r>
          </w:p>
        </w:tc>
        <w:tc>
          <w:tcPr>
            <w:tcW w:w="3677" w:type="dxa"/>
          </w:tcPr>
          <w:p w14:paraId="0D0AF9AE" w14:textId="77777777" w:rsidR="004B4AA5" w:rsidRDefault="00000000">
            <w:pPr>
              <w:pStyle w:val="Compact"/>
            </w:pPr>
            <w:r>
              <w:t>Census Bureau API</w:t>
            </w:r>
          </w:p>
        </w:tc>
        <w:tc>
          <w:tcPr>
            <w:tcW w:w="1980" w:type="dxa"/>
          </w:tcPr>
          <w:p w14:paraId="0D0AF9AF" w14:textId="77777777" w:rsidR="004B4AA5" w:rsidRDefault="00000000">
            <w:pPr>
              <w:pStyle w:val="Compact"/>
            </w:pPr>
            <w:r>
              <w:t>cps_asec_2024_microdata.csv</w:t>
            </w:r>
          </w:p>
        </w:tc>
      </w:tr>
      <w:tr w:rsidR="004B4AA5" w14:paraId="0D0AF9B4" w14:textId="77777777">
        <w:tc>
          <w:tcPr>
            <w:tcW w:w="2262" w:type="dxa"/>
          </w:tcPr>
          <w:p w14:paraId="0D0AF9B1" w14:textId="77777777" w:rsidR="004B4AA5" w:rsidRDefault="00000000">
            <w:pPr>
              <w:pStyle w:val="Compact"/>
            </w:pPr>
            <w:r>
              <w:t>CPS ASEC Historical (8 yrs)</w:t>
            </w:r>
          </w:p>
        </w:tc>
        <w:tc>
          <w:tcPr>
            <w:tcW w:w="3677" w:type="dxa"/>
          </w:tcPr>
          <w:p w14:paraId="0D0AF9B2" w14:textId="77777777" w:rsidR="004B4AA5" w:rsidRDefault="00000000">
            <w:pPr>
              <w:pStyle w:val="Compact"/>
            </w:pPr>
            <w:r>
              <w:t>Census Bureau API</w:t>
            </w:r>
          </w:p>
        </w:tc>
        <w:tc>
          <w:tcPr>
            <w:tcW w:w="1980" w:type="dxa"/>
          </w:tcPr>
          <w:p w14:paraId="0D0AF9B3" w14:textId="77777777" w:rsidR="004B4AA5" w:rsidRDefault="00000000">
            <w:pPr>
              <w:pStyle w:val="Compact"/>
            </w:pPr>
            <w:r>
              <w:t>cps_asec_historical_quintiles.csv</w:t>
            </w:r>
          </w:p>
        </w:tc>
      </w:tr>
      <w:tr w:rsidR="004B4AA5" w14:paraId="0D0AF9B8" w14:textId="77777777">
        <w:tc>
          <w:tcPr>
            <w:tcW w:w="2262" w:type="dxa"/>
          </w:tcPr>
          <w:p w14:paraId="0D0AF9B5" w14:textId="77777777" w:rsidR="004B4AA5" w:rsidRDefault="00000000">
            <w:pPr>
              <w:pStyle w:val="Compact"/>
            </w:pPr>
            <w:r>
              <w:t>Census H-2 (24 yrs)</w:t>
            </w:r>
          </w:p>
        </w:tc>
        <w:tc>
          <w:tcPr>
            <w:tcW w:w="3677" w:type="dxa"/>
          </w:tcPr>
          <w:p w14:paraId="0D0AF9B6" w14:textId="77777777" w:rsidR="004B4AA5" w:rsidRDefault="00000000">
            <w:pPr>
              <w:pStyle w:val="Compact"/>
            </w:pPr>
            <w:r>
              <w:t>Census Historical Income Tables</w:t>
            </w:r>
          </w:p>
        </w:tc>
        <w:tc>
          <w:tcPr>
            <w:tcW w:w="1980" w:type="dxa"/>
          </w:tcPr>
          <w:p w14:paraId="0D0AF9B7" w14:textId="77777777" w:rsidR="004B4AA5" w:rsidRDefault="00000000">
            <w:pPr>
              <w:pStyle w:val="Compact"/>
            </w:pPr>
            <w:r>
              <w:t>census_income_quintiles.csv</w:t>
            </w:r>
          </w:p>
        </w:tc>
      </w:tr>
      <w:tr w:rsidR="004B4AA5" w14:paraId="0D0AF9BC" w14:textId="77777777">
        <w:tc>
          <w:tcPr>
            <w:tcW w:w="2262" w:type="dxa"/>
          </w:tcPr>
          <w:p w14:paraId="0D0AF9B9" w14:textId="77777777" w:rsidR="004B4AA5" w:rsidRDefault="00000000">
            <w:pPr>
              <w:pStyle w:val="Compact"/>
            </w:pPr>
            <w:r>
              <w:t>BLS CEX 2023</w:t>
            </w:r>
          </w:p>
        </w:tc>
        <w:tc>
          <w:tcPr>
            <w:tcW w:w="3677" w:type="dxa"/>
          </w:tcPr>
          <w:p w14:paraId="0D0AF9BA" w14:textId="77777777" w:rsidR="004B4AA5" w:rsidRDefault="00000000">
            <w:pPr>
              <w:pStyle w:val="Compact"/>
            </w:pPr>
            <w:r>
              <w:t>Table 1101</w:t>
            </w:r>
          </w:p>
        </w:tc>
        <w:tc>
          <w:tcPr>
            <w:tcW w:w="1980" w:type="dxa"/>
          </w:tcPr>
          <w:p w14:paraId="0D0AF9BB" w14:textId="77777777" w:rsidR="004B4AA5" w:rsidRDefault="00000000">
            <w:pPr>
              <w:pStyle w:val="Compact"/>
            </w:pPr>
            <w:r>
              <w:t>run_tariff_incidence_analysis.py</w:t>
            </w:r>
          </w:p>
        </w:tc>
      </w:tr>
    </w:tbl>
    <w:p w14:paraId="0D0AF9BD" w14:textId="2B6B295B" w:rsidR="004B4AA5" w:rsidRDefault="00000000">
      <w:pPr>
        <w:pStyle w:val="BodyText"/>
      </w:pPr>
      <w:r>
        <w:t xml:space="preserve">All scripts available at </w:t>
      </w:r>
      <w:hyperlink r:id="rId5">
        <w:r>
          <w:rPr>
            <w:rStyle w:val="Hyperlink"/>
          </w:rPr>
          <w:t>github.com/</w:t>
        </w:r>
        <w:proofErr w:type="spellStart"/>
        <w:r>
          <w:rPr>
            <w:rStyle w:val="Hyperlink"/>
          </w:rPr>
          <w:t>andsalazar</w:t>
        </w:r>
        <w:proofErr w:type="spellEnd"/>
        <w:r>
          <w:rPr>
            <w:rStyle w:val="Hyperlink"/>
          </w:rPr>
          <w:t>/</w:t>
        </w:r>
        <w:proofErr w:type="spellStart"/>
        <w:r>
          <w:rPr>
            <w:rStyle w:val="Hyperlink"/>
          </w:rPr>
          <w:t>FederalBudgetAnalysis</w:t>
        </w:r>
        <w:proofErr w:type="spellEnd"/>
      </w:hyperlink>
      <w:r>
        <w:t>.</w:t>
      </w:r>
    </w:p>
    <w:p w14:paraId="0D0AF9BE" w14:textId="77777777" w:rsidR="004B4AA5" w:rsidRDefault="00000000">
      <w:r>
        <w:pict w14:anchorId="0D0AFA69">
          <v:rect id="_x0000_i1042" style="width:0;height:1.5pt" o:hralign="center" o:hrstd="t" o:hr="t"/>
        </w:pict>
      </w:r>
    </w:p>
    <w:p w14:paraId="0D0AF9BF" w14:textId="77777777" w:rsidR="004B4AA5" w:rsidRDefault="00000000">
      <w:pPr>
        <w:pStyle w:val="Heading3"/>
      </w:pPr>
      <w:bookmarkStart w:id="94" w:name="X2bc8818d98e0cd11637e8ed3b4034a6c77629d7"/>
      <w:bookmarkStart w:id="95" w:name="_Toc223873465"/>
      <w:r>
        <w:t>G.1 Structural Break and 26-Year Trend Figures</w:t>
      </w:r>
      <w:bookmarkEnd w:id="95"/>
    </w:p>
    <w:tbl>
      <w:tblPr>
        <w:tblStyle w:val="Table"/>
        <w:tblW w:w="0" w:type="auto"/>
        <w:tblLook w:val="0020" w:firstRow="1" w:lastRow="0" w:firstColumn="0" w:lastColumn="0" w:noHBand="0" w:noVBand="0"/>
      </w:tblPr>
      <w:tblGrid>
        <w:gridCol w:w="857"/>
        <w:gridCol w:w="6227"/>
      </w:tblGrid>
      <w:tr w:rsidR="004B4AA5" w14:paraId="0D0AF9C2"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0" w:type="auto"/>
          </w:tcPr>
          <w:p w14:paraId="0D0AF9C0" w14:textId="77777777" w:rsidR="004B4AA5" w:rsidRDefault="00000000">
            <w:pPr>
              <w:pStyle w:val="Compact"/>
            </w:pPr>
            <w:r>
              <w:t>Figure</w:t>
            </w:r>
          </w:p>
        </w:tc>
        <w:tc>
          <w:tcPr>
            <w:tcW w:w="0" w:type="auto"/>
          </w:tcPr>
          <w:p w14:paraId="0D0AF9C1" w14:textId="77777777" w:rsidR="004B4AA5" w:rsidRDefault="00000000">
            <w:pPr>
              <w:pStyle w:val="Compact"/>
            </w:pPr>
            <w:r>
              <w:t>Description</w:t>
            </w:r>
          </w:p>
        </w:tc>
      </w:tr>
      <w:tr w:rsidR="004B4AA5" w14:paraId="0D0AF9C5" w14:textId="77777777">
        <w:tc>
          <w:tcPr>
            <w:tcW w:w="0" w:type="auto"/>
          </w:tcPr>
          <w:p w14:paraId="0D0AF9C3" w14:textId="77777777" w:rsidR="004B4AA5" w:rsidRDefault="00000000">
            <w:pPr>
              <w:pStyle w:val="Compact"/>
            </w:pPr>
            <w:r>
              <w:t>1</w:t>
            </w:r>
          </w:p>
        </w:tc>
        <w:tc>
          <w:tcPr>
            <w:tcW w:w="0" w:type="auto"/>
          </w:tcPr>
          <w:p w14:paraId="0D0AF9C4" w14:textId="77777777" w:rsidR="004B4AA5" w:rsidRDefault="00000000">
            <w:pPr>
              <w:pStyle w:val="Compact"/>
            </w:pPr>
            <w:r>
              <w:t>Structural break tests: actual vs. trend-predicted (4-panel)</w:t>
            </w:r>
          </w:p>
        </w:tc>
      </w:tr>
      <w:tr w:rsidR="004B4AA5" w14:paraId="0D0AF9C8" w14:textId="77777777">
        <w:tc>
          <w:tcPr>
            <w:tcW w:w="0" w:type="auto"/>
          </w:tcPr>
          <w:p w14:paraId="0D0AF9C6" w14:textId="77777777" w:rsidR="004B4AA5" w:rsidRDefault="00000000">
            <w:pPr>
              <w:pStyle w:val="Compact"/>
            </w:pPr>
            <w:r>
              <w:t>2</w:t>
            </w:r>
          </w:p>
        </w:tc>
        <w:tc>
          <w:tcPr>
            <w:tcW w:w="0" w:type="auto"/>
          </w:tcPr>
          <w:p w14:paraId="0D0AF9C7" w14:textId="77777777" w:rsidR="004B4AA5" w:rsidRDefault="00000000">
            <w:pPr>
              <w:pStyle w:val="Compact"/>
            </w:pPr>
            <w:r>
              <w:t>Customs revenue trajectory with tariff regime markers</w:t>
            </w:r>
          </w:p>
        </w:tc>
      </w:tr>
      <w:tr w:rsidR="004B4AA5" w14:paraId="0D0AF9CB" w14:textId="77777777">
        <w:tc>
          <w:tcPr>
            <w:tcW w:w="0" w:type="auto"/>
          </w:tcPr>
          <w:p w14:paraId="0D0AF9C9" w14:textId="77777777" w:rsidR="004B4AA5" w:rsidRDefault="00000000">
            <w:pPr>
              <w:pStyle w:val="Compact"/>
            </w:pPr>
            <w:r>
              <w:t>3</w:t>
            </w:r>
          </w:p>
        </w:tc>
        <w:tc>
          <w:tcPr>
            <w:tcW w:w="0" w:type="auto"/>
          </w:tcPr>
          <w:p w14:paraId="0D0AF9CA" w14:textId="77777777" w:rsidR="004B4AA5" w:rsidRDefault="00000000">
            <w:pPr>
              <w:pStyle w:val="Compact"/>
            </w:pPr>
            <w:r>
              <w:t>Interest vs. safety-net spending (25-year)</w:t>
            </w:r>
          </w:p>
        </w:tc>
      </w:tr>
      <w:tr w:rsidR="004B4AA5" w14:paraId="0D0AF9CE" w14:textId="77777777">
        <w:tc>
          <w:tcPr>
            <w:tcW w:w="0" w:type="auto"/>
          </w:tcPr>
          <w:p w14:paraId="0D0AF9CC" w14:textId="77777777" w:rsidR="004B4AA5" w:rsidRDefault="00000000">
            <w:pPr>
              <w:pStyle w:val="Compact"/>
            </w:pPr>
            <w:r>
              <w:t>4</w:t>
            </w:r>
          </w:p>
        </w:tc>
        <w:tc>
          <w:tcPr>
            <w:tcW w:w="0" w:type="auto"/>
          </w:tcPr>
          <w:p w14:paraId="0D0AF9CD" w14:textId="77777777" w:rsidR="004B4AA5" w:rsidRDefault="00000000">
            <w:pPr>
              <w:pStyle w:val="Compact"/>
            </w:pPr>
            <w:r>
              <w:t>Revenue composition shares (stacked, FY2000–2025)</w:t>
            </w:r>
          </w:p>
        </w:tc>
      </w:tr>
      <w:tr w:rsidR="004B4AA5" w14:paraId="0D0AF9D1" w14:textId="77777777">
        <w:tc>
          <w:tcPr>
            <w:tcW w:w="0" w:type="auto"/>
          </w:tcPr>
          <w:p w14:paraId="0D0AF9CF" w14:textId="77777777" w:rsidR="004B4AA5" w:rsidRDefault="00000000">
            <w:pPr>
              <w:pStyle w:val="Compact"/>
            </w:pPr>
            <w:r>
              <w:t>5</w:t>
            </w:r>
          </w:p>
        </w:tc>
        <w:tc>
          <w:tcPr>
            <w:tcW w:w="0" w:type="auto"/>
          </w:tcPr>
          <w:p w14:paraId="0D0AF9D0" w14:textId="77777777" w:rsidR="004B4AA5" w:rsidRDefault="00000000">
            <w:pPr>
              <w:pStyle w:val="Compact"/>
            </w:pPr>
            <w:r>
              <w:t>Income inequality evolution (Census quintile shares)</w:t>
            </w:r>
          </w:p>
        </w:tc>
      </w:tr>
    </w:tbl>
    <w:p w14:paraId="0D0AF9D2" w14:textId="77777777" w:rsidR="004B4AA5" w:rsidRDefault="00000000">
      <w:pPr>
        <w:pStyle w:val="Heading3"/>
      </w:pPr>
      <w:bookmarkStart w:id="96" w:name="g.2-distributional-impact-figures"/>
      <w:bookmarkStart w:id="97" w:name="_Toc223873466"/>
      <w:bookmarkEnd w:id="94"/>
      <w:r>
        <w:t>G.2 Distributional Impact Figures</w:t>
      </w:r>
      <w:bookmarkEnd w:id="97"/>
    </w:p>
    <w:tbl>
      <w:tblPr>
        <w:tblStyle w:val="Table"/>
        <w:tblW w:w="0" w:type="auto"/>
        <w:tblLook w:val="0020" w:firstRow="1" w:lastRow="0" w:firstColumn="0" w:lastColumn="0" w:noHBand="0" w:noVBand="0"/>
      </w:tblPr>
      <w:tblGrid>
        <w:gridCol w:w="857"/>
        <w:gridCol w:w="6326"/>
      </w:tblGrid>
      <w:tr w:rsidR="004B4AA5" w14:paraId="0D0AF9D5"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0" w:type="auto"/>
          </w:tcPr>
          <w:p w14:paraId="0D0AF9D3" w14:textId="77777777" w:rsidR="004B4AA5" w:rsidRDefault="00000000">
            <w:pPr>
              <w:pStyle w:val="Compact"/>
            </w:pPr>
            <w:r>
              <w:t>Figure</w:t>
            </w:r>
          </w:p>
        </w:tc>
        <w:tc>
          <w:tcPr>
            <w:tcW w:w="0" w:type="auto"/>
          </w:tcPr>
          <w:p w14:paraId="0D0AF9D4" w14:textId="77777777" w:rsidR="004B4AA5" w:rsidRDefault="00000000">
            <w:pPr>
              <w:pStyle w:val="Compact"/>
            </w:pPr>
            <w:r>
              <w:t>Description</w:t>
            </w:r>
          </w:p>
        </w:tc>
      </w:tr>
      <w:tr w:rsidR="004B4AA5" w14:paraId="0D0AF9D8" w14:textId="77777777">
        <w:tc>
          <w:tcPr>
            <w:tcW w:w="0" w:type="auto"/>
          </w:tcPr>
          <w:p w14:paraId="0D0AF9D6" w14:textId="77777777" w:rsidR="004B4AA5" w:rsidRDefault="00000000">
            <w:pPr>
              <w:pStyle w:val="Compact"/>
            </w:pPr>
            <w:r>
              <w:t>6</w:t>
            </w:r>
          </w:p>
        </w:tc>
        <w:tc>
          <w:tcPr>
            <w:tcW w:w="0" w:type="auto"/>
          </w:tcPr>
          <w:p w14:paraId="0D0AF9D7" w14:textId="77777777" w:rsidR="004B4AA5" w:rsidRDefault="00000000">
            <w:pPr>
              <w:pStyle w:val="Compact"/>
            </w:pPr>
            <w:r>
              <w:t>Distributional impact by quintile (spending cuts + tariff)</w:t>
            </w:r>
          </w:p>
        </w:tc>
      </w:tr>
      <w:tr w:rsidR="004B4AA5" w14:paraId="0D0AF9DB" w14:textId="77777777">
        <w:tc>
          <w:tcPr>
            <w:tcW w:w="0" w:type="auto"/>
          </w:tcPr>
          <w:p w14:paraId="0D0AF9D9" w14:textId="77777777" w:rsidR="004B4AA5" w:rsidRDefault="00000000">
            <w:pPr>
              <w:pStyle w:val="Compact"/>
            </w:pPr>
            <w:r>
              <w:t>7</w:t>
            </w:r>
          </w:p>
        </w:tc>
        <w:tc>
          <w:tcPr>
            <w:tcW w:w="0" w:type="auto"/>
          </w:tcPr>
          <w:p w14:paraId="0D0AF9DA" w14:textId="77777777" w:rsidR="004B4AA5" w:rsidRDefault="00000000">
            <w:pPr>
              <w:pStyle w:val="Compact"/>
            </w:pPr>
            <w:r>
              <w:t>Burden decomposition by income percentile (stacked area)</w:t>
            </w:r>
          </w:p>
        </w:tc>
      </w:tr>
      <w:tr w:rsidR="004B4AA5" w14:paraId="0D0AF9DE" w14:textId="77777777">
        <w:tc>
          <w:tcPr>
            <w:tcW w:w="0" w:type="auto"/>
          </w:tcPr>
          <w:p w14:paraId="0D0AF9DC" w14:textId="77777777" w:rsidR="004B4AA5" w:rsidRDefault="00000000">
            <w:pPr>
              <w:pStyle w:val="Compact"/>
            </w:pPr>
            <w:r>
              <w:t>8</w:t>
            </w:r>
          </w:p>
        </w:tc>
        <w:tc>
          <w:tcPr>
            <w:tcW w:w="0" w:type="auto"/>
          </w:tcPr>
          <w:p w14:paraId="0D0AF9DD" w14:textId="77777777" w:rsidR="004B4AA5" w:rsidRDefault="00000000">
            <w:pPr>
              <w:pStyle w:val="Compact"/>
            </w:pPr>
            <w:r>
              <w:t>Tariff pass-through: traded goods vs. services control</w:t>
            </w:r>
          </w:p>
        </w:tc>
      </w:tr>
      <w:tr w:rsidR="004B4AA5" w14:paraId="0D0AF9E1" w14:textId="77777777">
        <w:tc>
          <w:tcPr>
            <w:tcW w:w="0" w:type="auto"/>
          </w:tcPr>
          <w:p w14:paraId="0D0AF9DF" w14:textId="77777777" w:rsidR="004B4AA5" w:rsidRDefault="00000000">
            <w:pPr>
              <w:pStyle w:val="Compact"/>
            </w:pPr>
            <w:r>
              <w:lastRenderedPageBreak/>
              <w:t>9</w:t>
            </w:r>
          </w:p>
        </w:tc>
        <w:tc>
          <w:tcPr>
            <w:tcW w:w="0" w:type="auto"/>
          </w:tcPr>
          <w:p w14:paraId="0D0AF9E0" w14:textId="77777777" w:rsidR="004B4AA5" w:rsidRDefault="00000000">
            <w:pPr>
              <w:pStyle w:val="Compact"/>
            </w:pPr>
            <w:r>
              <w:t>CPI price changes in tariff-affected goods</w:t>
            </w:r>
          </w:p>
        </w:tc>
      </w:tr>
      <w:tr w:rsidR="004B4AA5" w14:paraId="0D0AF9E4" w14:textId="77777777">
        <w:tc>
          <w:tcPr>
            <w:tcW w:w="0" w:type="auto"/>
          </w:tcPr>
          <w:p w14:paraId="0D0AF9E2" w14:textId="77777777" w:rsidR="004B4AA5" w:rsidRDefault="00000000">
            <w:pPr>
              <w:pStyle w:val="Compact"/>
            </w:pPr>
            <w:r>
              <w:t>10</w:t>
            </w:r>
          </w:p>
        </w:tc>
        <w:tc>
          <w:tcPr>
            <w:tcW w:w="0" w:type="auto"/>
          </w:tcPr>
          <w:p w14:paraId="0D0AF9E3" w14:textId="77777777" w:rsidR="004B4AA5" w:rsidRDefault="00000000">
            <w:pPr>
              <w:pStyle w:val="Compact"/>
            </w:pPr>
            <w:r>
              <w:t>Tariff burden by quintile (absolute + % of income)</w:t>
            </w:r>
          </w:p>
        </w:tc>
      </w:tr>
      <w:tr w:rsidR="004B4AA5" w14:paraId="0D0AF9E7" w14:textId="77777777">
        <w:tc>
          <w:tcPr>
            <w:tcW w:w="0" w:type="auto"/>
          </w:tcPr>
          <w:p w14:paraId="0D0AF9E5" w14:textId="77777777" w:rsidR="004B4AA5" w:rsidRDefault="00000000">
            <w:pPr>
              <w:pStyle w:val="Compact"/>
            </w:pPr>
            <w:r>
              <w:t>11</w:t>
            </w:r>
          </w:p>
        </w:tc>
        <w:tc>
          <w:tcPr>
            <w:tcW w:w="0" w:type="auto"/>
          </w:tcPr>
          <w:p w14:paraId="0D0AF9E6" w14:textId="77777777" w:rsidR="004B4AA5" w:rsidRDefault="00000000">
            <w:pPr>
              <w:pStyle w:val="Compact"/>
            </w:pPr>
            <w:r>
              <w:t>CBO counterfactual waterfall</w:t>
            </w:r>
          </w:p>
        </w:tc>
      </w:tr>
    </w:tbl>
    <w:p w14:paraId="0D0AF9E8" w14:textId="77777777" w:rsidR="004B4AA5" w:rsidRDefault="00000000">
      <w:pPr>
        <w:pStyle w:val="Heading3"/>
      </w:pPr>
      <w:bookmarkStart w:id="98" w:name="g.3-robustness-figures"/>
      <w:bookmarkStart w:id="99" w:name="_Toc223873467"/>
      <w:bookmarkEnd w:id="96"/>
      <w:r>
        <w:t>G.3 Robustness Figures</w:t>
      </w:r>
      <w:bookmarkEnd w:id="99"/>
    </w:p>
    <w:tbl>
      <w:tblPr>
        <w:tblStyle w:val="Table"/>
        <w:tblW w:w="0" w:type="auto"/>
        <w:tblLook w:val="0020" w:firstRow="1" w:lastRow="0" w:firstColumn="0" w:lastColumn="0" w:noHBand="0" w:noVBand="0"/>
      </w:tblPr>
      <w:tblGrid>
        <w:gridCol w:w="857"/>
        <w:gridCol w:w="4997"/>
      </w:tblGrid>
      <w:tr w:rsidR="004B4AA5" w14:paraId="0D0AF9EB" w14:textId="77777777" w:rsidTr="004B4AA5">
        <w:trPr>
          <w:cnfStyle w:val="100000000000" w:firstRow="1" w:lastRow="0" w:firstColumn="0" w:lastColumn="0" w:oddVBand="0" w:evenVBand="0" w:oddHBand="0" w:evenHBand="0" w:firstRowFirstColumn="0" w:firstRowLastColumn="0" w:lastRowFirstColumn="0" w:lastRowLastColumn="0"/>
          <w:tblHeader/>
        </w:trPr>
        <w:tc>
          <w:tcPr>
            <w:tcW w:w="0" w:type="auto"/>
          </w:tcPr>
          <w:p w14:paraId="0D0AF9E9" w14:textId="77777777" w:rsidR="004B4AA5" w:rsidRDefault="00000000">
            <w:pPr>
              <w:pStyle w:val="Compact"/>
            </w:pPr>
            <w:r>
              <w:t>Figure</w:t>
            </w:r>
          </w:p>
        </w:tc>
        <w:tc>
          <w:tcPr>
            <w:tcW w:w="0" w:type="auto"/>
          </w:tcPr>
          <w:p w14:paraId="0D0AF9EA" w14:textId="77777777" w:rsidR="004B4AA5" w:rsidRDefault="00000000">
            <w:pPr>
              <w:pStyle w:val="Compact"/>
            </w:pPr>
            <w:r>
              <w:t>Description</w:t>
            </w:r>
          </w:p>
        </w:tc>
      </w:tr>
      <w:tr w:rsidR="004B4AA5" w14:paraId="0D0AF9EE" w14:textId="77777777">
        <w:tc>
          <w:tcPr>
            <w:tcW w:w="0" w:type="auto"/>
          </w:tcPr>
          <w:p w14:paraId="0D0AF9EC" w14:textId="77777777" w:rsidR="004B4AA5" w:rsidRDefault="00000000">
            <w:pPr>
              <w:pStyle w:val="Compact"/>
            </w:pPr>
            <w:r>
              <w:t>12</w:t>
            </w:r>
          </w:p>
        </w:tc>
        <w:tc>
          <w:tcPr>
            <w:tcW w:w="0" w:type="auto"/>
          </w:tcPr>
          <w:p w14:paraId="0D0AF9ED" w14:textId="77777777" w:rsidR="004B4AA5" w:rsidRDefault="00000000">
            <w:pPr>
              <w:pStyle w:val="Compact"/>
            </w:pPr>
            <w:r>
              <w:t>Specification curve (6 robustness dimensions)</w:t>
            </w:r>
          </w:p>
        </w:tc>
      </w:tr>
      <w:tr w:rsidR="004B4AA5" w14:paraId="0D0AF9F1" w14:textId="77777777">
        <w:tc>
          <w:tcPr>
            <w:tcW w:w="0" w:type="auto"/>
          </w:tcPr>
          <w:p w14:paraId="0D0AF9EF" w14:textId="77777777" w:rsidR="004B4AA5" w:rsidRDefault="00000000">
            <w:pPr>
              <w:pStyle w:val="Compact"/>
            </w:pPr>
            <w:r>
              <w:t>13</w:t>
            </w:r>
          </w:p>
        </w:tc>
        <w:tc>
          <w:tcPr>
            <w:tcW w:w="0" w:type="auto"/>
          </w:tcPr>
          <w:p w14:paraId="0D0AF9F0" w14:textId="77777777" w:rsidR="004B4AA5" w:rsidRDefault="00000000">
            <w:pPr>
              <w:pStyle w:val="Compact"/>
            </w:pPr>
            <w:r>
              <w:t>Structural break prediction bands (forest plot)</w:t>
            </w:r>
          </w:p>
        </w:tc>
      </w:tr>
      <w:tr w:rsidR="004B4AA5" w14:paraId="0D0AF9F4" w14:textId="77777777">
        <w:tc>
          <w:tcPr>
            <w:tcW w:w="0" w:type="auto"/>
          </w:tcPr>
          <w:p w14:paraId="0D0AF9F2" w14:textId="77777777" w:rsidR="004B4AA5" w:rsidRDefault="00000000">
            <w:pPr>
              <w:pStyle w:val="Compact"/>
            </w:pPr>
            <w:r>
              <w:t>14</w:t>
            </w:r>
          </w:p>
        </w:tc>
        <w:tc>
          <w:tcPr>
            <w:tcW w:w="0" w:type="auto"/>
          </w:tcPr>
          <w:p w14:paraId="0D0AF9F3" w14:textId="77777777" w:rsidR="004B4AA5" w:rsidRDefault="00000000">
            <w:pPr>
              <w:pStyle w:val="Compact"/>
            </w:pPr>
            <w:r>
              <w:t>B50 calibration diagram</w:t>
            </w:r>
          </w:p>
        </w:tc>
      </w:tr>
    </w:tbl>
    <w:p w14:paraId="0D0AF9F5" w14:textId="77777777" w:rsidR="004B4AA5" w:rsidRDefault="00000000">
      <w:pPr>
        <w:pStyle w:val="Heading3"/>
      </w:pPr>
      <w:bookmarkStart w:id="100" w:name="g.4-supplementary-figures"/>
      <w:bookmarkStart w:id="101" w:name="_Toc223873468"/>
      <w:bookmarkEnd w:id="98"/>
      <w:r>
        <w:t>G.4 Supplementary Figures</w:t>
      </w:r>
      <w:bookmarkEnd w:id="101"/>
    </w:p>
    <w:p w14:paraId="0D0AF9F6" w14:textId="77777777" w:rsidR="004B4AA5" w:rsidRDefault="00000000">
      <w:pPr>
        <w:pStyle w:val="FirstParagraph"/>
      </w:pPr>
      <w:r>
        <w:t>Figures 15–48: Descriptive budget visualizations, real-terms analysis, agency-level detail, historical B50 trends, SPM dose-response, state exposure maps, welfare analysis (log-scale). All figures are embedded in the PDF appendix; source data and scripts are available in the replication package.</w:t>
      </w:r>
    </w:p>
    <w:p w14:paraId="0D0AF9F7" w14:textId="77777777" w:rsidR="004B4AA5" w:rsidRDefault="00000000">
      <w:pPr>
        <w:pStyle w:val="Heading2"/>
      </w:pPr>
      <w:bookmarkStart w:id="102" w:name="appendix-g-figures"/>
      <w:bookmarkStart w:id="103" w:name="_Toc223873469"/>
      <w:bookmarkEnd w:id="92"/>
      <w:bookmarkEnd w:id="100"/>
      <w:r>
        <w:t>Appendix G: Figures</w:t>
      </w:r>
      <w:bookmarkEnd w:id="103"/>
    </w:p>
    <w:p w14:paraId="0D0AF9F8" w14:textId="77777777" w:rsidR="004B4AA5" w:rsidRDefault="00000000">
      <w:pPr>
        <w:pStyle w:val="CaptionedFigure"/>
      </w:pPr>
      <w:r>
        <w:rPr>
          <w:noProof/>
        </w:rPr>
        <w:drawing>
          <wp:inline distT="0" distB="0" distL="0" distR="0" wp14:anchorId="0D0AFA6A" wp14:editId="0D0AFA6B">
            <wp:extent cx="4800600" cy="3713405"/>
            <wp:effectExtent l="0" t="0" r="0" b="0"/>
            <wp:docPr id="62" name="Picture" descr="Structural break tests (4-panel: actual vs. trend)"/>
            <wp:cNvGraphicFramePr/>
            <a:graphic xmlns:a="http://schemas.openxmlformats.org/drawingml/2006/main">
              <a:graphicData uri="http://schemas.openxmlformats.org/drawingml/2006/picture">
                <pic:pic xmlns:pic="http://schemas.openxmlformats.org/drawingml/2006/picture">
                  <pic:nvPicPr>
                    <pic:cNvPr id="63" name="Picture" descr="figures/25yr_structural_breaks.png"/>
                    <pic:cNvPicPr>
                      <a:picLocks noChangeAspect="1" noChangeArrowheads="1"/>
                    </pic:cNvPicPr>
                  </pic:nvPicPr>
                  <pic:blipFill>
                    <a:blip r:embed="rId6"/>
                    <a:stretch>
                      <a:fillRect/>
                    </a:stretch>
                  </pic:blipFill>
                  <pic:spPr bwMode="auto">
                    <a:xfrm>
                      <a:off x="0" y="0"/>
                      <a:ext cx="4800600" cy="3713405"/>
                    </a:xfrm>
                    <a:prstGeom prst="rect">
                      <a:avLst/>
                    </a:prstGeom>
                    <a:noFill/>
                    <a:ln w="9525">
                      <a:noFill/>
                      <a:headEnd/>
                      <a:tailEnd/>
                    </a:ln>
                  </pic:spPr>
                </pic:pic>
              </a:graphicData>
            </a:graphic>
          </wp:inline>
        </w:drawing>
      </w:r>
    </w:p>
    <w:p w14:paraId="0D0AF9F9" w14:textId="77777777" w:rsidR="004B4AA5" w:rsidRDefault="00000000">
      <w:pPr>
        <w:pStyle w:val="ImageCaption"/>
      </w:pPr>
      <w:r>
        <w:t>Structural break tests (4-panel: actual vs. trend)</w:t>
      </w:r>
    </w:p>
    <w:p w14:paraId="0D0AF9FA" w14:textId="77777777" w:rsidR="004B4AA5" w:rsidRDefault="00000000">
      <w:pPr>
        <w:pStyle w:val="CaptionedFigure"/>
      </w:pPr>
      <w:r>
        <w:rPr>
          <w:noProof/>
        </w:rPr>
        <w:lastRenderedPageBreak/>
        <w:drawing>
          <wp:inline distT="0" distB="0" distL="0" distR="0" wp14:anchorId="0D0AFA6C" wp14:editId="0D0AFA6D">
            <wp:extent cx="4800600" cy="3427351"/>
            <wp:effectExtent l="0" t="0" r="0" b="0"/>
            <wp:docPr id="65" name="Picture" descr="Customs revenue trajectory (with tariff regime markers)"/>
            <wp:cNvGraphicFramePr/>
            <a:graphic xmlns:a="http://schemas.openxmlformats.org/drawingml/2006/main">
              <a:graphicData uri="http://schemas.openxmlformats.org/drawingml/2006/picture">
                <pic:pic xmlns:pic="http://schemas.openxmlformats.org/drawingml/2006/picture">
                  <pic:nvPicPr>
                    <pic:cNvPr id="66" name="Picture" descr="figures/25yr_customs_trajectory.png"/>
                    <pic:cNvPicPr>
                      <a:picLocks noChangeAspect="1" noChangeArrowheads="1"/>
                    </pic:cNvPicPr>
                  </pic:nvPicPr>
                  <pic:blipFill>
                    <a:blip r:embed="rId7"/>
                    <a:stretch>
                      <a:fillRect/>
                    </a:stretch>
                  </pic:blipFill>
                  <pic:spPr bwMode="auto">
                    <a:xfrm>
                      <a:off x="0" y="0"/>
                      <a:ext cx="4800600" cy="3427351"/>
                    </a:xfrm>
                    <a:prstGeom prst="rect">
                      <a:avLst/>
                    </a:prstGeom>
                    <a:noFill/>
                    <a:ln w="9525">
                      <a:noFill/>
                      <a:headEnd/>
                      <a:tailEnd/>
                    </a:ln>
                  </pic:spPr>
                </pic:pic>
              </a:graphicData>
            </a:graphic>
          </wp:inline>
        </w:drawing>
      </w:r>
    </w:p>
    <w:p w14:paraId="0D0AF9FB" w14:textId="77777777" w:rsidR="004B4AA5" w:rsidRDefault="00000000">
      <w:pPr>
        <w:pStyle w:val="ImageCaption"/>
      </w:pPr>
      <w:r>
        <w:t>Customs revenue trajectory (with tariff regime markers)</w:t>
      </w:r>
    </w:p>
    <w:p w14:paraId="0D0AF9FC" w14:textId="77777777" w:rsidR="004B4AA5" w:rsidRDefault="00000000">
      <w:pPr>
        <w:pStyle w:val="CaptionedFigure"/>
      </w:pPr>
      <w:r>
        <w:rPr>
          <w:noProof/>
        </w:rPr>
        <w:drawing>
          <wp:inline distT="0" distB="0" distL="0" distR="0" wp14:anchorId="0D0AFA6E" wp14:editId="0D0AFA6F">
            <wp:extent cx="4800600" cy="3415811"/>
            <wp:effectExtent l="0" t="0" r="0" b="0"/>
            <wp:docPr id="68" name="Picture" descr="Interest vs. safety-net spending (25-year trajectory)"/>
            <wp:cNvGraphicFramePr/>
            <a:graphic xmlns:a="http://schemas.openxmlformats.org/drawingml/2006/main">
              <a:graphicData uri="http://schemas.openxmlformats.org/drawingml/2006/picture">
                <pic:pic xmlns:pic="http://schemas.openxmlformats.org/drawingml/2006/picture">
                  <pic:nvPicPr>
                    <pic:cNvPr id="69" name="Picture" descr="figures/25yr_interest_vs_safetynet.png"/>
                    <pic:cNvPicPr>
                      <a:picLocks noChangeAspect="1" noChangeArrowheads="1"/>
                    </pic:cNvPicPr>
                  </pic:nvPicPr>
                  <pic:blipFill>
                    <a:blip r:embed="rId8"/>
                    <a:stretch>
                      <a:fillRect/>
                    </a:stretch>
                  </pic:blipFill>
                  <pic:spPr bwMode="auto">
                    <a:xfrm>
                      <a:off x="0" y="0"/>
                      <a:ext cx="4800600" cy="3415811"/>
                    </a:xfrm>
                    <a:prstGeom prst="rect">
                      <a:avLst/>
                    </a:prstGeom>
                    <a:noFill/>
                    <a:ln w="9525">
                      <a:noFill/>
                      <a:headEnd/>
                      <a:tailEnd/>
                    </a:ln>
                  </pic:spPr>
                </pic:pic>
              </a:graphicData>
            </a:graphic>
          </wp:inline>
        </w:drawing>
      </w:r>
    </w:p>
    <w:p w14:paraId="0D0AF9FD" w14:textId="77777777" w:rsidR="004B4AA5" w:rsidRDefault="00000000">
      <w:pPr>
        <w:pStyle w:val="ImageCaption"/>
      </w:pPr>
      <w:r>
        <w:t>Interest vs. safety-net spending (25-year trajectory)</w:t>
      </w:r>
    </w:p>
    <w:p w14:paraId="0D0AF9FE" w14:textId="77777777" w:rsidR="004B4AA5" w:rsidRDefault="00000000">
      <w:pPr>
        <w:pStyle w:val="CaptionedFigure"/>
      </w:pPr>
      <w:r>
        <w:rPr>
          <w:noProof/>
        </w:rPr>
        <w:lastRenderedPageBreak/>
        <w:drawing>
          <wp:inline distT="0" distB="0" distL="0" distR="0" wp14:anchorId="0D0AFA70" wp14:editId="0D0AFA71">
            <wp:extent cx="4800600" cy="2077570"/>
            <wp:effectExtent l="0" t="0" r="0" b="0"/>
            <wp:docPr id="71" name="Picture" descr="Revenue composition shares (stacked area, FY2000–2025)"/>
            <wp:cNvGraphicFramePr/>
            <a:graphic xmlns:a="http://schemas.openxmlformats.org/drawingml/2006/main">
              <a:graphicData uri="http://schemas.openxmlformats.org/drawingml/2006/picture">
                <pic:pic xmlns:pic="http://schemas.openxmlformats.org/drawingml/2006/picture">
                  <pic:nvPicPr>
                    <pic:cNvPr id="72" name="Picture" descr="figures/25yr_revenue_composition.png"/>
                    <pic:cNvPicPr>
                      <a:picLocks noChangeAspect="1" noChangeArrowheads="1"/>
                    </pic:cNvPicPr>
                  </pic:nvPicPr>
                  <pic:blipFill>
                    <a:blip r:embed="rId9"/>
                    <a:stretch>
                      <a:fillRect/>
                    </a:stretch>
                  </pic:blipFill>
                  <pic:spPr bwMode="auto">
                    <a:xfrm>
                      <a:off x="0" y="0"/>
                      <a:ext cx="4800600" cy="2077570"/>
                    </a:xfrm>
                    <a:prstGeom prst="rect">
                      <a:avLst/>
                    </a:prstGeom>
                    <a:noFill/>
                    <a:ln w="9525">
                      <a:noFill/>
                      <a:headEnd/>
                      <a:tailEnd/>
                    </a:ln>
                  </pic:spPr>
                </pic:pic>
              </a:graphicData>
            </a:graphic>
          </wp:inline>
        </w:drawing>
      </w:r>
    </w:p>
    <w:p w14:paraId="0D0AF9FF" w14:textId="77777777" w:rsidR="004B4AA5" w:rsidRDefault="00000000">
      <w:pPr>
        <w:pStyle w:val="ImageCaption"/>
      </w:pPr>
      <w:r>
        <w:t>Revenue composition shares (stacked area, FY2000–2025)</w:t>
      </w:r>
    </w:p>
    <w:p w14:paraId="0D0AFA00" w14:textId="77777777" w:rsidR="004B4AA5" w:rsidRDefault="00000000">
      <w:pPr>
        <w:pStyle w:val="CaptionedFigure"/>
      </w:pPr>
      <w:r>
        <w:rPr>
          <w:noProof/>
        </w:rPr>
        <w:drawing>
          <wp:inline distT="0" distB="0" distL="0" distR="0" wp14:anchorId="0D0AFA72" wp14:editId="0D0AFA73">
            <wp:extent cx="4800600" cy="3713405"/>
            <wp:effectExtent l="0" t="0" r="0" b="0"/>
            <wp:docPr id="74" name="Picture" descr="Income inequality evolution (Census quintile shares)"/>
            <wp:cNvGraphicFramePr/>
            <a:graphic xmlns:a="http://schemas.openxmlformats.org/drawingml/2006/main">
              <a:graphicData uri="http://schemas.openxmlformats.org/drawingml/2006/picture">
                <pic:pic xmlns:pic="http://schemas.openxmlformats.org/drawingml/2006/picture">
                  <pic:nvPicPr>
                    <pic:cNvPr id="75" name="Picture" descr="figures/25yr_inequality_evolution.png"/>
                    <pic:cNvPicPr>
                      <a:picLocks noChangeAspect="1" noChangeArrowheads="1"/>
                    </pic:cNvPicPr>
                  </pic:nvPicPr>
                  <pic:blipFill>
                    <a:blip r:embed="rId10"/>
                    <a:stretch>
                      <a:fillRect/>
                    </a:stretch>
                  </pic:blipFill>
                  <pic:spPr bwMode="auto">
                    <a:xfrm>
                      <a:off x="0" y="0"/>
                      <a:ext cx="4800600" cy="3713405"/>
                    </a:xfrm>
                    <a:prstGeom prst="rect">
                      <a:avLst/>
                    </a:prstGeom>
                    <a:noFill/>
                    <a:ln w="9525">
                      <a:noFill/>
                      <a:headEnd/>
                      <a:tailEnd/>
                    </a:ln>
                  </pic:spPr>
                </pic:pic>
              </a:graphicData>
            </a:graphic>
          </wp:inline>
        </w:drawing>
      </w:r>
    </w:p>
    <w:p w14:paraId="0D0AFA01" w14:textId="77777777" w:rsidR="004B4AA5" w:rsidRDefault="00000000">
      <w:pPr>
        <w:pStyle w:val="ImageCaption"/>
      </w:pPr>
      <w:r>
        <w:t>Income inequality evolution (Census quintile shares)</w:t>
      </w:r>
    </w:p>
    <w:p w14:paraId="0D0AFA02" w14:textId="77777777" w:rsidR="004B4AA5" w:rsidRDefault="00000000">
      <w:pPr>
        <w:pStyle w:val="CaptionedFigure"/>
      </w:pPr>
      <w:r>
        <w:rPr>
          <w:noProof/>
        </w:rPr>
        <w:lastRenderedPageBreak/>
        <w:drawing>
          <wp:inline distT="0" distB="0" distL="0" distR="0" wp14:anchorId="0D0AFA74" wp14:editId="0D0AFA75">
            <wp:extent cx="4800600" cy="2039591"/>
            <wp:effectExtent l="0" t="0" r="0" b="0"/>
            <wp:docPr id="77" name="Picture" descr="Distributional impact of FY2025 policy"/>
            <wp:cNvGraphicFramePr/>
            <a:graphic xmlns:a="http://schemas.openxmlformats.org/drawingml/2006/main">
              <a:graphicData uri="http://schemas.openxmlformats.org/drawingml/2006/picture">
                <pic:pic xmlns:pic="http://schemas.openxmlformats.org/drawingml/2006/picture">
                  <pic:nvPicPr>
                    <pic:cNvPr id="78" name="Picture" descr="figures/fig2_distributional_impact.png"/>
                    <pic:cNvPicPr>
                      <a:picLocks noChangeAspect="1" noChangeArrowheads="1"/>
                    </pic:cNvPicPr>
                  </pic:nvPicPr>
                  <pic:blipFill>
                    <a:blip r:embed="rId11"/>
                    <a:stretch>
                      <a:fillRect/>
                    </a:stretch>
                  </pic:blipFill>
                  <pic:spPr bwMode="auto">
                    <a:xfrm>
                      <a:off x="0" y="0"/>
                      <a:ext cx="4800600" cy="2039591"/>
                    </a:xfrm>
                    <a:prstGeom prst="rect">
                      <a:avLst/>
                    </a:prstGeom>
                    <a:noFill/>
                    <a:ln w="9525">
                      <a:noFill/>
                      <a:headEnd/>
                      <a:tailEnd/>
                    </a:ln>
                  </pic:spPr>
                </pic:pic>
              </a:graphicData>
            </a:graphic>
          </wp:inline>
        </w:drawing>
      </w:r>
    </w:p>
    <w:p w14:paraId="0D0AFA03" w14:textId="77777777" w:rsidR="004B4AA5" w:rsidRDefault="00000000">
      <w:pPr>
        <w:pStyle w:val="ImageCaption"/>
      </w:pPr>
      <w:r>
        <w:t>Distributional impact of FY2025 policy</w:t>
      </w:r>
    </w:p>
    <w:p w14:paraId="0D0AFA04" w14:textId="77777777" w:rsidR="004B4AA5" w:rsidRDefault="00000000">
      <w:pPr>
        <w:pStyle w:val="CaptionedFigure"/>
      </w:pPr>
      <w:r>
        <w:rPr>
          <w:noProof/>
        </w:rPr>
        <w:drawing>
          <wp:inline distT="0" distB="0" distL="0" distR="0" wp14:anchorId="0D0AFA76" wp14:editId="0D0AFA77">
            <wp:extent cx="4800600" cy="2633105"/>
            <wp:effectExtent l="0" t="0" r="0" b="0"/>
            <wp:docPr id="80" name="Picture" descr="Burden decomposition by income percentile (stacked area)"/>
            <wp:cNvGraphicFramePr/>
            <a:graphic xmlns:a="http://schemas.openxmlformats.org/drawingml/2006/main">
              <a:graphicData uri="http://schemas.openxmlformats.org/drawingml/2006/picture">
                <pic:pic xmlns:pic="http://schemas.openxmlformats.org/drawingml/2006/picture">
                  <pic:nvPicPr>
                    <pic:cNvPr id="81" name="Picture" descr="figures/fig11_burden_decomposition.png"/>
                    <pic:cNvPicPr>
                      <a:picLocks noChangeAspect="1" noChangeArrowheads="1"/>
                    </pic:cNvPicPr>
                  </pic:nvPicPr>
                  <pic:blipFill>
                    <a:blip r:embed="rId12"/>
                    <a:stretch>
                      <a:fillRect/>
                    </a:stretch>
                  </pic:blipFill>
                  <pic:spPr bwMode="auto">
                    <a:xfrm>
                      <a:off x="0" y="0"/>
                      <a:ext cx="4800600" cy="2633105"/>
                    </a:xfrm>
                    <a:prstGeom prst="rect">
                      <a:avLst/>
                    </a:prstGeom>
                    <a:noFill/>
                    <a:ln w="9525">
                      <a:noFill/>
                      <a:headEnd/>
                      <a:tailEnd/>
                    </a:ln>
                  </pic:spPr>
                </pic:pic>
              </a:graphicData>
            </a:graphic>
          </wp:inline>
        </w:drawing>
      </w:r>
    </w:p>
    <w:p w14:paraId="0D0AFA05" w14:textId="77777777" w:rsidR="004B4AA5" w:rsidRDefault="00000000">
      <w:pPr>
        <w:pStyle w:val="ImageCaption"/>
      </w:pPr>
      <w:r>
        <w:t>Burden decomposition by income percentile (stacked area)</w:t>
      </w:r>
    </w:p>
    <w:p w14:paraId="0D0AFA06" w14:textId="77777777" w:rsidR="004B4AA5" w:rsidRDefault="00000000">
      <w:pPr>
        <w:pStyle w:val="CaptionedFigure"/>
      </w:pPr>
      <w:r>
        <w:rPr>
          <w:noProof/>
        </w:rPr>
        <w:lastRenderedPageBreak/>
        <w:drawing>
          <wp:inline distT="0" distB="0" distL="0" distR="0" wp14:anchorId="0D0AFA78" wp14:editId="0D0AFA79">
            <wp:extent cx="4800600" cy="2484544"/>
            <wp:effectExtent l="0" t="0" r="0" b="0"/>
            <wp:docPr id="83" name="Picture" descr="Tariff pass-through: traded goods vs. services control"/>
            <wp:cNvGraphicFramePr/>
            <a:graphic xmlns:a="http://schemas.openxmlformats.org/drawingml/2006/main">
              <a:graphicData uri="http://schemas.openxmlformats.org/drawingml/2006/picture">
                <pic:pic xmlns:pic="http://schemas.openxmlformats.org/drawingml/2006/picture">
                  <pic:nvPicPr>
                    <pic:cNvPr id="84" name="Picture" descr="figures/fig13_services_price_acceleration.png"/>
                    <pic:cNvPicPr>
                      <a:picLocks noChangeAspect="1" noChangeArrowheads="1"/>
                    </pic:cNvPicPr>
                  </pic:nvPicPr>
                  <pic:blipFill>
                    <a:blip r:embed="rId13"/>
                    <a:stretch>
                      <a:fillRect/>
                    </a:stretch>
                  </pic:blipFill>
                  <pic:spPr bwMode="auto">
                    <a:xfrm>
                      <a:off x="0" y="0"/>
                      <a:ext cx="4800600" cy="2484544"/>
                    </a:xfrm>
                    <a:prstGeom prst="rect">
                      <a:avLst/>
                    </a:prstGeom>
                    <a:noFill/>
                    <a:ln w="9525">
                      <a:noFill/>
                      <a:headEnd/>
                      <a:tailEnd/>
                    </a:ln>
                  </pic:spPr>
                </pic:pic>
              </a:graphicData>
            </a:graphic>
          </wp:inline>
        </w:drawing>
      </w:r>
    </w:p>
    <w:p w14:paraId="0D0AFA07" w14:textId="77777777" w:rsidR="004B4AA5" w:rsidRDefault="00000000">
      <w:pPr>
        <w:pStyle w:val="ImageCaption"/>
      </w:pPr>
      <w:r>
        <w:t>Tariff pass-through: traded goods vs. services control</w:t>
      </w:r>
    </w:p>
    <w:p w14:paraId="0D0AFA08" w14:textId="77777777" w:rsidR="004B4AA5" w:rsidRDefault="00000000">
      <w:pPr>
        <w:pStyle w:val="CaptionedFigure"/>
      </w:pPr>
      <w:r>
        <w:rPr>
          <w:noProof/>
        </w:rPr>
        <w:drawing>
          <wp:inline distT="0" distB="0" distL="0" distR="0" wp14:anchorId="0D0AFA7A" wp14:editId="0D0AFA7B">
            <wp:extent cx="4800600" cy="2775389"/>
            <wp:effectExtent l="0" t="0" r="0" b="0"/>
            <wp:docPr id="86" name="Picture" descr="CPI price changes in tariff-affected goods"/>
            <wp:cNvGraphicFramePr/>
            <a:graphic xmlns:a="http://schemas.openxmlformats.org/drawingml/2006/main">
              <a:graphicData uri="http://schemas.openxmlformats.org/drawingml/2006/picture">
                <pic:pic xmlns:pic="http://schemas.openxmlformats.org/drawingml/2006/picture">
                  <pic:nvPicPr>
                    <pic:cNvPr id="87" name="Picture" descr="figures/fig7_tariff_price_changes.png"/>
                    <pic:cNvPicPr>
                      <a:picLocks noChangeAspect="1" noChangeArrowheads="1"/>
                    </pic:cNvPicPr>
                  </pic:nvPicPr>
                  <pic:blipFill>
                    <a:blip r:embed="rId14"/>
                    <a:stretch>
                      <a:fillRect/>
                    </a:stretch>
                  </pic:blipFill>
                  <pic:spPr bwMode="auto">
                    <a:xfrm>
                      <a:off x="0" y="0"/>
                      <a:ext cx="4800600" cy="2775389"/>
                    </a:xfrm>
                    <a:prstGeom prst="rect">
                      <a:avLst/>
                    </a:prstGeom>
                    <a:noFill/>
                    <a:ln w="9525">
                      <a:noFill/>
                      <a:headEnd/>
                      <a:tailEnd/>
                    </a:ln>
                  </pic:spPr>
                </pic:pic>
              </a:graphicData>
            </a:graphic>
          </wp:inline>
        </w:drawing>
      </w:r>
    </w:p>
    <w:p w14:paraId="0D0AFA09" w14:textId="77777777" w:rsidR="004B4AA5" w:rsidRDefault="00000000">
      <w:pPr>
        <w:pStyle w:val="ImageCaption"/>
      </w:pPr>
      <w:r>
        <w:t>CPI price changes in tariff-affected goods</w:t>
      </w:r>
    </w:p>
    <w:p w14:paraId="0D0AFA0A" w14:textId="77777777" w:rsidR="004B4AA5" w:rsidRDefault="00000000">
      <w:pPr>
        <w:pStyle w:val="CaptionedFigure"/>
      </w:pPr>
      <w:r>
        <w:rPr>
          <w:noProof/>
        </w:rPr>
        <w:lastRenderedPageBreak/>
        <w:drawing>
          <wp:inline distT="0" distB="0" distL="0" distR="0" wp14:anchorId="0D0AFA7C" wp14:editId="0D0AFA7D">
            <wp:extent cx="4800600" cy="2129754"/>
            <wp:effectExtent l="0" t="0" r="0" b="0"/>
            <wp:docPr id="89" name="Picture" descr="Tariff burden by income quintile"/>
            <wp:cNvGraphicFramePr/>
            <a:graphic xmlns:a="http://schemas.openxmlformats.org/drawingml/2006/main">
              <a:graphicData uri="http://schemas.openxmlformats.org/drawingml/2006/picture">
                <pic:pic xmlns:pic="http://schemas.openxmlformats.org/drawingml/2006/picture">
                  <pic:nvPicPr>
                    <pic:cNvPr id="90" name="Picture" descr="figures/fig8_tariff_burden_by_quintile.png"/>
                    <pic:cNvPicPr>
                      <a:picLocks noChangeAspect="1" noChangeArrowheads="1"/>
                    </pic:cNvPicPr>
                  </pic:nvPicPr>
                  <pic:blipFill>
                    <a:blip r:embed="rId15"/>
                    <a:stretch>
                      <a:fillRect/>
                    </a:stretch>
                  </pic:blipFill>
                  <pic:spPr bwMode="auto">
                    <a:xfrm>
                      <a:off x="0" y="0"/>
                      <a:ext cx="4800600" cy="2129754"/>
                    </a:xfrm>
                    <a:prstGeom prst="rect">
                      <a:avLst/>
                    </a:prstGeom>
                    <a:noFill/>
                    <a:ln w="9525">
                      <a:noFill/>
                      <a:headEnd/>
                      <a:tailEnd/>
                    </a:ln>
                  </pic:spPr>
                </pic:pic>
              </a:graphicData>
            </a:graphic>
          </wp:inline>
        </w:drawing>
      </w:r>
    </w:p>
    <w:p w14:paraId="0D0AFA0B" w14:textId="77777777" w:rsidR="004B4AA5" w:rsidRDefault="00000000">
      <w:pPr>
        <w:pStyle w:val="ImageCaption"/>
      </w:pPr>
      <w:r>
        <w:t>Tariff burden by income quintile</w:t>
      </w:r>
    </w:p>
    <w:p w14:paraId="0D0AFA0C" w14:textId="77777777" w:rsidR="004B4AA5" w:rsidRDefault="00000000">
      <w:pPr>
        <w:pStyle w:val="CaptionedFigure"/>
      </w:pPr>
      <w:r>
        <w:rPr>
          <w:noProof/>
        </w:rPr>
        <w:drawing>
          <wp:inline distT="0" distB="0" distL="0" distR="0" wp14:anchorId="0D0AFA7E" wp14:editId="0D0AFA7F">
            <wp:extent cx="4800600" cy="2128762"/>
            <wp:effectExtent l="0" t="0" r="0" b="0"/>
            <wp:docPr id="92" name="Picture" descr="CBO counterfactual waterfall (baseline to actual)"/>
            <wp:cNvGraphicFramePr/>
            <a:graphic xmlns:a="http://schemas.openxmlformats.org/drawingml/2006/main">
              <a:graphicData uri="http://schemas.openxmlformats.org/drawingml/2006/picture">
                <pic:pic xmlns:pic="http://schemas.openxmlformats.org/drawingml/2006/picture">
                  <pic:nvPicPr>
                    <pic:cNvPr id="93" name="Picture" descr="figures/fig16_counterfactual_waterfall.png"/>
                    <pic:cNvPicPr>
                      <a:picLocks noChangeAspect="1" noChangeArrowheads="1"/>
                    </pic:cNvPicPr>
                  </pic:nvPicPr>
                  <pic:blipFill>
                    <a:blip r:embed="rId16"/>
                    <a:stretch>
                      <a:fillRect/>
                    </a:stretch>
                  </pic:blipFill>
                  <pic:spPr bwMode="auto">
                    <a:xfrm>
                      <a:off x="0" y="0"/>
                      <a:ext cx="4800600" cy="2128762"/>
                    </a:xfrm>
                    <a:prstGeom prst="rect">
                      <a:avLst/>
                    </a:prstGeom>
                    <a:noFill/>
                    <a:ln w="9525">
                      <a:noFill/>
                      <a:headEnd/>
                      <a:tailEnd/>
                    </a:ln>
                  </pic:spPr>
                </pic:pic>
              </a:graphicData>
            </a:graphic>
          </wp:inline>
        </w:drawing>
      </w:r>
    </w:p>
    <w:p w14:paraId="0D0AFA0D" w14:textId="77777777" w:rsidR="004B4AA5" w:rsidRDefault="00000000">
      <w:pPr>
        <w:pStyle w:val="ImageCaption"/>
      </w:pPr>
      <w:r>
        <w:t>CBO counterfactual waterfall (baseline to actual)</w:t>
      </w:r>
    </w:p>
    <w:p w14:paraId="0D0AFA0E" w14:textId="77777777" w:rsidR="004B4AA5" w:rsidRDefault="00000000">
      <w:pPr>
        <w:pStyle w:val="CaptionedFigure"/>
      </w:pPr>
      <w:r>
        <w:rPr>
          <w:noProof/>
        </w:rPr>
        <w:drawing>
          <wp:inline distT="0" distB="0" distL="0" distR="0" wp14:anchorId="0D0AFA80" wp14:editId="0D0AFA81">
            <wp:extent cx="4800600" cy="2392272"/>
            <wp:effectExtent l="0" t="0" r="0" b="0"/>
            <wp:docPr id="95" name="Picture" descr="Robustness specification summary (6 dimensions)"/>
            <wp:cNvGraphicFramePr/>
            <a:graphic xmlns:a="http://schemas.openxmlformats.org/drawingml/2006/main">
              <a:graphicData uri="http://schemas.openxmlformats.org/drawingml/2006/picture">
                <pic:pic xmlns:pic="http://schemas.openxmlformats.org/drawingml/2006/picture">
                  <pic:nvPicPr>
                    <pic:cNvPr id="96" name="Picture" descr="figures/fig15_specification_curve.png"/>
                    <pic:cNvPicPr>
                      <a:picLocks noChangeAspect="1" noChangeArrowheads="1"/>
                    </pic:cNvPicPr>
                  </pic:nvPicPr>
                  <pic:blipFill>
                    <a:blip r:embed="rId17"/>
                    <a:stretch>
                      <a:fillRect/>
                    </a:stretch>
                  </pic:blipFill>
                  <pic:spPr bwMode="auto">
                    <a:xfrm>
                      <a:off x="0" y="0"/>
                      <a:ext cx="4800600" cy="2392272"/>
                    </a:xfrm>
                    <a:prstGeom prst="rect">
                      <a:avLst/>
                    </a:prstGeom>
                    <a:noFill/>
                    <a:ln w="9525">
                      <a:noFill/>
                      <a:headEnd/>
                      <a:tailEnd/>
                    </a:ln>
                  </pic:spPr>
                </pic:pic>
              </a:graphicData>
            </a:graphic>
          </wp:inline>
        </w:drawing>
      </w:r>
    </w:p>
    <w:p w14:paraId="0D0AFA0F" w14:textId="77777777" w:rsidR="004B4AA5" w:rsidRDefault="00000000">
      <w:pPr>
        <w:pStyle w:val="ImageCaption"/>
      </w:pPr>
      <w:r>
        <w:t>Robustness specification summary (6 dimensions)</w:t>
      </w:r>
    </w:p>
    <w:p w14:paraId="0D0AFA10" w14:textId="77777777" w:rsidR="004B4AA5" w:rsidRDefault="00000000">
      <w:pPr>
        <w:pStyle w:val="CaptionedFigure"/>
      </w:pPr>
      <w:r>
        <w:rPr>
          <w:noProof/>
        </w:rPr>
        <w:lastRenderedPageBreak/>
        <w:drawing>
          <wp:inline distT="0" distB="0" distL="0" distR="0" wp14:anchorId="0D0AFA82" wp14:editId="0D0AFA83">
            <wp:extent cx="4800600" cy="2276292"/>
            <wp:effectExtent l="0" t="0" r="0" b="0"/>
            <wp:docPr id="98" name="Picture" descr="Structural break prediction bands (forest plot)"/>
            <wp:cNvGraphicFramePr/>
            <a:graphic xmlns:a="http://schemas.openxmlformats.org/drawingml/2006/main">
              <a:graphicData uri="http://schemas.openxmlformats.org/drawingml/2006/picture">
                <pic:pic xmlns:pic="http://schemas.openxmlformats.org/drawingml/2006/picture">
                  <pic:nvPicPr>
                    <pic:cNvPr id="99" name="Picture" descr="figures/fig12_structural_break_bands.png"/>
                    <pic:cNvPicPr>
                      <a:picLocks noChangeAspect="1" noChangeArrowheads="1"/>
                    </pic:cNvPicPr>
                  </pic:nvPicPr>
                  <pic:blipFill>
                    <a:blip r:embed="rId18"/>
                    <a:stretch>
                      <a:fillRect/>
                    </a:stretch>
                  </pic:blipFill>
                  <pic:spPr bwMode="auto">
                    <a:xfrm>
                      <a:off x="0" y="0"/>
                      <a:ext cx="4800600" cy="2276292"/>
                    </a:xfrm>
                    <a:prstGeom prst="rect">
                      <a:avLst/>
                    </a:prstGeom>
                    <a:noFill/>
                    <a:ln w="9525">
                      <a:noFill/>
                      <a:headEnd/>
                      <a:tailEnd/>
                    </a:ln>
                  </pic:spPr>
                </pic:pic>
              </a:graphicData>
            </a:graphic>
          </wp:inline>
        </w:drawing>
      </w:r>
    </w:p>
    <w:p w14:paraId="0D0AFA11" w14:textId="77777777" w:rsidR="004B4AA5" w:rsidRDefault="00000000">
      <w:pPr>
        <w:pStyle w:val="ImageCaption"/>
      </w:pPr>
      <w:r>
        <w:t>Structural break prediction bands (forest plot)</w:t>
      </w:r>
    </w:p>
    <w:p w14:paraId="0D0AFA12" w14:textId="77777777" w:rsidR="004B4AA5" w:rsidRDefault="00000000">
      <w:pPr>
        <w:pStyle w:val="CaptionedFigure"/>
      </w:pPr>
      <w:r>
        <w:rPr>
          <w:noProof/>
        </w:rPr>
        <w:drawing>
          <wp:inline distT="0" distB="0" distL="0" distR="0" wp14:anchorId="0D0AFA84" wp14:editId="0D0AFA85">
            <wp:extent cx="4800600" cy="1798218"/>
            <wp:effectExtent l="0" t="0" r="0" b="0"/>
            <wp:docPr id="101" name="Picture" descr="B50 calibration diagram (quintile person shares)"/>
            <wp:cNvGraphicFramePr/>
            <a:graphic xmlns:a="http://schemas.openxmlformats.org/drawingml/2006/main">
              <a:graphicData uri="http://schemas.openxmlformats.org/drawingml/2006/picture">
                <pic:pic xmlns:pic="http://schemas.openxmlformats.org/drawingml/2006/picture">
                  <pic:nvPicPr>
                    <pic:cNvPr id="102" name="Picture" descr="figures/fig14_b50_calibration.png"/>
                    <pic:cNvPicPr>
                      <a:picLocks noChangeAspect="1" noChangeArrowheads="1"/>
                    </pic:cNvPicPr>
                  </pic:nvPicPr>
                  <pic:blipFill>
                    <a:blip r:embed="rId19"/>
                    <a:stretch>
                      <a:fillRect/>
                    </a:stretch>
                  </pic:blipFill>
                  <pic:spPr bwMode="auto">
                    <a:xfrm>
                      <a:off x="0" y="0"/>
                      <a:ext cx="4800600" cy="1798218"/>
                    </a:xfrm>
                    <a:prstGeom prst="rect">
                      <a:avLst/>
                    </a:prstGeom>
                    <a:noFill/>
                    <a:ln w="9525">
                      <a:noFill/>
                      <a:headEnd/>
                      <a:tailEnd/>
                    </a:ln>
                  </pic:spPr>
                </pic:pic>
              </a:graphicData>
            </a:graphic>
          </wp:inline>
        </w:drawing>
      </w:r>
    </w:p>
    <w:p w14:paraId="0D0AFA13" w14:textId="77777777" w:rsidR="004B4AA5" w:rsidRDefault="00000000">
      <w:pPr>
        <w:pStyle w:val="ImageCaption"/>
      </w:pPr>
      <w:r>
        <w:t>B50 calibration diagram (quintile person shares)</w:t>
      </w:r>
    </w:p>
    <w:p w14:paraId="0D0AFA14" w14:textId="77777777" w:rsidR="004B4AA5" w:rsidRDefault="00000000">
      <w:pPr>
        <w:pStyle w:val="CaptionedFigure"/>
      </w:pPr>
      <w:r>
        <w:rPr>
          <w:noProof/>
        </w:rPr>
        <w:drawing>
          <wp:inline distT="0" distB="0" distL="0" distR="0" wp14:anchorId="0D0AFA86" wp14:editId="0D0AFA87">
            <wp:extent cx="4800600" cy="2722487"/>
            <wp:effectExtent l="0" t="0" r="0" b="0"/>
            <wp:docPr id="104" name="Picture" descr="Federal outlay composition (stacked area, FY2015-2025)"/>
            <wp:cNvGraphicFramePr/>
            <a:graphic xmlns:a="http://schemas.openxmlformats.org/drawingml/2006/main">
              <a:graphicData uri="http://schemas.openxmlformats.org/drawingml/2006/picture">
                <pic:pic xmlns:pic="http://schemas.openxmlformats.org/drawingml/2006/picture">
                  <pic:nvPicPr>
                    <pic:cNvPr id="105" name="Picture" descr="figures/01_outlay_composition.png"/>
                    <pic:cNvPicPr>
                      <a:picLocks noChangeAspect="1" noChangeArrowheads="1"/>
                    </pic:cNvPicPr>
                  </pic:nvPicPr>
                  <pic:blipFill>
                    <a:blip r:embed="rId20"/>
                    <a:stretch>
                      <a:fillRect/>
                    </a:stretch>
                  </pic:blipFill>
                  <pic:spPr bwMode="auto">
                    <a:xfrm>
                      <a:off x="0" y="0"/>
                      <a:ext cx="4800600" cy="2722487"/>
                    </a:xfrm>
                    <a:prstGeom prst="rect">
                      <a:avLst/>
                    </a:prstGeom>
                    <a:noFill/>
                    <a:ln w="9525">
                      <a:noFill/>
                      <a:headEnd/>
                      <a:tailEnd/>
                    </a:ln>
                  </pic:spPr>
                </pic:pic>
              </a:graphicData>
            </a:graphic>
          </wp:inline>
        </w:drawing>
      </w:r>
    </w:p>
    <w:p w14:paraId="0D0AFA15" w14:textId="77777777" w:rsidR="004B4AA5" w:rsidRDefault="00000000">
      <w:pPr>
        <w:pStyle w:val="ImageCaption"/>
      </w:pPr>
      <w:r>
        <w:t>Federal outlay composition (stacked area, FY2015-2025)</w:t>
      </w:r>
    </w:p>
    <w:p w14:paraId="0D0AFA16" w14:textId="77777777" w:rsidR="004B4AA5" w:rsidRDefault="00000000">
      <w:pPr>
        <w:pStyle w:val="CaptionedFigure"/>
      </w:pPr>
      <w:r>
        <w:rPr>
          <w:noProof/>
        </w:rPr>
        <w:lastRenderedPageBreak/>
        <w:drawing>
          <wp:inline distT="0" distB="0" distL="0" distR="0" wp14:anchorId="0D0AFA88" wp14:editId="0D0AFA89">
            <wp:extent cx="4800600" cy="2726408"/>
            <wp:effectExtent l="0" t="0" r="0" b="0"/>
            <wp:docPr id="107" name="Picture" descr="Revenue by source (stacked area)"/>
            <wp:cNvGraphicFramePr/>
            <a:graphic xmlns:a="http://schemas.openxmlformats.org/drawingml/2006/main">
              <a:graphicData uri="http://schemas.openxmlformats.org/drawingml/2006/picture">
                <pic:pic xmlns:pic="http://schemas.openxmlformats.org/drawingml/2006/picture">
                  <pic:nvPicPr>
                    <pic:cNvPr id="108" name="Picture" descr="figures/02_revenue_composition.png"/>
                    <pic:cNvPicPr>
                      <a:picLocks noChangeAspect="1" noChangeArrowheads="1"/>
                    </pic:cNvPicPr>
                  </pic:nvPicPr>
                  <pic:blipFill>
                    <a:blip r:embed="rId21"/>
                    <a:stretch>
                      <a:fillRect/>
                    </a:stretch>
                  </pic:blipFill>
                  <pic:spPr bwMode="auto">
                    <a:xfrm>
                      <a:off x="0" y="0"/>
                      <a:ext cx="4800600" cy="2726408"/>
                    </a:xfrm>
                    <a:prstGeom prst="rect">
                      <a:avLst/>
                    </a:prstGeom>
                    <a:noFill/>
                    <a:ln w="9525">
                      <a:noFill/>
                      <a:headEnd/>
                      <a:tailEnd/>
                    </a:ln>
                  </pic:spPr>
                </pic:pic>
              </a:graphicData>
            </a:graphic>
          </wp:inline>
        </w:drawing>
      </w:r>
    </w:p>
    <w:p w14:paraId="0D0AFA17" w14:textId="77777777" w:rsidR="004B4AA5" w:rsidRDefault="00000000">
      <w:pPr>
        <w:pStyle w:val="ImageCaption"/>
      </w:pPr>
      <w:r>
        <w:t>Revenue by source (stacked area)</w:t>
      </w:r>
    </w:p>
    <w:p w14:paraId="0D0AFA18" w14:textId="77777777" w:rsidR="004B4AA5" w:rsidRDefault="00000000">
      <w:pPr>
        <w:pStyle w:val="CaptionedFigure"/>
      </w:pPr>
      <w:r>
        <w:rPr>
          <w:noProof/>
        </w:rPr>
        <w:drawing>
          <wp:inline distT="0" distB="0" distL="0" distR="0" wp14:anchorId="0D0AFA8A" wp14:editId="0D0AFA8B">
            <wp:extent cx="4800600" cy="2386438"/>
            <wp:effectExtent l="0" t="0" r="0" b="0"/>
            <wp:docPr id="110" name="Picture" descr="Net interest vs. safety-net spending"/>
            <wp:cNvGraphicFramePr/>
            <a:graphic xmlns:a="http://schemas.openxmlformats.org/drawingml/2006/main">
              <a:graphicData uri="http://schemas.openxmlformats.org/drawingml/2006/picture">
                <pic:pic xmlns:pic="http://schemas.openxmlformats.org/drawingml/2006/picture">
                  <pic:nvPicPr>
                    <pic:cNvPr id="111" name="Picture" descr="figures/03_interest_vs_safety_net.png"/>
                    <pic:cNvPicPr>
                      <a:picLocks noChangeAspect="1" noChangeArrowheads="1"/>
                    </pic:cNvPicPr>
                  </pic:nvPicPr>
                  <pic:blipFill>
                    <a:blip r:embed="rId22"/>
                    <a:stretch>
                      <a:fillRect/>
                    </a:stretch>
                  </pic:blipFill>
                  <pic:spPr bwMode="auto">
                    <a:xfrm>
                      <a:off x="0" y="0"/>
                      <a:ext cx="4800600" cy="2386438"/>
                    </a:xfrm>
                    <a:prstGeom prst="rect">
                      <a:avLst/>
                    </a:prstGeom>
                    <a:noFill/>
                    <a:ln w="9525">
                      <a:noFill/>
                      <a:headEnd/>
                      <a:tailEnd/>
                    </a:ln>
                  </pic:spPr>
                </pic:pic>
              </a:graphicData>
            </a:graphic>
          </wp:inline>
        </w:drawing>
      </w:r>
    </w:p>
    <w:p w14:paraId="0D0AFA19" w14:textId="77777777" w:rsidR="004B4AA5" w:rsidRDefault="00000000">
      <w:pPr>
        <w:pStyle w:val="ImageCaption"/>
      </w:pPr>
      <w:r>
        <w:t>Net interest vs. safety-net spending</w:t>
      </w:r>
    </w:p>
    <w:p w14:paraId="0D0AFA1A" w14:textId="77777777" w:rsidR="004B4AA5" w:rsidRDefault="00000000">
      <w:pPr>
        <w:pStyle w:val="CaptionedFigure"/>
      </w:pPr>
      <w:r>
        <w:rPr>
          <w:noProof/>
        </w:rPr>
        <w:lastRenderedPageBreak/>
        <w:drawing>
          <wp:inline distT="0" distB="0" distL="0" distR="0" wp14:anchorId="0D0AFA8C" wp14:editId="0D0AFA8D">
            <wp:extent cx="4800600" cy="2380710"/>
            <wp:effectExtent l="0" t="0" r="0" b="0"/>
            <wp:docPr id="113" name="Picture" descr="CPI essentials indexed (with tariff event markers)"/>
            <wp:cNvGraphicFramePr/>
            <a:graphic xmlns:a="http://schemas.openxmlformats.org/drawingml/2006/main">
              <a:graphicData uri="http://schemas.openxmlformats.org/drawingml/2006/picture">
                <pic:pic xmlns:pic="http://schemas.openxmlformats.org/drawingml/2006/picture">
                  <pic:nvPicPr>
                    <pic:cNvPr id="114" name="Picture" descr="figures/04_cpi_essentials.png"/>
                    <pic:cNvPicPr>
                      <a:picLocks noChangeAspect="1" noChangeArrowheads="1"/>
                    </pic:cNvPicPr>
                  </pic:nvPicPr>
                  <pic:blipFill>
                    <a:blip r:embed="rId23"/>
                    <a:stretch>
                      <a:fillRect/>
                    </a:stretch>
                  </pic:blipFill>
                  <pic:spPr bwMode="auto">
                    <a:xfrm>
                      <a:off x="0" y="0"/>
                      <a:ext cx="4800600" cy="2380710"/>
                    </a:xfrm>
                    <a:prstGeom prst="rect">
                      <a:avLst/>
                    </a:prstGeom>
                    <a:noFill/>
                    <a:ln w="9525">
                      <a:noFill/>
                      <a:headEnd/>
                      <a:tailEnd/>
                    </a:ln>
                  </pic:spPr>
                </pic:pic>
              </a:graphicData>
            </a:graphic>
          </wp:inline>
        </w:drawing>
      </w:r>
    </w:p>
    <w:p w14:paraId="0D0AFA1B" w14:textId="77777777" w:rsidR="004B4AA5" w:rsidRDefault="00000000">
      <w:pPr>
        <w:pStyle w:val="ImageCaption"/>
      </w:pPr>
      <w:r>
        <w:t>CPI essentials indexed (with tariff event markers)</w:t>
      </w:r>
    </w:p>
    <w:p w14:paraId="0D0AFA1C" w14:textId="77777777" w:rsidR="004B4AA5" w:rsidRDefault="00000000">
      <w:pPr>
        <w:pStyle w:val="CaptionedFigure"/>
      </w:pPr>
      <w:r>
        <w:rPr>
          <w:noProof/>
        </w:rPr>
        <w:drawing>
          <wp:inline distT="0" distB="0" distL="0" distR="0" wp14:anchorId="0D0AFA8E" wp14:editId="0D0AFA8F">
            <wp:extent cx="4800600" cy="2380710"/>
            <wp:effectExtent l="0" t="0" r="0" b="0"/>
            <wp:docPr id="116" name="Picture" descr="Corporate profits vs. wages (indexed)"/>
            <wp:cNvGraphicFramePr/>
            <a:graphic xmlns:a="http://schemas.openxmlformats.org/drawingml/2006/main">
              <a:graphicData uri="http://schemas.openxmlformats.org/drawingml/2006/picture">
                <pic:pic xmlns:pic="http://schemas.openxmlformats.org/drawingml/2006/picture">
                  <pic:nvPicPr>
                    <pic:cNvPr id="117" name="Picture" descr="figures/05_profits_vs_wages.png"/>
                    <pic:cNvPicPr>
                      <a:picLocks noChangeAspect="1" noChangeArrowheads="1"/>
                    </pic:cNvPicPr>
                  </pic:nvPicPr>
                  <pic:blipFill>
                    <a:blip r:embed="rId24"/>
                    <a:stretch>
                      <a:fillRect/>
                    </a:stretch>
                  </pic:blipFill>
                  <pic:spPr bwMode="auto">
                    <a:xfrm>
                      <a:off x="0" y="0"/>
                      <a:ext cx="4800600" cy="2380710"/>
                    </a:xfrm>
                    <a:prstGeom prst="rect">
                      <a:avLst/>
                    </a:prstGeom>
                    <a:noFill/>
                    <a:ln w="9525">
                      <a:noFill/>
                      <a:headEnd/>
                      <a:tailEnd/>
                    </a:ln>
                  </pic:spPr>
                </pic:pic>
              </a:graphicData>
            </a:graphic>
          </wp:inline>
        </w:drawing>
      </w:r>
    </w:p>
    <w:p w14:paraId="0D0AFA1D" w14:textId="77777777" w:rsidR="004B4AA5" w:rsidRDefault="00000000">
      <w:pPr>
        <w:pStyle w:val="ImageCaption"/>
      </w:pPr>
      <w:r>
        <w:t>Corporate profits vs. wages (indexed)</w:t>
      </w:r>
    </w:p>
    <w:p w14:paraId="0D0AFA1E" w14:textId="77777777" w:rsidR="004B4AA5" w:rsidRDefault="00000000">
      <w:pPr>
        <w:pStyle w:val="CaptionedFigure"/>
      </w:pPr>
      <w:r>
        <w:rPr>
          <w:noProof/>
        </w:rPr>
        <w:lastRenderedPageBreak/>
        <w:drawing>
          <wp:inline distT="0" distB="0" distL="0" distR="0" wp14:anchorId="0D0AFA90" wp14:editId="0D0AFA91">
            <wp:extent cx="4800600" cy="2379568"/>
            <wp:effectExtent l="0" t="0" r="0" b="0"/>
            <wp:docPr id="119" name="Picture" descr="Customs revenue spike (bar chart)"/>
            <wp:cNvGraphicFramePr/>
            <a:graphic xmlns:a="http://schemas.openxmlformats.org/drawingml/2006/main">
              <a:graphicData uri="http://schemas.openxmlformats.org/drawingml/2006/picture">
                <pic:pic xmlns:pic="http://schemas.openxmlformats.org/drawingml/2006/picture">
                  <pic:nvPicPr>
                    <pic:cNvPr id="120" name="Picture" descr="figures/06_customs_revenue_spike.png"/>
                    <pic:cNvPicPr>
                      <a:picLocks noChangeAspect="1" noChangeArrowheads="1"/>
                    </pic:cNvPicPr>
                  </pic:nvPicPr>
                  <pic:blipFill>
                    <a:blip r:embed="rId25"/>
                    <a:stretch>
                      <a:fillRect/>
                    </a:stretch>
                  </pic:blipFill>
                  <pic:spPr bwMode="auto">
                    <a:xfrm>
                      <a:off x="0" y="0"/>
                      <a:ext cx="4800600" cy="2379568"/>
                    </a:xfrm>
                    <a:prstGeom prst="rect">
                      <a:avLst/>
                    </a:prstGeom>
                    <a:noFill/>
                    <a:ln w="9525">
                      <a:noFill/>
                      <a:headEnd/>
                      <a:tailEnd/>
                    </a:ln>
                  </pic:spPr>
                </pic:pic>
              </a:graphicData>
            </a:graphic>
          </wp:inline>
        </w:drawing>
      </w:r>
    </w:p>
    <w:p w14:paraId="0D0AFA1F" w14:textId="77777777" w:rsidR="004B4AA5" w:rsidRDefault="00000000">
      <w:pPr>
        <w:pStyle w:val="ImageCaption"/>
      </w:pPr>
      <w:r>
        <w:t>Customs revenue spike (bar chart)</w:t>
      </w:r>
    </w:p>
    <w:p w14:paraId="0D0AFA20" w14:textId="77777777" w:rsidR="004B4AA5" w:rsidRDefault="00000000">
      <w:pPr>
        <w:pStyle w:val="CaptionedFigure"/>
      </w:pPr>
      <w:r>
        <w:rPr>
          <w:noProof/>
        </w:rPr>
        <w:drawing>
          <wp:inline distT="0" distB="0" distL="0" distR="0" wp14:anchorId="0D0AFA92" wp14:editId="0D0AFA93">
            <wp:extent cx="4800600" cy="2380710"/>
            <wp:effectExtent l="0" t="0" r="0" b="0"/>
            <wp:docPr id="122" name="Picture" descr="Federal deficit trend (with policy periods)"/>
            <wp:cNvGraphicFramePr/>
            <a:graphic xmlns:a="http://schemas.openxmlformats.org/drawingml/2006/main">
              <a:graphicData uri="http://schemas.openxmlformats.org/drawingml/2006/picture">
                <pic:pic xmlns:pic="http://schemas.openxmlformats.org/drawingml/2006/picture">
                  <pic:nvPicPr>
                    <pic:cNvPr id="123" name="Picture" descr="figures/07_deficit_trend.png"/>
                    <pic:cNvPicPr>
                      <a:picLocks noChangeAspect="1" noChangeArrowheads="1"/>
                    </pic:cNvPicPr>
                  </pic:nvPicPr>
                  <pic:blipFill>
                    <a:blip r:embed="rId26"/>
                    <a:stretch>
                      <a:fillRect/>
                    </a:stretch>
                  </pic:blipFill>
                  <pic:spPr bwMode="auto">
                    <a:xfrm>
                      <a:off x="0" y="0"/>
                      <a:ext cx="4800600" cy="2380710"/>
                    </a:xfrm>
                    <a:prstGeom prst="rect">
                      <a:avLst/>
                    </a:prstGeom>
                    <a:noFill/>
                    <a:ln w="9525">
                      <a:noFill/>
                      <a:headEnd/>
                      <a:tailEnd/>
                    </a:ln>
                  </pic:spPr>
                </pic:pic>
              </a:graphicData>
            </a:graphic>
          </wp:inline>
        </w:drawing>
      </w:r>
    </w:p>
    <w:p w14:paraId="0D0AFA21" w14:textId="77777777" w:rsidR="004B4AA5" w:rsidRDefault="00000000">
      <w:pPr>
        <w:pStyle w:val="ImageCaption"/>
      </w:pPr>
      <w:r>
        <w:t>Federal deficit trend (with policy periods)</w:t>
      </w:r>
    </w:p>
    <w:p w14:paraId="0D0AFA22" w14:textId="77777777" w:rsidR="004B4AA5" w:rsidRDefault="00000000">
      <w:pPr>
        <w:pStyle w:val="CaptionedFigure"/>
      </w:pPr>
      <w:r>
        <w:rPr>
          <w:noProof/>
        </w:rPr>
        <w:lastRenderedPageBreak/>
        <w:drawing>
          <wp:inline distT="0" distB="0" distL="0" distR="0" wp14:anchorId="0D0AFA94" wp14:editId="0D0AFA95">
            <wp:extent cx="4800600" cy="2781278"/>
            <wp:effectExtent l="0" t="0" r="0" b="0"/>
            <wp:docPr id="125" name="Picture" descr="Income security waterfall (FY2019-2025)"/>
            <wp:cNvGraphicFramePr/>
            <a:graphic xmlns:a="http://schemas.openxmlformats.org/drawingml/2006/main">
              <a:graphicData uri="http://schemas.openxmlformats.org/drawingml/2006/picture">
                <pic:pic xmlns:pic="http://schemas.openxmlformats.org/drawingml/2006/picture">
                  <pic:nvPicPr>
                    <pic:cNvPr id="126" name="Picture" descr="figures/09_income_security_waterfall.png"/>
                    <pic:cNvPicPr>
                      <a:picLocks noChangeAspect="1" noChangeArrowheads="1"/>
                    </pic:cNvPicPr>
                  </pic:nvPicPr>
                  <pic:blipFill>
                    <a:blip r:embed="rId27"/>
                    <a:stretch>
                      <a:fillRect/>
                    </a:stretch>
                  </pic:blipFill>
                  <pic:spPr bwMode="auto">
                    <a:xfrm>
                      <a:off x="0" y="0"/>
                      <a:ext cx="4800600" cy="2781278"/>
                    </a:xfrm>
                    <a:prstGeom prst="rect">
                      <a:avLst/>
                    </a:prstGeom>
                    <a:noFill/>
                    <a:ln w="9525">
                      <a:noFill/>
                      <a:headEnd/>
                      <a:tailEnd/>
                    </a:ln>
                  </pic:spPr>
                </pic:pic>
              </a:graphicData>
            </a:graphic>
          </wp:inline>
        </w:drawing>
      </w:r>
    </w:p>
    <w:p w14:paraId="0D0AFA23" w14:textId="77777777" w:rsidR="004B4AA5" w:rsidRDefault="00000000">
      <w:pPr>
        <w:pStyle w:val="ImageCaption"/>
      </w:pPr>
      <w:r>
        <w:t>Income security waterfall (FY2019-2025)</w:t>
      </w:r>
    </w:p>
    <w:p w14:paraId="0D0AFA24" w14:textId="77777777" w:rsidR="004B4AA5" w:rsidRDefault="00000000">
      <w:pPr>
        <w:pStyle w:val="CaptionedFigure"/>
      </w:pPr>
      <w:r>
        <w:rPr>
          <w:noProof/>
        </w:rPr>
        <w:drawing>
          <wp:inline distT="0" distB="0" distL="0" distR="0" wp14:anchorId="0D0AFA96" wp14:editId="0D0AFA97">
            <wp:extent cx="4800600" cy="2028097"/>
            <wp:effectExtent l="0" t="0" r="0" b="0"/>
            <wp:docPr id="128" name="Picture" descr="Net interest as percent of GDP"/>
            <wp:cNvGraphicFramePr/>
            <a:graphic xmlns:a="http://schemas.openxmlformats.org/drawingml/2006/main">
              <a:graphicData uri="http://schemas.openxmlformats.org/drawingml/2006/picture">
                <pic:pic xmlns:pic="http://schemas.openxmlformats.org/drawingml/2006/picture">
                  <pic:nvPicPr>
                    <pic:cNvPr id="129" name="Picture" descr="figures/10_interest_pct_gdp.png"/>
                    <pic:cNvPicPr>
                      <a:picLocks noChangeAspect="1" noChangeArrowheads="1"/>
                    </pic:cNvPicPr>
                  </pic:nvPicPr>
                  <pic:blipFill>
                    <a:blip r:embed="rId28"/>
                    <a:stretch>
                      <a:fillRect/>
                    </a:stretch>
                  </pic:blipFill>
                  <pic:spPr bwMode="auto">
                    <a:xfrm>
                      <a:off x="0" y="0"/>
                      <a:ext cx="4800600" cy="2028097"/>
                    </a:xfrm>
                    <a:prstGeom prst="rect">
                      <a:avLst/>
                    </a:prstGeom>
                    <a:noFill/>
                    <a:ln w="9525">
                      <a:noFill/>
                      <a:headEnd/>
                      <a:tailEnd/>
                    </a:ln>
                  </pic:spPr>
                </pic:pic>
              </a:graphicData>
            </a:graphic>
          </wp:inline>
        </w:drawing>
      </w:r>
    </w:p>
    <w:p w14:paraId="0D0AFA25" w14:textId="77777777" w:rsidR="004B4AA5" w:rsidRDefault="00000000">
      <w:pPr>
        <w:pStyle w:val="ImageCaption"/>
      </w:pPr>
      <w:r>
        <w:t>Net interest as percent of GDP</w:t>
      </w:r>
    </w:p>
    <w:p w14:paraId="0D0AFA26" w14:textId="77777777" w:rsidR="004B4AA5" w:rsidRDefault="00000000">
      <w:pPr>
        <w:pStyle w:val="CaptionedFigure"/>
      </w:pPr>
      <w:r>
        <w:rPr>
          <w:noProof/>
        </w:rPr>
        <w:lastRenderedPageBreak/>
        <w:drawing>
          <wp:inline distT="0" distB="0" distL="0" distR="0" wp14:anchorId="0D0AFA98" wp14:editId="0D0AFA99">
            <wp:extent cx="4800600" cy="2968728"/>
            <wp:effectExtent l="0" t="0" r="0" b="0"/>
            <wp:docPr id="131" name="Picture" descr="FY2025 context dashboard (6-panel summary)"/>
            <wp:cNvGraphicFramePr/>
            <a:graphic xmlns:a="http://schemas.openxmlformats.org/drawingml/2006/main">
              <a:graphicData uri="http://schemas.openxmlformats.org/drawingml/2006/picture">
                <pic:pic xmlns:pic="http://schemas.openxmlformats.org/drawingml/2006/picture">
                  <pic:nvPicPr>
                    <pic:cNvPr id="132" name="Picture" descr="figures/25yr_fy2025_context_dashboard.png"/>
                    <pic:cNvPicPr>
                      <a:picLocks noChangeAspect="1" noChangeArrowheads="1"/>
                    </pic:cNvPicPr>
                  </pic:nvPicPr>
                  <pic:blipFill>
                    <a:blip r:embed="rId29"/>
                    <a:stretch>
                      <a:fillRect/>
                    </a:stretch>
                  </pic:blipFill>
                  <pic:spPr bwMode="auto">
                    <a:xfrm>
                      <a:off x="0" y="0"/>
                      <a:ext cx="4800600" cy="2968728"/>
                    </a:xfrm>
                    <a:prstGeom prst="rect">
                      <a:avLst/>
                    </a:prstGeom>
                    <a:noFill/>
                    <a:ln w="9525">
                      <a:noFill/>
                      <a:headEnd/>
                      <a:tailEnd/>
                    </a:ln>
                  </pic:spPr>
                </pic:pic>
              </a:graphicData>
            </a:graphic>
          </wp:inline>
        </w:drawing>
      </w:r>
    </w:p>
    <w:p w14:paraId="0D0AFA27" w14:textId="77777777" w:rsidR="004B4AA5" w:rsidRDefault="00000000">
      <w:pPr>
        <w:pStyle w:val="ImageCaption"/>
      </w:pPr>
      <w:r>
        <w:t>FY2025 context dashboard (6-panel summary)</w:t>
      </w:r>
    </w:p>
    <w:p w14:paraId="0D0AFA28" w14:textId="77777777" w:rsidR="004B4AA5" w:rsidRDefault="00000000">
      <w:pPr>
        <w:pStyle w:val="CaptionedFigure"/>
      </w:pPr>
      <w:r>
        <w:rPr>
          <w:noProof/>
        </w:rPr>
        <w:drawing>
          <wp:inline distT="0" distB="0" distL="0" distR="0" wp14:anchorId="0D0AFA9A" wp14:editId="0D0AFA9B">
            <wp:extent cx="4800600" cy="3415811"/>
            <wp:effectExtent l="0" t="0" r="0" b="0"/>
            <wp:docPr id="134" name="Picture" descr="B50 transfer dependency and poverty (CPS ASEC benchmarks)"/>
            <wp:cNvGraphicFramePr/>
            <a:graphic xmlns:a="http://schemas.openxmlformats.org/drawingml/2006/main">
              <a:graphicData uri="http://schemas.openxmlformats.org/drawingml/2006/picture">
                <pic:pic xmlns:pic="http://schemas.openxmlformats.org/drawingml/2006/picture">
                  <pic:nvPicPr>
                    <pic:cNvPr id="135" name="Picture" descr="figures/25yr_poverty_and_benefits.png"/>
                    <pic:cNvPicPr>
                      <a:picLocks noChangeAspect="1" noChangeArrowheads="1"/>
                    </pic:cNvPicPr>
                  </pic:nvPicPr>
                  <pic:blipFill>
                    <a:blip r:embed="rId30"/>
                    <a:stretch>
                      <a:fillRect/>
                    </a:stretch>
                  </pic:blipFill>
                  <pic:spPr bwMode="auto">
                    <a:xfrm>
                      <a:off x="0" y="0"/>
                      <a:ext cx="4800600" cy="3415811"/>
                    </a:xfrm>
                    <a:prstGeom prst="rect">
                      <a:avLst/>
                    </a:prstGeom>
                    <a:noFill/>
                    <a:ln w="9525">
                      <a:noFill/>
                      <a:headEnd/>
                      <a:tailEnd/>
                    </a:ln>
                  </pic:spPr>
                </pic:pic>
              </a:graphicData>
            </a:graphic>
          </wp:inline>
        </w:drawing>
      </w:r>
    </w:p>
    <w:p w14:paraId="0D0AFA29" w14:textId="77777777" w:rsidR="004B4AA5" w:rsidRDefault="00000000">
      <w:pPr>
        <w:pStyle w:val="ImageCaption"/>
      </w:pPr>
      <w:r>
        <w:t>B50 transfer dependency and poverty (CPS ASEC benchmarks)</w:t>
      </w:r>
    </w:p>
    <w:p w14:paraId="0D0AFA2A" w14:textId="77777777" w:rsidR="004B4AA5" w:rsidRDefault="00000000">
      <w:pPr>
        <w:pStyle w:val="CaptionedFigure"/>
      </w:pPr>
      <w:r>
        <w:rPr>
          <w:noProof/>
        </w:rPr>
        <w:lastRenderedPageBreak/>
        <w:drawing>
          <wp:inline distT="0" distB="0" distL="0" distR="0" wp14:anchorId="0D0AFA9C" wp14:editId="0D0AFA9D">
            <wp:extent cx="4800600" cy="2723417"/>
            <wp:effectExtent l="0" t="0" r="0" b="0"/>
            <wp:docPr id="137" name="Picture" descr="Real spending composition (stacked area, FY2000–2025)"/>
            <wp:cNvGraphicFramePr/>
            <a:graphic xmlns:a="http://schemas.openxmlformats.org/drawingml/2006/main">
              <a:graphicData uri="http://schemas.openxmlformats.org/drawingml/2006/picture">
                <pic:pic xmlns:pic="http://schemas.openxmlformats.org/drawingml/2006/picture">
                  <pic:nvPicPr>
                    <pic:cNvPr id="138" name="Picture" descr="figures/25yr_spending_composition.png"/>
                    <pic:cNvPicPr>
                      <a:picLocks noChangeAspect="1" noChangeArrowheads="1"/>
                    </pic:cNvPicPr>
                  </pic:nvPicPr>
                  <pic:blipFill>
                    <a:blip r:embed="rId31"/>
                    <a:stretch>
                      <a:fillRect/>
                    </a:stretch>
                  </pic:blipFill>
                  <pic:spPr bwMode="auto">
                    <a:xfrm>
                      <a:off x="0" y="0"/>
                      <a:ext cx="4800600" cy="2723417"/>
                    </a:xfrm>
                    <a:prstGeom prst="rect">
                      <a:avLst/>
                    </a:prstGeom>
                    <a:noFill/>
                    <a:ln w="9525">
                      <a:noFill/>
                      <a:headEnd/>
                      <a:tailEnd/>
                    </a:ln>
                  </pic:spPr>
                </pic:pic>
              </a:graphicData>
            </a:graphic>
          </wp:inline>
        </w:drawing>
      </w:r>
    </w:p>
    <w:p w14:paraId="0D0AFA2B" w14:textId="77777777" w:rsidR="004B4AA5" w:rsidRDefault="00000000">
      <w:pPr>
        <w:pStyle w:val="ImageCaption"/>
      </w:pPr>
      <w:r>
        <w:t>Real spending composition (stacked area, FY2000–2025)</w:t>
      </w:r>
    </w:p>
    <w:p w14:paraId="0D0AFA2C" w14:textId="77777777" w:rsidR="004B4AA5" w:rsidRDefault="00000000">
      <w:pPr>
        <w:pStyle w:val="CaptionedFigure"/>
      </w:pPr>
      <w:r>
        <w:rPr>
          <w:noProof/>
        </w:rPr>
        <w:drawing>
          <wp:inline distT="0" distB="0" distL="0" distR="0" wp14:anchorId="0D0AFA9E" wp14:editId="0D0AFA9F">
            <wp:extent cx="4800600" cy="2659068"/>
            <wp:effectExtent l="0" t="0" r="0" b="0"/>
            <wp:docPr id="140" name="Picture" descr="Historical B50 income share and transfer dependency"/>
            <wp:cNvGraphicFramePr/>
            <a:graphic xmlns:a="http://schemas.openxmlformats.org/drawingml/2006/main">
              <a:graphicData uri="http://schemas.openxmlformats.org/drawingml/2006/picture">
                <pic:pic xmlns:pic="http://schemas.openxmlformats.org/drawingml/2006/picture">
                  <pic:nvPicPr>
                    <pic:cNvPr id="141" name="Picture" descr="figures/fig17_historical_b50.png"/>
                    <pic:cNvPicPr>
                      <a:picLocks noChangeAspect="1" noChangeArrowheads="1"/>
                    </pic:cNvPicPr>
                  </pic:nvPicPr>
                  <pic:blipFill>
                    <a:blip r:embed="rId32"/>
                    <a:stretch>
                      <a:fillRect/>
                    </a:stretch>
                  </pic:blipFill>
                  <pic:spPr bwMode="auto">
                    <a:xfrm>
                      <a:off x="0" y="0"/>
                      <a:ext cx="4800600" cy="2659068"/>
                    </a:xfrm>
                    <a:prstGeom prst="rect">
                      <a:avLst/>
                    </a:prstGeom>
                    <a:noFill/>
                    <a:ln w="9525">
                      <a:noFill/>
                      <a:headEnd/>
                      <a:tailEnd/>
                    </a:ln>
                  </pic:spPr>
                </pic:pic>
              </a:graphicData>
            </a:graphic>
          </wp:inline>
        </w:drawing>
      </w:r>
    </w:p>
    <w:p w14:paraId="0D0AFA2D" w14:textId="77777777" w:rsidR="004B4AA5" w:rsidRDefault="00000000">
      <w:pPr>
        <w:pStyle w:val="ImageCaption"/>
      </w:pPr>
      <w:r>
        <w:t>Historical B50 income share and transfer dependency</w:t>
      </w:r>
    </w:p>
    <w:p w14:paraId="0D0AFA2E" w14:textId="77777777" w:rsidR="004B4AA5" w:rsidRDefault="00000000">
      <w:pPr>
        <w:pStyle w:val="CaptionedFigure"/>
      </w:pPr>
      <w:r>
        <w:rPr>
          <w:noProof/>
        </w:rPr>
        <w:lastRenderedPageBreak/>
        <w:drawing>
          <wp:inline distT="0" distB="0" distL="0" distR="0" wp14:anchorId="0D0AFAA0" wp14:editId="0D0AFAA1">
            <wp:extent cx="4800600" cy="2281287"/>
            <wp:effectExtent l="0" t="0" r="0" b="0"/>
            <wp:docPr id="143" name="Picture" descr="Welfare-weighted loss (log-scale, CRRA \sigma=2)"/>
            <wp:cNvGraphicFramePr/>
            <a:graphic xmlns:a="http://schemas.openxmlformats.org/drawingml/2006/main">
              <a:graphicData uri="http://schemas.openxmlformats.org/drawingml/2006/picture">
                <pic:pic xmlns:pic="http://schemas.openxmlformats.org/drawingml/2006/picture">
                  <pic:nvPicPr>
                    <pic:cNvPr id="144" name="Picture" descr="figures/fig18_welfare_logscale.png"/>
                    <pic:cNvPicPr>
                      <a:picLocks noChangeAspect="1" noChangeArrowheads="1"/>
                    </pic:cNvPicPr>
                  </pic:nvPicPr>
                  <pic:blipFill>
                    <a:blip r:embed="rId33"/>
                    <a:stretch>
                      <a:fillRect/>
                    </a:stretch>
                  </pic:blipFill>
                  <pic:spPr bwMode="auto">
                    <a:xfrm>
                      <a:off x="0" y="0"/>
                      <a:ext cx="4800600" cy="2281287"/>
                    </a:xfrm>
                    <a:prstGeom prst="rect">
                      <a:avLst/>
                    </a:prstGeom>
                    <a:noFill/>
                    <a:ln w="9525">
                      <a:noFill/>
                      <a:headEnd/>
                      <a:tailEnd/>
                    </a:ln>
                  </pic:spPr>
                </pic:pic>
              </a:graphicData>
            </a:graphic>
          </wp:inline>
        </w:drawing>
      </w:r>
    </w:p>
    <w:p w14:paraId="0D0AFA2F" w14:textId="77777777" w:rsidR="004B4AA5" w:rsidRDefault="00000000">
      <w:pPr>
        <w:pStyle w:val="ImageCaption"/>
      </w:pPr>
      <w:r>
        <w:t xml:space="preserve">Welfare-weighted loss (log-scale, CRRA </w:t>
      </w:r>
      <m:oMath>
        <m:r>
          <w:rPr>
            <w:rFonts w:ascii="Cambria Math" w:hAnsi="Cambria Math"/>
          </w:rPr>
          <m:t>σ</m:t>
        </m:r>
      </m:oMath>
      <w:r>
        <w:t>=2)</w:t>
      </w:r>
    </w:p>
    <w:p w14:paraId="0D0AFA30" w14:textId="77777777" w:rsidR="004B4AA5" w:rsidRDefault="00000000">
      <w:pPr>
        <w:pStyle w:val="CaptionedFigure"/>
      </w:pPr>
      <w:r>
        <w:rPr>
          <w:noProof/>
        </w:rPr>
        <w:lastRenderedPageBreak/>
        <w:drawing>
          <wp:inline distT="0" distB="0" distL="0" distR="0" wp14:anchorId="0D0AFAA2" wp14:editId="0D0AFAA3">
            <wp:extent cx="4800600" cy="5767789"/>
            <wp:effectExtent l="0" t="0" r="0" b="0"/>
            <wp:docPr id="146" name="Picture" descr="State fiscal exposure index (dot plot)"/>
            <wp:cNvGraphicFramePr/>
            <a:graphic xmlns:a="http://schemas.openxmlformats.org/drawingml/2006/main">
              <a:graphicData uri="http://schemas.openxmlformats.org/drawingml/2006/picture">
                <pic:pic xmlns:pic="http://schemas.openxmlformats.org/drawingml/2006/picture">
                  <pic:nvPicPr>
                    <pic:cNvPr id="147" name="Picture" descr="figures/fig19_state_exposure_dots.png"/>
                    <pic:cNvPicPr>
                      <a:picLocks noChangeAspect="1" noChangeArrowheads="1"/>
                    </pic:cNvPicPr>
                  </pic:nvPicPr>
                  <pic:blipFill>
                    <a:blip r:embed="rId34"/>
                    <a:stretch>
                      <a:fillRect/>
                    </a:stretch>
                  </pic:blipFill>
                  <pic:spPr bwMode="auto">
                    <a:xfrm>
                      <a:off x="0" y="0"/>
                      <a:ext cx="4800600" cy="5767789"/>
                    </a:xfrm>
                    <a:prstGeom prst="rect">
                      <a:avLst/>
                    </a:prstGeom>
                    <a:noFill/>
                    <a:ln w="9525">
                      <a:noFill/>
                      <a:headEnd/>
                      <a:tailEnd/>
                    </a:ln>
                  </pic:spPr>
                </pic:pic>
              </a:graphicData>
            </a:graphic>
          </wp:inline>
        </w:drawing>
      </w:r>
    </w:p>
    <w:p w14:paraId="0D0AFA31" w14:textId="77777777" w:rsidR="004B4AA5" w:rsidRDefault="00000000">
      <w:pPr>
        <w:pStyle w:val="ImageCaption"/>
      </w:pPr>
      <w:r>
        <w:t>State fiscal exposure index (dot plot)</w:t>
      </w:r>
    </w:p>
    <w:p w14:paraId="0D0AFA32" w14:textId="77777777" w:rsidR="004B4AA5" w:rsidRDefault="00000000">
      <w:pPr>
        <w:pStyle w:val="CaptionedFigure"/>
      </w:pPr>
      <w:r>
        <w:rPr>
          <w:noProof/>
        </w:rPr>
        <w:lastRenderedPageBreak/>
        <w:drawing>
          <wp:inline distT="0" distB="0" distL="0" distR="0" wp14:anchorId="0D0AFAA4" wp14:editId="0D0AFAA5">
            <wp:extent cx="4800600" cy="2028893"/>
            <wp:effectExtent l="0" t="0" r="0" b="0"/>
            <wp:docPr id="149" name="Picture" descr="Income distribution by quintile (CPS ASEC)"/>
            <wp:cNvGraphicFramePr/>
            <a:graphic xmlns:a="http://schemas.openxmlformats.org/drawingml/2006/main">
              <a:graphicData uri="http://schemas.openxmlformats.org/drawingml/2006/picture">
                <pic:pic xmlns:pic="http://schemas.openxmlformats.org/drawingml/2006/picture">
                  <pic:nvPicPr>
                    <pic:cNvPr id="150" name="Picture" descr="figures/fig1_income_distribution.png"/>
                    <pic:cNvPicPr>
                      <a:picLocks noChangeAspect="1" noChangeArrowheads="1"/>
                    </pic:cNvPicPr>
                  </pic:nvPicPr>
                  <pic:blipFill>
                    <a:blip r:embed="rId35"/>
                    <a:stretch>
                      <a:fillRect/>
                    </a:stretch>
                  </pic:blipFill>
                  <pic:spPr bwMode="auto">
                    <a:xfrm>
                      <a:off x="0" y="0"/>
                      <a:ext cx="4800600" cy="2028893"/>
                    </a:xfrm>
                    <a:prstGeom prst="rect">
                      <a:avLst/>
                    </a:prstGeom>
                    <a:noFill/>
                    <a:ln w="9525">
                      <a:noFill/>
                      <a:headEnd/>
                      <a:tailEnd/>
                    </a:ln>
                  </pic:spPr>
                </pic:pic>
              </a:graphicData>
            </a:graphic>
          </wp:inline>
        </w:drawing>
      </w:r>
    </w:p>
    <w:p w14:paraId="0D0AFA33" w14:textId="77777777" w:rsidR="004B4AA5" w:rsidRDefault="00000000">
      <w:pPr>
        <w:pStyle w:val="ImageCaption"/>
      </w:pPr>
      <w:r>
        <w:t>Income distribution by quintile (CPS ASEC)</w:t>
      </w:r>
    </w:p>
    <w:p w14:paraId="0D0AFA34" w14:textId="77777777" w:rsidR="004B4AA5" w:rsidRDefault="00000000">
      <w:pPr>
        <w:pStyle w:val="CaptionedFigure"/>
      </w:pPr>
      <w:r>
        <w:rPr>
          <w:noProof/>
        </w:rPr>
        <w:drawing>
          <wp:inline distT="0" distB="0" distL="0" distR="0" wp14:anchorId="0D0AFAA6" wp14:editId="0D0AFAA7">
            <wp:extent cx="4800600" cy="2080349"/>
            <wp:effectExtent l="0" t="0" r="0" b="0"/>
            <wp:docPr id="152" name="Picture" descr="SPM poverty dose-response (food program scenarios)"/>
            <wp:cNvGraphicFramePr/>
            <a:graphic xmlns:a="http://schemas.openxmlformats.org/drawingml/2006/main">
              <a:graphicData uri="http://schemas.openxmlformats.org/drawingml/2006/picture">
                <pic:pic xmlns:pic="http://schemas.openxmlformats.org/drawingml/2006/picture">
                  <pic:nvPicPr>
                    <pic:cNvPr id="153" name="Picture" descr="figures/fig20_spm_dose_response.png"/>
                    <pic:cNvPicPr>
                      <a:picLocks noChangeAspect="1" noChangeArrowheads="1"/>
                    </pic:cNvPicPr>
                  </pic:nvPicPr>
                  <pic:blipFill>
                    <a:blip r:embed="rId36"/>
                    <a:stretch>
                      <a:fillRect/>
                    </a:stretch>
                  </pic:blipFill>
                  <pic:spPr bwMode="auto">
                    <a:xfrm>
                      <a:off x="0" y="0"/>
                      <a:ext cx="4800600" cy="2080349"/>
                    </a:xfrm>
                    <a:prstGeom prst="rect">
                      <a:avLst/>
                    </a:prstGeom>
                    <a:noFill/>
                    <a:ln w="9525">
                      <a:noFill/>
                      <a:headEnd/>
                      <a:tailEnd/>
                    </a:ln>
                  </pic:spPr>
                </pic:pic>
              </a:graphicData>
            </a:graphic>
          </wp:inline>
        </w:drawing>
      </w:r>
    </w:p>
    <w:p w14:paraId="0D0AFA35" w14:textId="77777777" w:rsidR="004B4AA5" w:rsidRDefault="00000000">
      <w:pPr>
        <w:pStyle w:val="ImageCaption"/>
      </w:pPr>
      <w:r>
        <w:t>SPM poverty dose-response (food program scenarios)</w:t>
      </w:r>
    </w:p>
    <w:p w14:paraId="0D0AFA36" w14:textId="77777777" w:rsidR="004B4AA5" w:rsidRDefault="00000000">
      <w:pPr>
        <w:pStyle w:val="CaptionedFigure"/>
      </w:pPr>
      <w:r>
        <w:rPr>
          <w:noProof/>
        </w:rPr>
        <w:drawing>
          <wp:inline distT="0" distB="0" distL="0" distR="0" wp14:anchorId="0D0AFAA8" wp14:editId="0D0AFAA9">
            <wp:extent cx="4800600" cy="2873937"/>
            <wp:effectExtent l="0" t="0" r="0" b="0"/>
            <wp:docPr id="155" name="Picture" descr="SCOTUS scenario: B50 per-person burden comparison (Appendix E)"/>
            <wp:cNvGraphicFramePr/>
            <a:graphic xmlns:a="http://schemas.openxmlformats.org/drawingml/2006/main">
              <a:graphicData uri="http://schemas.openxmlformats.org/drawingml/2006/picture">
                <pic:pic xmlns:pic="http://schemas.openxmlformats.org/drawingml/2006/picture">
                  <pic:nvPicPr>
                    <pic:cNvPr id="156" name="Picture" descr="figures/fig21_scotus_scenario_comparison.png"/>
                    <pic:cNvPicPr>
                      <a:picLocks noChangeAspect="1" noChangeArrowheads="1"/>
                    </pic:cNvPicPr>
                  </pic:nvPicPr>
                  <pic:blipFill>
                    <a:blip r:embed="rId37"/>
                    <a:stretch>
                      <a:fillRect/>
                    </a:stretch>
                  </pic:blipFill>
                  <pic:spPr bwMode="auto">
                    <a:xfrm>
                      <a:off x="0" y="0"/>
                      <a:ext cx="4800600" cy="2873937"/>
                    </a:xfrm>
                    <a:prstGeom prst="rect">
                      <a:avLst/>
                    </a:prstGeom>
                    <a:noFill/>
                    <a:ln w="9525">
                      <a:noFill/>
                      <a:headEnd/>
                      <a:tailEnd/>
                    </a:ln>
                  </pic:spPr>
                </pic:pic>
              </a:graphicData>
            </a:graphic>
          </wp:inline>
        </w:drawing>
      </w:r>
    </w:p>
    <w:p w14:paraId="0D0AFA37" w14:textId="77777777" w:rsidR="004B4AA5" w:rsidRDefault="00000000">
      <w:pPr>
        <w:pStyle w:val="ImageCaption"/>
      </w:pPr>
      <w:r>
        <w:t>SCOTUS scenario: B50 per-person burden comparison (Appendix E)</w:t>
      </w:r>
    </w:p>
    <w:p w14:paraId="0D0AFA38" w14:textId="77777777" w:rsidR="004B4AA5" w:rsidRDefault="00000000">
      <w:pPr>
        <w:pStyle w:val="CaptionedFigure"/>
      </w:pPr>
      <w:r>
        <w:rPr>
          <w:noProof/>
        </w:rPr>
        <w:lastRenderedPageBreak/>
        <w:drawing>
          <wp:inline distT="0" distB="0" distL="0" distR="0" wp14:anchorId="0D0AFAAA" wp14:editId="0D0AFAAB">
            <wp:extent cx="4800600" cy="3114770"/>
            <wp:effectExtent l="0" t="0" r="0" b="0"/>
            <wp:docPr id="158" name="Picture" descr="Central combined scenario: quintile burden decomposition (Appendix E)"/>
            <wp:cNvGraphicFramePr/>
            <a:graphic xmlns:a="http://schemas.openxmlformats.org/drawingml/2006/main">
              <a:graphicData uri="http://schemas.openxmlformats.org/drawingml/2006/picture">
                <pic:pic xmlns:pic="http://schemas.openxmlformats.org/drawingml/2006/picture">
                  <pic:nvPicPr>
                    <pic:cNvPr id="159" name="Picture" descr="figures/fig22_scotus_quintile_decomposition.png"/>
                    <pic:cNvPicPr>
                      <a:picLocks noChangeAspect="1" noChangeArrowheads="1"/>
                    </pic:cNvPicPr>
                  </pic:nvPicPr>
                  <pic:blipFill>
                    <a:blip r:embed="rId38"/>
                    <a:stretch>
                      <a:fillRect/>
                    </a:stretch>
                  </pic:blipFill>
                  <pic:spPr bwMode="auto">
                    <a:xfrm>
                      <a:off x="0" y="0"/>
                      <a:ext cx="4800600" cy="3114770"/>
                    </a:xfrm>
                    <a:prstGeom prst="rect">
                      <a:avLst/>
                    </a:prstGeom>
                    <a:noFill/>
                    <a:ln w="9525">
                      <a:noFill/>
                      <a:headEnd/>
                      <a:tailEnd/>
                    </a:ln>
                  </pic:spPr>
                </pic:pic>
              </a:graphicData>
            </a:graphic>
          </wp:inline>
        </w:drawing>
      </w:r>
    </w:p>
    <w:p w14:paraId="0D0AFA39" w14:textId="77777777" w:rsidR="004B4AA5" w:rsidRDefault="00000000">
      <w:pPr>
        <w:pStyle w:val="ImageCaption"/>
      </w:pPr>
      <w:r>
        <w:t>Central combined scenario: quintile burden decomposition (Appendix E)</w:t>
      </w:r>
    </w:p>
    <w:p w14:paraId="0D0AFA3A" w14:textId="77777777" w:rsidR="004B4AA5" w:rsidRDefault="00000000">
      <w:pPr>
        <w:pStyle w:val="CaptionedFigure"/>
      </w:pPr>
      <w:r>
        <w:rPr>
          <w:noProof/>
        </w:rPr>
        <w:drawing>
          <wp:inline distT="0" distB="0" distL="0" distR="0" wp14:anchorId="0D0AFAAC" wp14:editId="0D0AFAAD">
            <wp:extent cx="4800600" cy="3052539"/>
            <wp:effectExtent l="0" t="0" r="0" b="0"/>
            <wp:docPr id="161" name="Picture" descr="Price stickiness and the incidence of tariff revocation (Appendix E)"/>
            <wp:cNvGraphicFramePr/>
            <a:graphic xmlns:a="http://schemas.openxmlformats.org/drawingml/2006/main">
              <a:graphicData uri="http://schemas.openxmlformats.org/drawingml/2006/picture">
                <pic:pic xmlns:pic="http://schemas.openxmlformats.org/drawingml/2006/picture">
                  <pic:nvPicPr>
                    <pic:cNvPr id="162" name="Picture" descr="figures/fig23_price_stickiness_flows.png"/>
                    <pic:cNvPicPr>
                      <a:picLocks noChangeAspect="1" noChangeArrowheads="1"/>
                    </pic:cNvPicPr>
                  </pic:nvPicPr>
                  <pic:blipFill>
                    <a:blip r:embed="rId39"/>
                    <a:stretch>
                      <a:fillRect/>
                    </a:stretch>
                  </pic:blipFill>
                  <pic:spPr bwMode="auto">
                    <a:xfrm>
                      <a:off x="0" y="0"/>
                      <a:ext cx="4800600" cy="3052539"/>
                    </a:xfrm>
                    <a:prstGeom prst="rect">
                      <a:avLst/>
                    </a:prstGeom>
                    <a:noFill/>
                    <a:ln w="9525">
                      <a:noFill/>
                      <a:headEnd/>
                      <a:tailEnd/>
                    </a:ln>
                  </pic:spPr>
                </pic:pic>
              </a:graphicData>
            </a:graphic>
          </wp:inline>
        </w:drawing>
      </w:r>
    </w:p>
    <w:p w14:paraId="0D0AFA3B" w14:textId="77777777" w:rsidR="004B4AA5" w:rsidRDefault="00000000">
      <w:pPr>
        <w:pStyle w:val="ImageCaption"/>
      </w:pPr>
      <w:r>
        <w:t>Price stickiness and the incidence of tariff revocation (Appendix E)</w:t>
      </w:r>
    </w:p>
    <w:p w14:paraId="0D0AFA3C" w14:textId="77777777" w:rsidR="004B4AA5" w:rsidRDefault="00000000">
      <w:pPr>
        <w:pStyle w:val="CaptionedFigure"/>
      </w:pPr>
      <w:r>
        <w:rPr>
          <w:noProof/>
        </w:rPr>
        <w:lastRenderedPageBreak/>
        <w:drawing>
          <wp:inline distT="0" distB="0" distL="0" distR="0" wp14:anchorId="0D0AFAAE" wp14:editId="0D0AFAAF">
            <wp:extent cx="4800600" cy="2638399"/>
            <wp:effectExtent l="0" t="0" r="0" b="0"/>
            <wp:docPr id="164" name="Picture" descr="SCOTUS scenario: sensitivity range and welfare impact (Appendix E)"/>
            <wp:cNvGraphicFramePr/>
            <a:graphic xmlns:a="http://schemas.openxmlformats.org/drawingml/2006/main">
              <a:graphicData uri="http://schemas.openxmlformats.org/drawingml/2006/picture">
                <pic:pic xmlns:pic="http://schemas.openxmlformats.org/drawingml/2006/picture">
                  <pic:nvPicPr>
                    <pic:cNvPr id="165" name="Picture" descr="figures/fig24_scotus_welfare_sensitivity.png"/>
                    <pic:cNvPicPr>
                      <a:picLocks noChangeAspect="1" noChangeArrowheads="1"/>
                    </pic:cNvPicPr>
                  </pic:nvPicPr>
                  <pic:blipFill>
                    <a:blip r:embed="rId40"/>
                    <a:stretch>
                      <a:fillRect/>
                    </a:stretch>
                  </pic:blipFill>
                  <pic:spPr bwMode="auto">
                    <a:xfrm>
                      <a:off x="0" y="0"/>
                      <a:ext cx="4800600" cy="2638399"/>
                    </a:xfrm>
                    <a:prstGeom prst="rect">
                      <a:avLst/>
                    </a:prstGeom>
                    <a:noFill/>
                    <a:ln w="9525">
                      <a:noFill/>
                      <a:headEnd/>
                      <a:tailEnd/>
                    </a:ln>
                  </pic:spPr>
                </pic:pic>
              </a:graphicData>
            </a:graphic>
          </wp:inline>
        </w:drawing>
      </w:r>
    </w:p>
    <w:p w14:paraId="0D0AFA3D" w14:textId="77777777" w:rsidR="004B4AA5" w:rsidRDefault="00000000">
      <w:pPr>
        <w:pStyle w:val="ImageCaption"/>
      </w:pPr>
      <w:r>
        <w:t>SCOTUS scenario: sensitivity range and welfare impact (Appendix E)</w:t>
      </w:r>
    </w:p>
    <w:p w14:paraId="0D0AFA3E" w14:textId="77777777" w:rsidR="004B4AA5" w:rsidRDefault="00000000">
      <w:pPr>
        <w:pStyle w:val="CaptionedFigure"/>
      </w:pPr>
      <w:r>
        <w:rPr>
          <w:noProof/>
        </w:rPr>
        <w:drawing>
          <wp:inline distT="0" distB="0" distL="0" distR="0" wp14:anchorId="0D0AFAB0" wp14:editId="0D0AFAB1">
            <wp:extent cx="4800600" cy="2045493"/>
            <wp:effectExtent l="0" t="0" r="0" b="0"/>
            <wp:docPr id="167" name="Picture" descr="Simulated distributional burden curve"/>
            <wp:cNvGraphicFramePr/>
            <a:graphic xmlns:a="http://schemas.openxmlformats.org/drawingml/2006/main">
              <a:graphicData uri="http://schemas.openxmlformats.org/drawingml/2006/picture">
                <pic:pic xmlns:pic="http://schemas.openxmlformats.org/drawingml/2006/picture">
                  <pic:nvPicPr>
                    <pic:cNvPr id="168" name="Picture" descr="figures/fig3_quantile_treatment_effects.png"/>
                    <pic:cNvPicPr>
                      <a:picLocks noChangeAspect="1" noChangeArrowheads="1"/>
                    </pic:cNvPicPr>
                  </pic:nvPicPr>
                  <pic:blipFill>
                    <a:blip r:embed="rId41"/>
                    <a:stretch>
                      <a:fillRect/>
                    </a:stretch>
                  </pic:blipFill>
                  <pic:spPr bwMode="auto">
                    <a:xfrm>
                      <a:off x="0" y="0"/>
                      <a:ext cx="4800600" cy="2045493"/>
                    </a:xfrm>
                    <a:prstGeom prst="rect">
                      <a:avLst/>
                    </a:prstGeom>
                    <a:noFill/>
                    <a:ln w="9525">
                      <a:noFill/>
                      <a:headEnd/>
                      <a:tailEnd/>
                    </a:ln>
                  </pic:spPr>
                </pic:pic>
              </a:graphicData>
            </a:graphic>
          </wp:inline>
        </w:drawing>
      </w:r>
    </w:p>
    <w:p w14:paraId="0D0AFA3F" w14:textId="77777777" w:rsidR="004B4AA5" w:rsidRDefault="00000000">
      <w:pPr>
        <w:pStyle w:val="ImageCaption"/>
      </w:pPr>
      <w:r>
        <w:t>Simulated distributional burden curve</w:t>
      </w:r>
    </w:p>
    <w:p w14:paraId="0D0AFA40" w14:textId="77777777" w:rsidR="004B4AA5" w:rsidRDefault="00000000">
      <w:pPr>
        <w:pStyle w:val="CaptionedFigure"/>
      </w:pPr>
      <w:r>
        <w:rPr>
          <w:noProof/>
        </w:rPr>
        <w:lastRenderedPageBreak/>
        <w:drawing>
          <wp:inline distT="0" distB="0" distL="0" distR="0" wp14:anchorId="0D0AFAB2" wp14:editId="0D0AFAB3">
            <wp:extent cx="4800600" cy="2864141"/>
            <wp:effectExtent l="0" t="0" r="0" b="0"/>
            <wp:docPr id="170" name="Picture" descr="SPM poverty simulation"/>
            <wp:cNvGraphicFramePr/>
            <a:graphic xmlns:a="http://schemas.openxmlformats.org/drawingml/2006/main">
              <a:graphicData uri="http://schemas.openxmlformats.org/drawingml/2006/picture">
                <pic:pic xmlns:pic="http://schemas.openxmlformats.org/drawingml/2006/picture">
                  <pic:nvPicPr>
                    <pic:cNvPr id="171" name="Picture" descr="figures/fig4_spm_poverty_simulation.png"/>
                    <pic:cNvPicPr>
                      <a:picLocks noChangeAspect="1" noChangeArrowheads="1"/>
                    </pic:cNvPicPr>
                  </pic:nvPicPr>
                  <pic:blipFill>
                    <a:blip r:embed="rId42"/>
                    <a:stretch>
                      <a:fillRect/>
                    </a:stretch>
                  </pic:blipFill>
                  <pic:spPr bwMode="auto">
                    <a:xfrm>
                      <a:off x="0" y="0"/>
                      <a:ext cx="4800600" cy="2864141"/>
                    </a:xfrm>
                    <a:prstGeom prst="rect">
                      <a:avLst/>
                    </a:prstGeom>
                    <a:noFill/>
                    <a:ln w="9525">
                      <a:noFill/>
                      <a:headEnd/>
                      <a:tailEnd/>
                    </a:ln>
                  </pic:spPr>
                </pic:pic>
              </a:graphicData>
            </a:graphic>
          </wp:inline>
        </w:drawing>
      </w:r>
    </w:p>
    <w:p w14:paraId="0D0AFA41" w14:textId="77777777" w:rsidR="004B4AA5" w:rsidRDefault="00000000">
      <w:pPr>
        <w:pStyle w:val="ImageCaption"/>
      </w:pPr>
      <w:r>
        <w:t>SPM poverty simulation</w:t>
      </w:r>
    </w:p>
    <w:p w14:paraId="0D0AFA42" w14:textId="77777777" w:rsidR="004B4AA5" w:rsidRDefault="00000000">
      <w:pPr>
        <w:pStyle w:val="CaptionedFigure"/>
      </w:pPr>
      <w:r>
        <w:rPr>
          <w:noProof/>
        </w:rPr>
        <w:drawing>
          <wp:inline distT="0" distB="0" distL="0" distR="0" wp14:anchorId="0D0AFAB4" wp14:editId="0D0AFAB5">
            <wp:extent cx="4800600" cy="2045000"/>
            <wp:effectExtent l="0" t="0" r="0" b="0"/>
            <wp:docPr id="173" name="Picture" descr="State exposure classification map"/>
            <wp:cNvGraphicFramePr/>
            <a:graphic xmlns:a="http://schemas.openxmlformats.org/drawingml/2006/main">
              <a:graphicData uri="http://schemas.openxmlformats.org/drawingml/2006/picture">
                <pic:pic xmlns:pic="http://schemas.openxmlformats.org/drawingml/2006/picture">
                  <pic:nvPicPr>
                    <pic:cNvPr id="174" name="Picture" descr="figures/fig5_state_exposure.png"/>
                    <pic:cNvPicPr>
                      <a:picLocks noChangeAspect="1" noChangeArrowheads="1"/>
                    </pic:cNvPicPr>
                  </pic:nvPicPr>
                  <pic:blipFill>
                    <a:blip r:embed="rId43"/>
                    <a:stretch>
                      <a:fillRect/>
                    </a:stretch>
                  </pic:blipFill>
                  <pic:spPr bwMode="auto">
                    <a:xfrm>
                      <a:off x="0" y="0"/>
                      <a:ext cx="4800600" cy="2045000"/>
                    </a:xfrm>
                    <a:prstGeom prst="rect">
                      <a:avLst/>
                    </a:prstGeom>
                    <a:noFill/>
                    <a:ln w="9525">
                      <a:noFill/>
                      <a:headEnd/>
                      <a:tailEnd/>
                    </a:ln>
                  </pic:spPr>
                </pic:pic>
              </a:graphicData>
            </a:graphic>
          </wp:inline>
        </w:drawing>
      </w:r>
    </w:p>
    <w:p w14:paraId="0D0AFA43" w14:textId="77777777" w:rsidR="004B4AA5" w:rsidRDefault="00000000">
      <w:pPr>
        <w:pStyle w:val="ImageCaption"/>
      </w:pPr>
      <w:r>
        <w:t>State exposure classification map</w:t>
      </w:r>
    </w:p>
    <w:p w14:paraId="0D0AFA44" w14:textId="77777777" w:rsidR="004B4AA5" w:rsidRDefault="00000000">
      <w:pPr>
        <w:pStyle w:val="CaptionedFigure"/>
      </w:pPr>
      <w:r>
        <w:rPr>
          <w:noProof/>
        </w:rPr>
        <w:lastRenderedPageBreak/>
        <w:drawing>
          <wp:inline distT="0" distB="0" distL="0" distR="0" wp14:anchorId="0D0AFAB6" wp14:editId="0D0AFAB7">
            <wp:extent cx="4800600" cy="2850862"/>
            <wp:effectExtent l="0" t="0" r="0" b="0"/>
            <wp:docPr id="176" name="Picture" descr="Welfare-weighted impact (CRRA)"/>
            <wp:cNvGraphicFramePr/>
            <a:graphic xmlns:a="http://schemas.openxmlformats.org/drawingml/2006/main">
              <a:graphicData uri="http://schemas.openxmlformats.org/drawingml/2006/picture">
                <pic:pic xmlns:pic="http://schemas.openxmlformats.org/drawingml/2006/picture">
                  <pic:nvPicPr>
                    <pic:cNvPr id="177" name="Picture" descr="figures/fig6_welfare_weighted_impact.png"/>
                    <pic:cNvPicPr>
                      <a:picLocks noChangeAspect="1" noChangeArrowheads="1"/>
                    </pic:cNvPicPr>
                  </pic:nvPicPr>
                  <pic:blipFill>
                    <a:blip r:embed="rId44"/>
                    <a:stretch>
                      <a:fillRect/>
                    </a:stretch>
                  </pic:blipFill>
                  <pic:spPr bwMode="auto">
                    <a:xfrm>
                      <a:off x="0" y="0"/>
                      <a:ext cx="4800600" cy="2850862"/>
                    </a:xfrm>
                    <a:prstGeom prst="rect">
                      <a:avLst/>
                    </a:prstGeom>
                    <a:noFill/>
                    <a:ln w="9525">
                      <a:noFill/>
                      <a:headEnd/>
                      <a:tailEnd/>
                    </a:ln>
                  </pic:spPr>
                </pic:pic>
              </a:graphicData>
            </a:graphic>
          </wp:inline>
        </w:drawing>
      </w:r>
    </w:p>
    <w:p w14:paraId="0D0AFA45" w14:textId="77777777" w:rsidR="004B4AA5" w:rsidRDefault="00000000">
      <w:pPr>
        <w:pStyle w:val="ImageCaption"/>
      </w:pPr>
      <w:r>
        <w:t>Welfare-weighted impact (CRRA)</w:t>
      </w:r>
    </w:p>
    <w:p w14:paraId="0D0AFA46" w14:textId="77777777" w:rsidR="004B4AA5" w:rsidRDefault="00000000">
      <w:pPr>
        <w:pStyle w:val="CaptionedFigure"/>
      </w:pPr>
      <w:r>
        <w:rPr>
          <w:noProof/>
        </w:rPr>
        <w:drawing>
          <wp:inline distT="0" distB="0" distL="0" distR="0" wp14:anchorId="0D0AFAB8" wp14:editId="0D0AFAB9">
            <wp:extent cx="4800600" cy="3336092"/>
            <wp:effectExtent l="0" t="0" r="0" b="0"/>
            <wp:docPr id="179" name="Picture" descr="B50 vs. T50 tariff cost by goods category"/>
            <wp:cNvGraphicFramePr/>
            <a:graphic xmlns:a="http://schemas.openxmlformats.org/drawingml/2006/main">
              <a:graphicData uri="http://schemas.openxmlformats.org/drawingml/2006/picture">
                <pic:pic xmlns:pic="http://schemas.openxmlformats.org/drawingml/2006/picture">
                  <pic:nvPicPr>
                    <pic:cNvPr id="180" name="Picture" descr="figures/fig9_b50_tariff_by_category.png"/>
                    <pic:cNvPicPr>
                      <a:picLocks noChangeAspect="1" noChangeArrowheads="1"/>
                    </pic:cNvPicPr>
                  </pic:nvPicPr>
                  <pic:blipFill>
                    <a:blip r:embed="rId45"/>
                    <a:stretch>
                      <a:fillRect/>
                    </a:stretch>
                  </pic:blipFill>
                  <pic:spPr bwMode="auto">
                    <a:xfrm>
                      <a:off x="0" y="0"/>
                      <a:ext cx="4800600" cy="3336092"/>
                    </a:xfrm>
                    <a:prstGeom prst="rect">
                      <a:avLst/>
                    </a:prstGeom>
                    <a:noFill/>
                    <a:ln w="9525">
                      <a:noFill/>
                      <a:headEnd/>
                      <a:tailEnd/>
                    </a:ln>
                  </pic:spPr>
                </pic:pic>
              </a:graphicData>
            </a:graphic>
          </wp:inline>
        </w:drawing>
      </w:r>
    </w:p>
    <w:p w14:paraId="0D0AFA47" w14:textId="77777777" w:rsidR="004B4AA5" w:rsidRDefault="00000000">
      <w:pPr>
        <w:pStyle w:val="ImageCaption"/>
      </w:pPr>
      <w:r>
        <w:t>B50 vs. T50 tariff cost by goods category</w:t>
      </w:r>
    </w:p>
    <w:p w14:paraId="0D0AFA48" w14:textId="77777777" w:rsidR="004B4AA5" w:rsidRDefault="00000000">
      <w:pPr>
        <w:pStyle w:val="CaptionedFigure"/>
      </w:pPr>
      <w:r>
        <w:rPr>
          <w:noProof/>
        </w:rPr>
        <w:lastRenderedPageBreak/>
        <w:drawing>
          <wp:inline distT="0" distB="0" distL="0" distR="0" wp14:anchorId="0D0AFABA" wp14:editId="0D0AFABB">
            <wp:extent cx="4800600" cy="2723417"/>
            <wp:effectExtent l="0" t="0" r="0" b="0"/>
            <wp:docPr id="182" name="Picture" descr="Budget function waterfall (real terms)"/>
            <wp:cNvGraphicFramePr/>
            <a:graphic xmlns:a="http://schemas.openxmlformats.org/drawingml/2006/main">
              <a:graphicData uri="http://schemas.openxmlformats.org/drawingml/2006/picture">
                <pic:pic xmlns:pic="http://schemas.openxmlformats.org/drawingml/2006/picture">
                  <pic:nvPicPr>
                    <pic:cNvPr id="183" name="Picture" descr="figures/real_budget_function_waterfall.png"/>
                    <pic:cNvPicPr>
                      <a:picLocks noChangeAspect="1" noChangeArrowheads="1"/>
                    </pic:cNvPicPr>
                  </pic:nvPicPr>
                  <pic:blipFill>
                    <a:blip r:embed="rId46"/>
                    <a:stretch>
                      <a:fillRect/>
                    </a:stretch>
                  </pic:blipFill>
                  <pic:spPr bwMode="auto">
                    <a:xfrm>
                      <a:off x="0" y="0"/>
                      <a:ext cx="4800600" cy="2723417"/>
                    </a:xfrm>
                    <a:prstGeom prst="rect">
                      <a:avLst/>
                    </a:prstGeom>
                    <a:noFill/>
                    <a:ln w="9525">
                      <a:noFill/>
                      <a:headEnd/>
                      <a:tailEnd/>
                    </a:ln>
                  </pic:spPr>
                </pic:pic>
              </a:graphicData>
            </a:graphic>
          </wp:inline>
        </w:drawing>
      </w:r>
    </w:p>
    <w:p w14:paraId="0D0AFA49" w14:textId="77777777" w:rsidR="004B4AA5" w:rsidRDefault="00000000">
      <w:pPr>
        <w:pStyle w:val="ImageCaption"/>
      </w:pPr>
      <w:r>
        <w:t>Budget function waterfall (real terms)</w:t>
      </w:r>
    </w:p>
    <w:p w14:paraId="0D0AFA4A" w14:textId="77777777" w:rsidR="004B4AA5" w:rsidRDefault="00000000">
      <w:pPr>
        <w:pStyle w:val="CaptionedFigure"/>
      </w:pPr>
      <w:r>
        <w:rPr>
          <w:noProof/>
        </w:rPr>
        <w:drawing>
          <wp:inline distT="0" distB="0" distL="0" distR="0" wp14:anchorId="0D0AFABC" wp14:editId="0D0AFABD">
            <wp:extent cx="4800600" cy="2777875"/>
            <wp:effectExtent l="0" t="0" r="0" b="0"/>
            <wp:docPr id="185" name="Picture" descr="Cumulative spending by tier (real terms)"/>
            <wp:cNvGraphicFramePr/>
            <a:graphic xmlns:a="http://schemas.openxmlformats.org/drawingml/2006/main">
              <a:graphicData uri="http://schemas.openxmlformats.org/drawingml/2006/picture">
                <pic:pic xmlns:pic="http://schemas.openxmlformats.org/drawingml/2006/picture">
                  <pic:nvPicPr>
                    <pic:cNvPr id="186" name="Picture" descr="figures/real_cumulative_by_tier.png"/>
                    <pic:cNvPicPr>
                      <a:picLocks noChangeAspect="1" noChangeArrowheads="1"/>
                    </pic:cNvPicPr>
                  </pic:nvPicPr>
                  <pic:blipFill>
                    <a:blip r:embed="rId47"/>
                    <a:stretch>
                      <a:fillRect/>
                    </a:stretch>
                  </pic:blipFill>
                  <pic:spPr bwMode="auto">
                    <a:xfrm>
                      <a:off x="0" y="0"/>
                      <a:ext cx="4800600" cy="2777875"/>
                    </a:xfrm>
                    <a:prstGeom prst="rect">
                      <a:avLst/>
                    </a:prstGeom>
                    <a:noFill/>
                    <a:ln w="9525">
                      <a:noFill/>
                      <a:headEnd/>
                      <a:tailEnd/>
                    </a:ln>
                  </pic:spPr>
                </pic:pic>
              </a:graphicData>
            </a:graphic>
          </wp:inline>
        </w:drawing>
      </w:r>
    </w:p>
    <w:p w14:paraId="0D0AFA4B" w14:textId="77777777" w:rsidR="004B4AA5" w:rsidRDefault="00000000">
      <w:pPr>
        <w:pStyle w:val="ImageCaption"/>
      </w:pPr>
      <w:r>
        <w:t>Cumulative spending by tier (real terms)</w:t>
      </w:r>
    </w:p>
    <w:p w14:paraId="0D0AFA4C" w14:textId="77777777" w:rsidR="004B4AA5" w:rsidRDefault="00000000">
      <w:pPr>
        <w:pStyle w:val="CaptionedFigure"/>
      </w:pPr>
      <w:r>
        <w:rPr>
          <w:noProof/>
        </w:rPr>
        <w:lastRenderedPageBreak/>
        <w:drawing>
          <wp:inline distT="0" distB="0" distL="0" distR="0" wp14:anchorId="0D0AFABE" wp14:editId="0D0AFABF">
            <wp:extent cx="4800600" cy="2777875"/>
            <wp:effectExtent l="0" t="0" r="0" b="0"/>
            <wp:docPr id="188" name="Picture" descr="Defense vs. social spending (real terms)"/>
            <wp:cNvGraphicFramePr/>
            <a:graphic xmlns:a="http://schemas.openxmlformats.org/drawingml/2006/main">
              <a:graphicData uri="http://schemas.openxmlformats.org/drawingml/2006/picture">
                <pic:pic xmlns:pic="http://schemas.openxmlformats.org/drawingml/2006/picture">
                  <pic:nvPicPr>
                    <pic:cNvPr id="189" name="Picture" descr="figures/real_defense_vs_social.png"/>
                    <pic:cNvPicPr>
                      <a:picLocks noChangeAspect="1" noChangeArrowheads="1"/>
                    </pic:cNvPicPr>
                  </pic:nvPicPr>
                  <pic:blipFill>
                    <a:blip r:embed="rId48"/>
                    <a:stretch>
                      <a:fillRect/>
                    </a:stretch>
                  </pic:blipFill>
                  <pic:spPr bwMode="auto">
                    <a:xfrm>
                      <a:off x="0" y="0"/>
                      <a:ext cx="4800600" cy="2777875"/>
                    </a:xfrm>
                    <a:prstGeom prst="rect">
                      <a:avLst/>
                    </a:prstGeom>
                    <a:noFill/>
                    <a:ln w="9525">
                      <a:noFill/>
                      <a:headEnd/>
                      <a:tailEnd/>
                    </a:ln>
                  </pic:spPr>
                </pic:pic>
              </a:graphicData>
            </a:graphic>
          </wp:inline>
        </w:drawing>
      </w:r>
    </w:p>
    <w:p w14:paraId="0D0AFA4D" w14:textId="77777777" w:rsidR="004B4AA5" w:rsidRDefault="00000000">
      <w:pPr>
        <w:pStyle w:val="ImageCaption"/>
      </w:pPr>
      <w:r>
        <w:t>Defense vs. social spending (real terms)</w:t>
      </w:r>
    </w:p>
    <w:p w14:paraId="0D0AFA4E" w14:textId="77777777" w:rsidR="004B4AA5" w:rsidRDefault="00000000">
      <w:pPr>
        <w:pStyle w:val="CaptionedFigure"/>
      </w:pPr>
      <w:r>
        <w:rPr>
          <w:noProof/>
        </w:rPr>
        <w:drawing>
          <wp:inline distT="0" distB="0" distL="0" distR="0" wp14:anchorId="0D0AFAC0" wp14:editId="0D0AFAC1">
            <wp:extent cx="4800600" cy="2777875"/>
            <wp:effectExtent l="0" t="0" r="0" b="0"/>
            <wp:docPr id="191" name="Picture" descr="Interest payment timeline (real terms)"/>
            <wp:cNvGraphicFramePr/>
            <a:graphic xmlns:a="http://schemas.openxmlformats.org/drawingml/2006/main">
              <a:graphicData uri="http://schemas.openxmlformats.org/drawingml/2006/picture">
                <pic:pic xmlns:pic="http://schemas.openxmlformats.org/drawingml/2006/picture">
                  <pic:nvPicPr>
                    <pic:cNvPr id="192" name="Picture" descr="figures/real_interest_timeline.png"/>
                    <pic:cNvPicPr>
                      <a:picLocks noChangeAspect="1" noChangeArrowheads="1"/>
                    </pic:cNvPicPr>
                  </pic:nvPicPr>
                  <pic:blipFill>
                    <a:blip r:embed="rId49"/>
                    <a:stretch>
                      <a:fillRect/>
                    </a:stretch>
                  </pic:blipFill>
                  <pic:spPr bwMode="auto">
                    <a:xfrm>
                      <a:off x="0" y="0"/>
                      <a:ext cx="4800600" cy="2777875"/>
                    </a:xfrm>
                    <a:prstGeom prst="rect">
                      <a:avLst/>
                    </a:prstGeom>
                    <a:noFill/>
                    <a:ln w="9525">
                      <a:noFill/>
                      <a:headEnd/>
                      <a:tailEnd/>
                    </a:ln>
                  </pic:spPr>
                </pic:pic>
              </a:graphicData>
            </a:graphic>
          </wp:inline>
        </w:drawing>
      </w:r>
    </w:p>
    <w:p w14:paraId="0D0AFA4F" w14:textId="77777777" w:rsidR="004B4AA5" w:rsidRDefault="00000000">
      <w:pPr>
        <w:pStyle w:val="ImageCaption"/>
      </w:pPr>
      <w:r>
        <w:t>Interest payment timeline (real terms)</w:t>
      </w:r>
    </w:p>
    <w:p w14:paraId="0D0AFA50" w14:textId="77777777" w:rsidR="004B4AA5" w:rsidRDefault="00000000">
      <w:pPr>
        <w:pStyle w:val="CaptionedFigure"/>
      </w:pPr>
      <w:r>
        <w:rPr>
          <w:noProof/>
        </w:rPr>
        <w:lastRenderedPageBreak/>
        <w:drawing>
          <wp:inline distT="0" distB="0" distL="0" distR="0" wp14:anchorId="0D0AFAC2" wp14:editId="0D0AFAC3">
            <wp:extent cx="4800600" cy="2854410"/>
            <wp:effectExtent l="0" t="0" r="0" b="0"/>
            <wp:docPr id="194" name="Picture" descr="Propensity classification comparison"/>
            <wp:cNvGraphicFramePr/>
            <a:graphic xmlns:a="http://schemas.openxmlformats.org/drawingml/2006/main">
              <a:graphicData uri="http://schemas.openxmlformats.org/drawingml/2006/picture">
                <pic:pic xmlns:pic="http://schemas.openxmlformats.org/drawingml/2006/picture">
                  <pic:nvPicPr>
                    <pic:cNvPr id="195" name="Picture" descr="figures/real_propensity_comparison.png"/>
                    <pic:cNvPicPr>
                      <a:picLocks noChangeAspect="1" noChangeArrowheads="1"/>
                    </pic:cNvPicPr>
                  </pic:nvPicPr>
                  <pic:blipFill>
                    <a:blip r:embed="rId50"/>
                    <a:stretch>
                      <a:fillRect/>
                    </a:stretch>
                  </pic:blipFill>
                  <pic:spPr bwMode="auto">
                    <a:xfrm>
                      <a:off x="0" y="0"/>
                      <a:ext cx="4800600" cy="2854410"/>
                    </a:xfrm>
                    <a:prstGeom prst="rect">
                      <a:avLst/>
                    </a:prstGeom>
                    <a:noFill/>
                    <a:ln w="9525">
                      <a:noFill/>
                      <a:headEnd/>
                      <a:tailEnd/>
                    </a:ln>
                  </pic:spPr>
                </pic:pic>
              </a:graphicData>
            </a:graphic>
          </wp:inline>
        </w:drawing>
      </w:r>
    </w:p>
    <w:p w14:paraId="0D0AFA51" w14:textId="77777777" w:rsidR="004B4AA5" w:rsidRDefault="00000000">
      <w:pPr>
        <w:pStyle w:val="ImageCaption"/>
      </w:pPr>
      <w:r>
        <w:t>Propensity classification comparison</w:t>
      </w:r>
    </w:p>
    <w:p w14:paraId="0D0AFA52" w14:textId="77777777" w:rsidR="004B4AA5" w:rsidRDefault="00000000">
      <w:pPr>
        <w:pStyle w:val="CaptionedFigure"/>
      </w:pPr>
      <w:r>
        <w:rPr>
          <w:noProof/>
        </w:rPr>
        <w:drawing>
          <wp:inline distT="0" distB="0" distL="0" distR="0" wp14:anchorId="0D0AFAC4" wp14:editId="0D0AFAC5">
            <wp:extent cx="4800600" cy="2777875"/>
            <wp:effectExtent l="0" t="0" r="0" b="0"/>
            <wp:docPr id="197" name="Picture" descr="Propensity stacked area chart"/>
            <wp:cNvGraphicFramePr/>
            <a:graphic xmlns:a="http://schemas.openxmlformats.org/drawingml/2006/main">
              <a:graphicData uri="http://schemas.openxmlformats.org/drawingml/2006/picture">
                <pic:pic xmlns:pic="http://schemas.openxmlformats.org/drawingml/2006/picture">
                  <pic:nvPicPr>
                    <pic:cNvPr id="198" name="Picture" descr="figures/real_propensity_stacked_area.png"/>
                    <pic:cNvPicPr>
                      <a:picLocks noChangeAspect="1" noChangeArrowheads="1"/>
                    </pic:cNvPicPr>
                  </pic:nvPicPr>
                  <pic:blipFill>
                    <a:blip r:embed="rId51"/>
                    <a:stretch>
                      <a:fillRect/>
                    </a:stretch>
                  </pic:blipFill>
                  <pic:spPr bwMode="auto">
                    <a:xfrm>
                      <a:off x="0" y="0"/>
                      <a:ext cx="4800600" cy="2777875"/>
                    </a:xfrm>
                    <a:prstGeom prst="rect">
                      <a:avLst/>
                    </a:prstGeom>
                    <a:noFill/>
                    <a:ln w="9525">
                      <a:noFill/>
                      <a:headEnd/>
                      <a:tailEnd/>
                    </a:ln>
                  </pic:spPr>
                </pic:pic>
              </a:graphicData>
            </a:graphic>
          </wp:inline>
        </w:drawing>
      </w:r>
    </w:p>
    <w:p w14:paraId="0D0AFA53" w14:textId="77777777" w:rsidR="004B4AA5" w:rsidRDefault="00000000">
      <w:pPr>
        <w:pStyle w:val="ImageCaption"/>
      </w:pPr>
      <w:r>
        <w:t>Propensity stacked area chart</w:t>
      </w:r>
    </w:p>
    <w:p w14:paraId="0D0AFA54" w14:textId="77777777" w:rsidR="004B4AA5" w:rsidRDefault="00000000">
      <w:pPr>
        <w:pStyle w:val="CaptionedFigure"/>
      </w:pPr>
      <w:r>
        <w:rPr>
          <w:noProof/>
        </w:rPr>
        <w:lastRenderedPageBreak/>
        <w:drawing>
          <wp:inline distT="0" distB="0" distL="0" distR="0" wp14:anchorId="0D0AFAC6" wp14:editId="0D0AFAC7">
            <wp:extent cx="4800600" cy="2730341"/>
            <wp:effectExtent l="0" t="0" r="0" b="0"/>
            <wp:docPr id="200" name="Picture" descr="Tariff windfall flow diagram. Assumes 4.5% 10-yr rate (FRED DGS10), 20\times P/E (conservative); equity ownership 93% top-10 (Fed 2023 SCF), bond ownership ~67% top-10 (Fed DFA)"/>
            <wp:cNvGraphicFramePr/>
            <a:graphic xmlns:a="http://schemas.openxmlformats.org/drawingml/2006/main">
              <a:graphicData uri="http://schemas.openxmlformats.org/drawingml/2006/picture">
                <pic:pic xmlns:pic="http://schemas.openxmlformats.org/drawingml/2006/picture">
                  <pic:nvPicPr>
                    <pic:cNvPr id="201" name="Picture" descr="figures/real_tariff_windfall_flow.png"/>
                    <pic:cNvPicPr>
                      <a:picLocks noChangeAspect="1" noChangeArrowheads="1"/>
                    </pic:cNvPicPr>
                  </pic:nvPicPr>
                  <pic:blipFill>
                    <a:blip r:embed="rId52"/>
                    <a:stretch>
                      <a:fillRect/>
                    </a:stretch>
                  </pic:blipFill>
                  <pic:spPr bwMode="auto">
                    <a:xfrm>
                      <a:off x="0" y="0"/>
                      <a:ext cx="4800600" cy="2730341"/>
                    </a:xfrm>
                    <a:prstGeom prst="rect">
                      <a:avLst/>
                    </a:prstGeom>
                    <a:noFill/>
                    <a:ln w="9525">
                      <a:noFill/>
                      <a:headEnd/>
                      <a:tailEnd/>
                    </a:ln>
                  </pic:spPr>
                </pic:pic>
              </a:graphicData>
            </a:graphic>
          </wp:inline>
        </w:drawing>
      </w:r>
    </w:p>
    <w:p w14:paraId="0D0AFA55" w14:textId="77777777" w:rsidR="004B4AA5" w:rsidRDefault="00000000">
      <w:pPr>
        <w:pStyle w:val="ImageCaption"/>
      </w:pPr>
      <w:r>
        <w:t>Tariff windfall flow diagram. Assumes 4.5% 10-yr rate (FRED DGS10), 20</w:t>
      </w:r>
      <m:oMath>
        <m:r>
          <w:rPr>
            <w:rFonts w:ascii="Cambria Math" w:hAnsi="Cambria Math"/>
          </w:rPr>
          <m:t>×</m:t>
        </m:r>
      </m:oMath>
      <w:r>
        <w:t xml:space="preserve"> P/E (conservative); equity ownership 93% top-10 (Fed 2023 SCF), bond ownership ~67% top-10 (Fed DFA)</w:t>
      </w:r>
    </w:p>
    <w:p w14:paraId="0D0AFA56" w14:textId="77777777" w:rsidR="004B4AA5" w:rsidRDefault="00000000">
      <w:pPr>
        <w:pStyle w:val="CaptionedFigure"/>
      </w:pPr>
      <w:r>
        <w:rPr>
          <w:noProof/>
        </w:rPr>
        <w:drawing>
          <wp:inline distT="0" distB="0" distL="0" distR="0" wp14:anchorId="0D0AFAC8" wp14:editId="0D0AFAC9">
            <wp:extent cx="4800600" cy="3180633"/>
            <wp:effectExtent l="0" t="0" r="0" b="0"/>
            <wp:docPr id="203" name="Picture" descr="Top agencies by spending change"/>
            <wp:cNvGraphicFramePr/>
            <a:graphic xmlns:a="http://schemas.openxmlformats.org/drawingml/2006/main">
              <a:graphicData uri="http://schemas.openxmlformats.org/drawingml/2006/picture">
                <pic:pic xmlns:pic="http://schemas.openxmlformats.org/drawingml/2006/picture">
                  <pic:nvPicPr>
                    <pic:cNvPr id="204" name="Picture" descr="figures/real_top_agencies.png"/>
                    <pic:cNvPicPr>
                      <a:picLocks noChangeAspect="1" noChangeArrowheads="1"/>
                    </pic:cNvPicPr>
                  </pic:nvPicPr>
                  <pic:blipFill>
                    <a:blip r:embed="rId53"/>
                    <a:stretch>
                      <a:fillRect/>
                    </a:stretch>
                  </pic:blipFill>
                  <pic:spPr bwMode="auto">
                    <a:xfrm>
                      <a:off x="0" y="0"/>
                      <a:ext cx="4800600" cy="3180633"/>
                    </a:xfrm>
                    <a:prstGeom prst="rect">
                      <a:avLst/>
                    </a:prstGeom>
                    <a:noFill/>
                    <a:ln w="9525">
                      <a:noFill/>
                      <a:headEnd/>
                      <a:tailEnd/>
                    </a:ln>
                  </pic:spPr>
                </pic:pic>
              </a:graphicData>
            </a:graphic>
          </wp:inline>
        </w:drawing>
      </w:r>
    </w:p>
    <w:p w14:paraId="0D0AFA57" w14:textId="77777777" w:rsidR="004B4AA5" w:rsidRDefault="00000000">
      <w:pPr>
        <w:pStyle w:val="ImageCaption"/>
      </w:pPr>
      <w:r>
        <w:t>Top agencies by spending change</w:t>
      </w:r>
      <w:bookmarkEnd w:id="102"/>
    </w:p>
    <w:sectPr w:rsidR="004B4AA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154C5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4647A7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E98FD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4"/>
    <w:multiLevelType w:val="multilevel"/>
    <w:tmpl w:val="D11A4A74"/>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573152133">
    <w:abstractNumId w:val="0"/>
  </w:num>
  <w:num w:numId="2" w16cid:durableId="9061863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03449774">
    <w:abstractNumId w:val="1"/>
  </w:num>
  <w:num w:numId="4" w16cid:durableId="14385277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64083083">
    <w:abstractNumId w:val="1"/>
  </w:num>
  <w:num w:numId="6" w16cid:durableId="2065173926">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7" w16cid:durableId="21463922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B4AA5"/>
    <w:rsid w:val="003A02B8"/>
    <w:rsid w:val="004B4AA5"/>
    <w:rsid w:val="007E51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AF6D1"/>
  <w15:docId w15:val="{9B6DD9D4-83A6-4BC1-9571-9FFE96D47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rsid w:val="007E514D"/>
    <w:pPr>
      <w:spacing w:after="100"/>
      <w:ind w:left="240"/>
    </w:pPr>
  </w:style>
  <w:style w:type="paragraph" w:styleId="TOC3">
    <w:name w:val="toc 3"/>
    <w:basedOn w:val="Normal"/>
    <w:next w:val="Normal"/>
    <w:autoRedefine/>
    <w:uiPriority w:val="39"/>
    <w:rsid w:val="007E514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hyperlink" Target="https://github.com/andsalazar/FederalBudgetAnalysis"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45</Pages>
  <Words>6644</Words>
  <Characters>39665</Characters>
  <Application>Microsoft Office Word</Application>
  <DocSecurity>0</DocSecurity>
  <Lines>1322</Lines>
  <Paragraphs>964</Paragraphs>
  <ScaleCrop>false</ScaleCrop>
  <Company/>
  <LinksUpToDate>false</LinksUpToDate>
  <CharactersWithSpaces>45345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Structural Breaks in the Distributional Incidence of U.S. Federal Fiscal Policy, FY2000–FY2025</dc:title>
  <dc:creator>Andy Salazar</dc:creator>
  <cp:keywords/>
  <cp:lastModifiedBy>Andy Salazar</cp:lastModifiedBy>
  <cp:revision>2</cp:revision>
  <dcterms:created xsi:type="dcterms:W3CDTF">2026-03-08T21:14:00Z</dcterms:created>
  <dcterms:modified xsi:type="dcterms:W3CDTF">2026-03-08T21:44:00Z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fiscal year 2025 represent a structural break in the distributional incidence of U.S. federal fiscal policy, or a continuation of quarter-century trends? I embed FY2025 within a 26-year panel (FY2000–FY2025) of CBO budget data, Treasury administrative records, and CPS ASEC microdata (1.4 million person-records), applying out-of-sample structural break tests to four distributional indicators. Two indicators register as genuine discontinuities: customs revenue’s share of total revenue jumped from 1.0% to 3.7% (z = 25.8), and the interest-to-safety-net crowding ratio doubled to 0.91 (z = 2.4). Two others—the regressive revenue share and the safety-net outlay share—remain within pre-existing trends. The channels identified as structural breaks are precisely those that burden the bottom 50% most heavily: the combined fiscal burden on the B50 is $1,331 per person (10.6% of pretax income). Distinguishing trend from discontinuity matters for policy: secular trends require structural reform, while discrete discontinuities are potentially reversible through targeted policy action.</vt:lpwstr>
  </property>
  <property fmtid="{D5CDD505-2E9C-101B-9397-08002B2CF9AE}" pid="3" name="date">
    <vt:lpwstr>March 2026 (Revised)</vt:lpwstr>
  </property>
  <property fmtid="{D5CDD505-2E9C-101B-9397-08002B2CF9AE}" pid="4" name="fontsize">
    <vt:lpwstr>11pt</vt:lpwstr>
  </property>
  <property fmtid="{D5CDD505-2E9C-101B-9397-08002B2CF9AE}" pid="5" name="geometry">
    <vt:lpwstr>margin=1in</vt:lpwstr>
  </property>
  <property fmtid="{D5CDD505-2E9C-101B-9397-08002B2CF9AE}" pid="6" name="header-includes">
    <vt:lpwstr/>
  </property>
  <property fmtid="{D5CDD505-2E9C-101B-9397-08002B2CF9AE}" pid="7" name="linestretch">
    <vt:lpwstr>1.5</vt:lpwstr>
  </property>
  <property fmtid="{D5CDD505-2E9C-101B-9397-08002B2CF9AE}" pid="8" name="numbersections">
    <vt:lpwstr>False</vt:lpwstr>
  </property>
  <property fmtid="{D5CDD505-2E9C-101B-9397-08002B2CF9AE}" pid="9" name="thanks">
    <vt:lpwstr>Working Paper. SSRN: https://papers.ssrn.com/sol3/papers.cfm?abstract_id=6285038. JEL: H22, H23, H53, D31, F13, E62. Replication package: https://github.com/andsalazar/FederalBudgetAnalysis. Pre-registration: docs/hypothesis_preregistration.md</vt:lpwstr>
  </property>
</Properties>
</file>