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interest-statement"/>
    <w:p>
      <w:pPr>
        <w:pStyle w:val="Heading1"/>
      </w:pPr>
      <w:r>
        <w:t xml:space="preserve">Declaration of Interest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Structural Breaks in the Distributional Incidence of U.S. Federal Fiscal Policy, FY2000–FY2025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Andy Salazar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author declares no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This research received no external funding from any agency in the public, commercial, or not-for-profit sectors.</w:t>
      </w:r>
    </w:p>
    <w:p>
      <w:pPr>
        <w:pStyle w:val="BodyText"/>
      </w:pPr>
      <w:r>
        <w:t xml:space="preserve">The author has no affiliations with or involvement in any organization or entity with any financial or non-financial interest in the subject matter or materials discussed in this manuscript.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2026-03-08T21:42:36Z</dcterms:created>
  <dcterms:modified xsi:type="dcterms:W3CDTF">2026-03-08T21:42:36Z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