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2267A"/>
          <w:sz w:val="52"/>
        </w:rPr>
        <w:t>Anrufskript: Vorzimmer</w:t>
      </w:r>
    </w:p>
    <w:p>
      <w:pPr>
        <w:spacing w:after="360"/>
      </w:pPr>
      <w:r>
        <w:rPr>
          <w:color w:val="555555"/>
          <w:sz w:val="22"/>
        </w:rPr>
        <w:t>Discovery-Anrufe KW19  —  Sequenz von Eröffnung bis Absage</w:t>
      </w:r>
    </w:p>
    <w:p>
      <w:pPr>
        <w:spacing w:after="120"/>
        <w:ind w:left="227"/>
        <w:pBdr>
          <w:left w:val="single" w:sz="18" w:space="8" w:color="52267A"/>
        </w:pBdr>
      </w:pPr>
      <w:r>
        <w:rPr>
          <w:b/>
          <w:sz w:val="22"/>
        </w:rPr>
        <w:t xml:space="preserve">Sprachregel (verbindlich): </w:t>
      </w:r>
      <w:r>
        <w:rPr>
          <w:sz w:val="22"/>
        </w:rPr>
        <w:t>Am Vorzimmer fällt nie das Wort „KI-Vorsystem“, „Software“, „Tool“ oder „Beta“. Nur Unternehmer + Wachstum + Stellenmarkt + Branchenreport.</w:t>
      </w:r>
    </w:p>
    <w:p>
      <w:pPr>
        <w:spacing w:before="400" w:after="120"/>
      </w:pPr>
      <w:r>
        <w:rPr>
          <w:b/>
          <w:color w:val="52267A"/>
          <w:sz w:val="28"/>
        </w:rPr>
        <w:t>1.  Eröffnung — wenn das Vorzimmer abnimmt</w:t>
      </w:r>
    </w:p>
    <w:p>
      <w:pPr>
        <w:spacing w:before="200" w:after="60"/>
      </w:pPr>
      <w:r>
        <w:rPr>
          <w:b/>
          <w:sz w:val="22"/>
        </w:rPr>
        <w:t>Standardvariante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Mein Name ist Andreas Schwarzkopf, Diplom-Kaufmann und Unternehmer. Ich habe gerade einen Branchenreport zur Lage in Steuerkanzleien zusammengestellt — und suche dafür den Austausch mit Inhabern wachsender Kanzleien. Unternehmer zu Unternehmer. Konkret: wie wachsen Sie weiter, wenn der Stellenmarkt nichts mehr hergibt? Ist Frau/Herr [Name] kurz erreichbar?</w:t>
      </w:r>
    </w:p>
    <w:p>
      <w:pPr>
        <w:spacing w:before="200" w:after="60"/>
      </w:pPr>
      <w:r>
        <w:rPr>
          <w:b/>
          <w:sz w:val="22"/>
        </w:rPr>
        <w:t>Kürzere Variante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Andreas Schwarzkopf, Diplom-Kaufmann und Unternehmer. Ich habe gerade einen Branchenreport zur Lage in Steuerkanzleien fertig und suche dafür die Praxis-Sicht von Inhabern wachsender Kanzleien. Ist Frau/Herr [Name] kurz erreichbar?</w:t>
      </w:r>
    </w:p>
    <w:p>
      <w:pPr>
        <w:spacing w:before="40" w:after="200"/>
        <w:ind w:left="0"/>
      </w:pPr>
      <w:r>
        <w:rPr>
          <w:color w:val="555555"/>
          <w:sz w:val="21"/>
        </w:rPr>
        <w:t>→  Drei mögliche Reaktionen vom Vorzimmer: durchstellen (Punkt 2) — Filterfrage „Was bringen Sie mit?“ (Punkt 3) — Boss-Check mit Rückfrage (Punkt 4).</w:t>
      </w:r>
    </w:p>
    <w:p>
      <w:pPr>
        <w:spacing w:before="400" w:after="120"/>
      </w:pPr>
      <w:r>
        <w:rPr>
          <w:b/>
          <w:color w:val="52267A"/>
          <w:sz w:val="28"/>
        </w:rPr>
        <w:t>2.  Vorzimmer stellt direkt durch</w:t>
      </w:r>
    </w:p>
    <w:p>
      <w:pPr>
        <w:spacing w:after="120"/>
      </w:pPr>
      <w:r>
        <w:rPr>
          <w:sz w:val="22"/>
        </w:rPr>
        <w:t>Du bist im Inhaber-Gespräch. Hier verlässt du das Vorzimmer-Skript. Antworten auf „Wollen Sie etwas verkaufen?“ und auf den Einwand „Wir sind gut versorgt“ stehen im separaten Inhaber-Skript (`Discovery_Anrufliste_KW19_v1_Uebergabe.md`, Abschnitt Live-Cheatsheet).</w:t>
      </w:r>
    </w:p>
    <w:p>
      <w:pPr>
        <w:spacing w:before="400" w:after="120"/>
      </w:pPr>
      <w:r>
        <w:rPr>
          <w:b/>
          <w:color w:val="52267A"/>
          <w:sz w:val="28"/>
        </w:rPr>
        <w:t>3.  Vorzimmer-Filter VOR Boss-Check: „Was bringen Sie denn konkret mit?“</w:t>
      </w:r>
    </w:p>
    <w:p>
      <w:pPr>
        <w:spacing w:after="120"/>
      </w:pPr>
      <w:r>
        <w:rPr>
          <w:sz w:val="22"/>
        </w:rPr>
        <w:t>Die Empfangsdame filtert für den Chef, hat ihn aber noch nicht gefragt.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Einen Branchenreport, den ich gerade aus den führenden Studien verdichtet habe — KI-Adoption, Personalmarkt, Wachstumshürden in Steuerkanzleien. Was mir dazu noch fehlt, ist die Praxis-Sicht: wie sich das im Alltag bei einer wachsenden Kanzlei wie Ihrer wirklich anfühlt. Den Report kann ich Frau/Herrn [Name] gerne zuschicken — der eigentliche Wert für mich ist der Austausch dazu.</w:t>
      </w:r>
    </w:p>
    <w:p>
      <w:pPr>
        <w:spacing w:before="40" w:after="200"/>
        <w:ind w:left="0"/>
      </w:pPr>
      <w:r>
        <w:rPr>
          <w:color w:val="555555"/>
          <w:sz w:val="21"/>
        </w:rPr>
        <w:t>→  Geht das durch: Vorzimmer holt den Chef oder bittet zurückzurufen. Wenn Chef Rückfrage stellt: weiter mit Punkt 4.</w:t>
      </w:r>
    </w:p>
    <w:p>
      <w:pPr>
        <w:spacing w:before="400" w:after="120"/>
      </w:pPr>
      <w:r>
        <w:rPr>
          <w:b/>
          <w:color w:val="52267A"/>
          <w:sz w:val="28"/>
        </w:rPr>
        <w:t>4.  Rückfrage NACH Boss-Check: „Worum geht es genau?“</w:t>
      </w:r>
    </w:p>
    <w:p>
      <w:pPr>
        <w:spacing w:after="120"/>
      </w:pPr>
      <w:r>
        <w:rPr>
          <w:sz w:val="22"/>
        </w:rPr>
        <w:t>Der Chef hat über die Empfangsdame gefragt. Hier muss neue Information her — keine Wiederholung der Eröffnung. Wichtig: kein Produkt-Sprech, nur das Chef-Thema.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Im Kern: Frau/Herr [Name] denkt vermutlich gerade darüber nach, wie sie/er weiter wachsen soll, wenn der Stellenmarkt schlicht nichts mehr hergibt. Genau dazu habe ich gerade einen Branchenreport zusammengestellt — KI-Adoption, Personalmarkt, Wachstumshürden, verdichtet auf das, was für eine Kanzlei wie Ihre wirklich relevant ist. Was mir dazu noch fehlt, ist die Praxis-Sicht. Den Report bekommt Frau/Herr [Name] ohnehin — der eigentliche Wert für mich ist der Austausch dazu. Wenn das gerade kein Thema ist, war's das von meiner Seite.</w:t>
      </w:r>
    </w:p>
    <w:p>
      <w:pPr>
        <w:spacing w:before="40" w:after="200"/>
        <w:ind w:left="0"/>
      </w:pPr>
      <w:r>
        <w:rPr>
          <w:color w:val="555555"/>
          <w:sz w:val="21"/>
        </w:rPr>
        <w:t>→  Geht das durch: Termin oder E-Mail-Adresse für den Report. Wenn weiterhin „kommt nicht in Frage“: Punkt 5.</w:t>
      </w:r>
    </w:p>
    <w:p>
      <w:pPr>
        <w:spacing w:before="400" w:after="120"/>
      </w:pPr>
      <w:r>
        <w:rPr>
          <w:b/>
          <w:color w:val="52267A"/>
          <w:sz w:val="28"/>
        </w:rPr>
        <w:t>5.  „Das kommt nicht in Frage“ — Soft-Landing mit Report</w:t>
      </w:r>
    </w:p>
    <w:p>
      <w:pPr>
        <w:spacing w:after="120"/>
      </w:pPr>
      <w:r>
        <w:rPr>
          <w:sz w:val="22"/>
        </w:rPr>
        <w:t>Endgültige Absage durch den Chef. Nicht kämpfen — graceful Exit mit konkretem Ankerpunkt. Aus jeder Absage wird ein Email-Lead.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Verstehe — danke, dass Sie überhaupt nachgefragt haben. Eine letzte Sache nur: Ich habe einen Branchenreport zu genau dem Wachstums-Thema, das vermutlich für Frau/Herrn [Name] gerade relevant ist — Zahlen zu Personalmarkt, Marge, Kapazität. Wenn Sie mir die E-Mail-Adresse geben, schicke ich den Report. Null Verpflichtung, einfach als Information für später. Sonst alles gut — ich wünsche Ihnen einen schönen Tag.</w:t>
      </w:r>
    </w:p>
    <w:p>
      <w:pPr>
        <w:spacing w:before="40" w:after="200"/>
        <w:ind w:left="0"/>
      </w:pPr>
      <w:r>
        <w:rPr>
          <w:color w:val="555555"/>
          <w:sz w:val="21"/>
        </w:rPr>
        <w:t>→  E-Mail-Adresse erhalten: Notieren, Report nach Anruf schicken. Aus jeder Absage wird so ein Email-Lead.</w:t>
      </w:r>
    </w:p>
    <w:p>
      <w:pPr>
        <w:spacing w:after="120"/>
      </w:pPr>
      <w:r>
        <w:rPr>
          <w:sz w:val="22"/>
        </w:rPr>
        <w:t>Falls die Empfangsdame auch das ablehnt:</w:t>
      </w:r>
    </w:p>
    <w:p>
      <w:pPr>
        <w:spacing w:before="80" w:after="160"/>
        <w:ind w:left="227"/>
        <w:pBdr>
          <w:left w:val="single" w:sz="18" w:space="8" w:color="52267A"/>
        </w:pBdr>
      </w:pPr>
      <w:r>
        <w:rPr>
          <w:i/>
          <w:color w:val="333333"/>
          <w:sz w:val="23"/>
        </w:rPr>
        <w:t>Verstehe — vielen Dank für Ihre Zeit. Andreas Schwarzkopf, Flowbeaver. Ihnen einen schönen Tag.</w:t>
      </w:r>
    </w:p>
    <w:p>
      <w:pPr>
        <w:spacing w:before="40" w:after="200"/>
        <w:ind w:left="0"/>
      </w:pPr>
      <w:r>
        <w:rPr>
          <w:color w:val="555555"/>
          <w:sz w:val="21"/>
        </w:rPr>
        <w:t>→  Ende. Nicht nachfassen. In 3-6 Monaten ggf. wieder auf die Liste.</w:t>
      </w:r>
    </w:p>
    <w:p>
      <w:pPr>
        <w:spacing w:before="400" w:after="120"/>
      </w:pPr>
      <w:r>
        <w:rPr>
          <w:b/>
          <w:color w:val="52267A"/>
          <w:sz w:val="28"/>
        </w:rPr>
        <w:t>6.  Was du am Vorzimmer NIE sagst</w:t>
      </w:r>
    </w:p>
    <w:p>
      <w:pPr>
        <w:spacing w:after="80"/>
        <w:ind w:left="227"/>
      </w:pPr>
      <w:r>
        <w:rPr>
          <w:b/>
          <w:sz w:val="22"/>
        </w:rPr>
        <w:t xml:space="preserve">•  „KI-Vorsystem“, „Software“, „Tool“ </w:t>
      </w:r>
      <w:r>
        <w:rPr>
          <w:sz w:val="22"/>
        </w:rPr>
        <w:t>— gehört ins Inhaber-Gespräch, nicht ans Vorzimmer.</w:t>
      </w:r>
    </w:p>
    <w:p>
      <w:pPr>
        <w:spacing w:after="80"/>
        <w:ind w:left="227"/>
      </w:pPr>
      <w:r>
        <w:rPr>
          <w:b/>
          <w:sz w:val="22"/>
        </w:rPr>
        <w:t xml:space="preserve">•  „Beta“ </w:t>
      </w:r>
      <w:r>
        <w:rPr>
          <w:sz w:val="22"/>
        </w:rPr>
        <w:t>— Tech-Startup-Sprech.</w:t>
      </w:r>
    </w:p>
    <w:p>
      <w:pPr>
        <w:spacing w:after="80"/>
        <w:ind w:left="227"/>
      </w:pPr>
      <w:r>
        <w:rPr>
          <w:b/>
          <w:sz w:val="22"/>
        </w:rPr>
        <w:t xml:space="preserve">•  „Personalkostenfalle“ </w:t>
      </w:r>
      <w:r>
        <w:rPr>
          <w:sz w:val="22"/>
        </w:rPr>
        <w:t>— die Empfangsdame ist selbst Personal.</w:t>
      </w:r>
    </w:p>
    <w:p>
      <w:pPr>
        <w:spacing w:after="80"/>
        <w:ind w:left="227"/>
      </w:pPr>
      <w:r>
        <w:rPr>
          <w:b/>
          <w:sz w:val="22"/>
        </w:rPr>
        <w:t xml:space="preserve">•  „Aber das ist anders als ...“ (bei Absage) </w:t>
      </w:r>
      <w:r>
        <w:rPr>
          <w:sz w:val="22"/>
        </w:rPr>
        <w:t>— macht es schlimmer, nicht besser.</w:t>
      </w:r>
    </w:p>
    <w:p>
      <w:pPr>
        <w:spacing w:after="80"/>
        <w:ind w:left="227"/>
      </w:pPr>
      <w:r>
        <w:rPr>
          <w:b/>
          <w:sz w:val="22"/>
        </w:rPr>
        <w:t xml:space="preserve">•  „Warum denn nicht?“ </w:t>
      </w:r>
      <w:r>
        <w:rPr>
          <w:sz w:val="22"/>
        </w:rPr>
        <w:t>— Druck auf das Vorzimmer, Game over.</w:t>
      </w:r>
    </w:p>
    <w:p>
      <w:pPr>
        <w:spacing w:after="80"/>
        <w:ind w:left="227"/>
      </w:pPr>
      <w:r>
        <w:rPr>
          <w:b/>
          <w:sz w:val="22"/>
        </w:rPr>
        <w:t xml:space="preserve">•  „Kann ich später nochmal anrufen?“ </w:t>
      </w:r>
      <w:r>
        <w:rPr>
          <w:sz w:val="22"/>
        </w:rPr>
        <w:t>— schwach. Stattdessen ohne zu fragen: „Ich melde mich in drei Monaten kurz.“</w:t>
      </w:r>
    </w:p>
    <w:p>
      <w:pPr>
        <w:spacing w:before="400" w:after="120"/>
      </w:pPr>
      <w:r>
        <w:rPr>
          <w:b/>
          <w:color w:val="52267A"/>
          <w:sz w:val="28"/>
        </w:rPr>
        <w:t>7.  Eskalations-Logik (Decision-Tree)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>Eröffnung (Punkt 1)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|— Durchgestellt → Inhaber-Gespräch (separates Skript)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|— „Was bringen Sie mit?“ → Punkt 3 → ggf. Punkt 4 oder Durchstellen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|— Boss-Check → Rückfrage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|— „Worum geht es genau?“ → Punkt 4 (mit Branchenreport)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     |— Ja, Termin → Inhaber-Gespräch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     |— Nein → Punkt 5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|— „Kommt nicht in Frage“ → Punkt 5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      |— E-Mail rausgegeben → Report schicken</w:t>
      </w:r>
    </w:p>
    <w:p>
      <w:pPr>
        <w:spacing w:after="0"/>
        <w:ind w:left="227"/>
      </w:pPr>
      <w:r>
        <w:rPr>
          <w:rFonts w:ascii="Courier New" w:hAnsi="Courier New"/>
          <w:sz w:val="20"/>
        </w:rPr>
        <w:t xml:space="preserve">               |— Auch keine E-Mail → Abschied, nicht nachfassen</w:t>
      </w:r>
    </w:p>
    <w:p>
      <w:pPr>
        <w:spacing w:before="400" w:after="120"/>
      </w:pPr>
      <w:r>
        <w:rPr>
          <w:b/>
          <w:color w:val="52267A"/>
          <w:sz w:val="28"/>
        </w:rPr>
        <w:t>8.  Nach dem Anruf — Eintrag in der Anrufliste (CSV)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2267A"/>
          </w:tcPr>
          <w:p>
            <w:r/>
            <w:r>
              <w:rPr>
                <w:b/>
                <w:color w:val="FFFFFF"/>
                <w:sz w:val="22"/>
              </w:rPr>
              <w:t>Ergebnis</w:t>
            </w:r>
          </w:p>
        </w:tc>
        <w:tc>
          <w:tcPr>
            <w:tcW w:type="dxa" w:w="4873"/>
            <w:shd w:val="clear" w:color="auto" w:fill="52267A"/>
          </w:tcPr>
          <w:p>
            <w:r/>
            <w:r>
              <w:rPr>
                <w:b/>
                <w:color w:val="FFFFFF"/>
                <w:sz w:val="22"/>
              </w:rPr>
              <w:t>In Spalte „Ergebnis“ eintragen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Termin vereinbart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Termin: TT.MM. HH:MM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Report verschickt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Report (E-Mail: xxx)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Kein Kontakt, kein Report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Absage Vorzimmer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2"/>
              </w:rPr>
              <w:t>Vorzimmer-Block ohne Boss-Check</w:t>
            </w:r>
          </w:p>
        </w:tc>
        <w:tc>
          <w:tcPr>
            <w:tcW w:type="dxa" w:w="4873"/>
          </w:tcPr>
          <w:p>
            <w:r/>
            <w:r>
              <w:rPr>
                <w:sz w:val="22"/>
              </w:rPr>
              <w:t>Vorzimmer-Block (vor Boss)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