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B372" w14:textId="77777777" w:rsidR="00107417" w:rsidRPr="00213449" w:rsidRDefault="00000000">
      <w:pPr>
        <w:jc w:val="center"/>
        <w:rPr>
          <w:lang w:val="de-DE"/>
        </w:rPr>
      </w:pPr>
      <w:r w:rsidRPr="00213449">
        <w:rPr>
          <w:b/>
          <w:bCs/>
          <w:caps/>
          <w:color w:val="1F4E79"/>
          <w:sz w:val="24"/>
          <w:szCs w:val="24"/>
          <w:lang w:val="de-DE"/>
        </w:rPr>
        <w:t>FLOWBEAVER</w:t>
      </w:r>
    </w:p>
    <w:p w14:paraId="308FDC1B" w14:textId="77777777" w:rsidR="00107417" w:rsidRPr="00213449" w:rsidRDefault="00000000">
      <w:pPr>
        <w:spacing w:before="60" w:after="60"/>
        <w:jc w:val="center"/>
        <w:rPr>
          <w:lang w:val="de-DE"/>
        </w:rPr>
      </w:pPr>
      <w:r w:rsidRPr="00213449">
        <w:rPr>
          <w:b/>
          <w:bCs/>
          <w:sz w:val="32"/>
          <w:szCs w:val="32"/>
          <w:lang w:val="de-DE"/>
        </w:rPr>
        <w:t>Strategie-Update Mai 2026</w:t>
      </w:r>
    </w:p>
    <w:p w14:paraId="19FBBA6C" w14:textId="77777777" w:rsidR="00107417" w:rsidRPr="00213449" w:rsidRDefault="00000000">
      <w:pPr>
        <w:spacing w:after="60"/>
        <w:jc w:val="center"/>
        <w:rPr>
          <w:lang w:val="de-DE"/>
        </w:rPr>
      </w:pPr>
      <w:r w:rsidRPr="00213449">
        <w:rPr>
          <w:i/>
          <w:iCs/>
          <w:color w:val="555555"/>
          <w:sz w:val="24"/>
          <w:szCs w:val="24"/>
          <w:lang w:val="de-DE"/>
        </w:rPr>
        <w:t>Von Waitlist-Funnel zu direktem Sales-Modus</w:t>
      </w:r>
    </w:p>
    <w:p w14:paraId="692B8711" w14:textId="77777777" w:rsidR="00107417" w:rsidRPr="00213449" w:rsidRDefault="00000000">
      <w:pPr>
        <w:pBdr>
          <w:bottom w:val="single" w:sz="12" w:space="4" w:color="1F4E79"/>
        </w:pBdr>
        <w:spacing w:after="240"/>
        <w:jc w:val="center"/>
        <w:rPr>
          <w:lang w:val="de-DE"/>
        </w:rPr>
      </w:pPr>
      <w:r w:rsidRPr="00213449">
        <w:rPr>
          <w:i/>
          <w:iCs/>
          <w:sz w:val="18"/>
          <w:szCs w:val="18"/>
          <w:lang w:val="de-DE"/>
        </w:rPr>
        <w:t>Mai 2026 | Version 1.0 | Vertraulich | Andreas Schwarzkopf, Flowbeaver GmbH</w:t>
      </w:r>
    </w:p>
    <w:p w14:paraId="45E97C1B" w14:textId="77777777" w:rsidR="00107417" w:rsidRDefault="00000000">
      <w:pPr>
        <w:spacing w:after="120"/>
      </w:pPr>
      <w:r w:rsidRPr="00213449">
        <w:rPr>
          <w:i/>
          <w:iCs/>
          <w:color w:val="666666"/>
          <w:sz w:val="20"/>
          <w:szCs w:val="20"/>
          <w:lang w:val="de-DE"/>
        </w:rPr>
        <w:t xml:space="preserve">Ergänzungsdokument zur GTM-Strategie, Kanalanalyse, Positionierungspapier, Preisanalyse und Aktionsplan. </w:t>
      </w:r>
      <w:r>
        <w:rPr>
          <w:i/>
          <w:iCs/>
          <w:color w:val="666666"/>
          <w:sz w:val="20"/>
          <w:szCs w:val="20"/>
        </w:rPr>
        <w:t>Bei Widerspruch zu früheren Dokumenten gilt dieses als aktuell.</w:t>
      </w:r>
    </w:p>
    <w:p w14:paraId="294AE4FD" w14:textId="77777777" w:rsidR="00107417" w:rsidRDefault="00000000">
      <w:pPr>
        <w:pStyle w:val="Heading1"/>
      </w:pPr>
      <w:r>
        <w:t>0. Executive Summary</w:t>
      </w:r>
    </w:p>
    <w:p w14:paraId="393F74D5" w14:textId="77777777" w:rsidR="00107417" w:rsidRDefault="00000000">
      <w:pPr>
        <w:spacing w:before="60" w:after="60"/>
      </w:pPr>
      <w:r>
        <w:t>Nach 4 Monaten erfolgloser Online-Kampagnen (1.929 EUR Spend, 0 echte ICP-Conversions) wird die Akquise-Strategie grundlegend umgestellt. Der bisherige Plan — Waitlist-Aufbau, Webinar als Selling Event, Beta mit 10 Plätzen — wird ersetzt durch direkten Sales-Outreach an gezielt recherchierte Steuerkanzleien.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417" w14:paraId="354F3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71EEB0" w14:textId="77777777" w:rsidR="00107417" w:rsidRDefault="00000000">
            <w:pPr>
              <w:spacing w:after="40"/>
            </w:pPr>
            <w:r>
              <w:rPr>
                <w:b/>
                <w:bCs/>
                <w:color w:val="C00000"/>
              </w:rPr>
              <w:t>Kernerkenntnis aus der Kampagnen-Auswertung</w:t>
            </w:r>
          </w:p>
          <w:p w14:paraId="77DEB192" w14:textId="77777777" w:rsidR="00107417" w:rsidRDefault="00000000">
            <w:r>
              <w:t>Der ICP — wachstumsorientierte Steuerkanzleien mit 5-25 Mitarbeitern — sucht nicht aktiv über Google nach KI-Lösungen für Belegverarbeitung. Search-Werbung erreicht den ICP strukturell nicht. LinkedIn-Content ohne bestehende Reichweite ebenso wenig. Kanzleiinhaber müssen direkt angesprochen werden.</w:t>
            </w:r>
          </w:p>
        </w:tc>
      </w:tr>
    </w:tbl>
    <w:p w14:paraId="3A85687F" w14:textId="77777777" w:rsidR="00107417" w:rsidRDefault="00000000">
      <w:pPr>
        <w:spacing w:before="120" w:after="60"/>
      </w:pPr>
      <w:r>
        <w:t>Die zentrale strategische Verschiebung: Statt zu warten, dass der ICP über Marketing-Kanäle zu Flowbeaver findet, geht Flowbeaver aktiv auf den ICP zu — telefonisch, gezielt, mit Sales-Pitch (nicht Discovery-Pitch).</w:t>
      </w:r>
    </w:p>
    <w:p w14:paraId="2B06A75B" w14:textId="77777777" w:rsidR="00107417" w:rsidRDefault="00000000">
      <w:pPr>
        <w:pStyle w:val="Heading1"/>
      </w:pPr>
      <w:r>
        <w:t>1. Was sich geändert hat</w:t>
      </w:r>
    </w:p>
    <w:p w14:paraId="394F1205" w14:textId="77777777" w:rsidR="00107417" w:rsidRDefault="00000000">
      <w:pPr>
        <w:pStyle w:val="Heading2"/>
      </w:pPr>
      <w:r>
        <w:t>1.1 Produktreife korrekt eingeordnet</w:t>
      </w:r>
    </w:p>
    <w:p w14:paraId="297319FE" w14:textId="77777777" w:rsidR="00107417" w:rsidRDefault="00000000">
      <w:pPr>
        <w:spacing w:before="60" w:after="60"/>
      </w:pPr>
      <w:r>
        <w:t>Flowbeaver wurde bisher kommunikativ unter Wert positioniert ("Early Partner Programm", "Beta mit 10 Plätzen"). Die tatsächliche Produktreife rechtfertigt direkten Verkauf:</w:t>
      </w:r>
    </w:p>
    <w:p w14:paraId="3FB8E663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70-80% Erkennungsquote auf eigenen Belegen gemessen (nicht repräsentativ, aber substantiell)</w:t>
      </w:r>
    </w:p>
    <w:p w14:paraId="336B37E3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VLM-Architektur (Vision Language Models) — eine technologische Generation vor klassischer OCR</w:t>
      </w:r>
    </w:p>
    <w:p w14:paraId="334BC3BA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DATEV-kompatibler Buchungsstapel als Output, kein Systemwechsel beim Kunden</w:t>
      </w:r>
    </w:p>
    <w:p w14:paraId="7CA07C40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Buchungen niemals autonom — Vorschläge werden vom Steuerberater geprüft, Kontrolle bleibt vollständig</w:t>
      </w:r>
    </w:p>
    <w:p w14:paraId="33CBA09B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Datenbank typischer Geschäftsvorfälle (aktuell ~150) wächst durch jede Korrektur — Network-Effekt</w:t>
      </w:r>
    </w:p>
    <w:p w14:paraId="25DD2FCE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Lieferantenhistorie wird beibehalten: bei wiederkehrenden Lieferanten Vorrang der letzten Kontierung</w:t>
      </w:r>
    </w:p>
    <w:p w14:paraId="317FAEFB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Edge Cases werden explizit als 'manuell prüfen' markiert — keine stillen Fehler</w:t>
      </w:r>
    </w:p>
    <w:p w14:paraId="0A688F0E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Datenschutz auf Berufsträger-Niveau: §203 StGB-Verschwiegenheit, Hetzner-Hosting, EU-KI-Modelle, kein US-CLOUD-Act</w:t>
      </w:r>
    </w:p>
    <w:p w14:paraId="6844C494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30 Tage Geld-zurück-Garantie eliminiert Kaufrisiko vollständig</w:t>
      </w:r>
    </w:p>
    <w:p w14:paraId="31366052" w14:textId="77777777" w:rsidR="00107417" w:rsidRDefault="00000000">
      <w:pPr>
        <w:pStyle w:val="Heading2"/>
      </w:pPr>
      <w:r>
        <w:lastRenderedPageBreak/>
        <w:t>1.2 Vom Waitlist-Funnel zum direkten Sales-Outreach</w:t>
      </w:r>
    </w:p>
    <w:p w14:paraId="0E19FB9D" w14:textId="77777777" w:rsidR="00107417" w:rsidRDefault="00000000">
      <w:pPr>
        <w:spacing w:before="60" w:after="60"/>
      </w:pPr>
      <w:r>
        <w:t>Der ursprüngliche GTM-Plan basierte auf der Annahme, dass Waitlist-Aufbau plus Webinar genügend ICP-Reichweite generiert. Diese Annahme hat sich empirisch als falsch erwiesen. Die neue Strategie:</w:t>
      </w:r>
    </w:p>
    <w:p w14:paraId="15D67700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Telefonische Direktansprache von 25-30 sorgfältig recherchierten Kanzleien pro Woche</w:t>
      </w:r>
    </w:p>
    <w:p w14:paraId="5FA000FB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Sales-Pitch mit Filterfrage statt Discovery-Studie — kein €150-Bezahlmodell</w:t>
      </w:r>
    </w:p>
    <w:p w14:paraId="1852900D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15-Minuten-Demo als Conversion-Schritt (nicht Webinar)</w:t>
      </w:r>
    </w:p>
    <w:p w14:paraId="326D07A8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Ziel: 5 Erstkunden zum Einführungspreis 299 EUR/Monat dauerhaft</w:t>
      </w:r>
    </w:p>
    <w:p w14:paraId="1BCB9612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Gründer arbeitet jeden Erstkunden persönlich ein — White-Glove-Modell</w:t>
      </w:r>
    </w:p>
    <w:p w14:paraId="6C48E270" w14:textId="77777777" w:rsidR="00107417" w:rsidRDefault="00000000">
      <w:pPr>
        <w:pStyle w:val="Heading2"/>
      </w:pPr>
      <w:r>
        <w:t>1.3 Positionierungs-Korrektur</w:t>
      </w:r>
    </w:p>
    <w:p w14:paraId="4323E1D7" w14:textId="77777777" w:rsidR="00107417" w:rsidRDefault="00000000">
      <w:pPr>
        <w:spacing w:before="60" w:after="60"/>
      </w:pPr>
      <w:r>
        <w:t>Das Selbstverständnis ändert sich nicht — die Außenkommunikation bisher war zu zurückhaltend. Korrigierte Positionierung: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417" w14:paraId="2128D1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29BD862" w14:textId="77777777" w:rsidR="00107417" w:rsidRDefault="00000000">
            <w:pPr>
              <w:spacing w:after="40"/>
            </w:pPr>
            <w:r>
              <w:rPr>
                <w:b/>
                <w:bCs/>
                <w:color w:val="888888"/>
              </w:rPr>
              <w:t>Vorher</w:t>
            </w:r>
          </w:p>
          <w:p w14:paraId="3FC91B4B" w14:textId="77777777" w:rsidR="00107417" w:rsidRDefault="00000000">
            <w:r>
              <w:t>Solo-Founder im Beta-Stadium sucht Pilotpartner zum gemeinsamen Testen. Risiko-orientierte Sprache. Implizite Bitte um Hilfe.</w:t>
            </w:r>
          </w:p>
        </w:tc>
      </w:tr>
    </w:tbl>
    <w:p w14:paraId="35EACFE0" w14:textId="77777777" w:rsidR="00107417" w:rsidRDefault="0010741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7417" w14:paraId="451F71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C35A0C4" w14:textId="77777777" w:rsidR="00107417" w:rsidRDefault="00000000">
            <w:pPr>
              <w:spacing w:after="40"/>
            </w:pPr>
            <w:r>
              <w:rPr>
                <w:b/>
                <w:bCs/>
                <w:color w:val="548235"/>
              </w:rPr>
              <w:t>Jetzt</w:t>
            </w:r>
          </w:p>
          <w:p w14:paraId="00653142" w14:textId="77777777" w:rsidR="00107417" w:rsidRDefault="00000000">
            <w:r>
              <w:t>Geschäftsführer der Flowbeaver GmbH bietet ein verkaufsreifes KI-Vorsystem für Steuerkanzleien. Klare Substanz: 15 Jahre KI-Praxis (Mercedes-Benz Bank), 30 Jahre Unternehmertum, Diplom-Kaufmann mit Bilanzierungswissen. Auswahl der Erstkunden, nicht Bewerbung um Akzeptanz.</w:t>
            </w:r>
          </w:p>
        </w:tc>
      </w:tr>
    </w:tbl>
    <w:p w14:paraId="624BF191" w14:textId="77777777" w:rsidR="00107417" w:rsidRDefault="00000000">
      <w:pPr>
        <w:pStyle w:val="Heading1"/>
      </w:pPr>
      <w:r>
        <w:t>2. Was bleibt gültig</w:t>
      </w:r>
    </w:p>
    <w:p w14:paraId="167F4389" w14:textId="77777777" w:rsidR="00107417" w:rsidRDefault="00000000">
      <w:pPr>
        <w:spacing w:before="60" w:after="60"/>
      </w:pPr>
      <w:r>
        <w:t>Die folgenden Elemente früherer Strategie-Dokumente bleiben unverändert:</w:t>
      </w:r>
    </w:p>
    <w:p w14:paraId="2B4E9BEA" w14:textId="77777777" w:rsidR="00107417" w:rsidRDefault="00000000">
      <w:pPr>
        <w:pStyle w:val="Heading3"/>
      </w:pPr>
      <w:r>
        <w:t>Aus dem Positionierungspapier</w:t>
      </w:r>
    </w:p>
    <w:p w14:paraId="01C01BE1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DATEV-Ergänzung, niemals DATEV-Konkurrent (Kernregel der Marktpositionierung)</w:t>
      </w:r>
    </w:p>
    <w:p w14:paraId="41FA3F3C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Wachstumsorientierte Kanzleien mit 5-25 Mitarbeitern als ICP</w:t>
      </w:r>
    </w:p>
    <w:p w14:paraId="3858B8FE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Differenzierung über LLM/VLM + KI-OCR + deterministische Regeln</w:t>
      </w:r>
    </w:p>
    <w:p w14:paraId="3EBDAABC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Persönliches Onboarding als bewusster Differenzierer gegenüber Finmatics &amp; Co.</w:t>
      </w:r>
    </w:p>
    <w:p w14:paraId="0D4BCC8F" w14:textId="77777777" w:rsidR="00107417" w:rsidRDefault="00000000">
      <w:pPr>
        <w:pStyle w:val="Heading3"/>
      </w:pPr>
      <w:r>
        <w:t>Aus der Preisanalyse</w:t>
      </w:r>
    </w:p>
    <w:p w14:paraId="2FF350C2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299 EUR/Monat ist aggressiv günstig im Marktvergleich (Finmatics ab 750 EUR + Onboarding-Gebühren)</w:t>
      </w:r>
    </w:p>
    <w:p w14:paraId="246DEEE8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Pricing-Spielraum nach oben bleibt nach Erstkunden-Phase</w:t>
      </w:r>
    </w:p>
    <w:p w14:paraId="2872F840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ROI-Argumentation: Personalkosten-Ersparnis schlägt Software-Kosten signifikant</w:t>
      </w:r>
    </w:p>
    <w:p w14:paraId="5DAA6B0B" w14:textId="77777777" w:rsidR="00107417" w:rsidRDefault="00000000">
      <w:pPr>
        <w:pStyle w:val="Heading3"/>
      </w:pPr>
      <w:r>
        <w:t>Aus der Kanalanalyse</w:t>
      </w:r>
    </w:p>
    <w:p w14:paraId="6DD95CE2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DATEV-Ökosystem (Marktplatz, Community) als langfristiger Skalierungskanal — Phase 2</w:t>
      </w:r>
    </w:p>
    <w:p w14:paraId="46CD4CC7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Fachmessen ab Kohorte 2 als High-Trust-Kanal — Phase 2</w:t>
      </w:r>
    </w:p>
    <w:p w14:paraId="4D073FBD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Webinare als Format wertvoll — aber nicht in Phase 1, weil Reichweite fehlt</w:t>
      </w:r>
    </w:p>
    <w:p w14:paraId="2A252082" w14:textId="77777777" w:rsidR="00107417" w:rsidRDefault="00000000">
      <w:pPr>
        <w:pStyle w:val="Heading1"/>
      </w:pPr>
      <w:r>
        <w:lastRenderedPageBreak/>
        <w:t>3. Was nicht mehr gilt</w:t>
      </w:r>
    </w:p>
    <w:p w14:paraId="6D5CF5D0" w14:textId="77777777" w:rsidR="00107417" w:rsidRDefault="00000000">
      <w:pPr>
        <w:pStyle w:val="Heading3"/>
      </w:pPr>
      <w:r>
        <w:t>Aus der GTM-Strategie</w:t>
      </w:r>
    </w:p>
    <w:p w14:paraId="224F1D8E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Waitlist als zentraler Funnel-Eingang — wird durch direkten Outreach ersetzt</w:t>
      </w:r>
    </w:p>
    <w:p w14:paraId="502DA721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Webinar als Selling Event in Phase 1 — wird durch 15-Minuten-Live-Demo pro Lead ersetzt</w:t>
      </w:r>
    </w:p>
    <w:p w14:paraId="02716EF7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Beta-Sprache ("Early Partner", "Pilotkunden", "Designpartner") — wird durch "Erstkunden zum Einführungspreis" ersetzt</w:t>
      </w:r>
    </w:p>
    <w:p w14:paraId="54BAA244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Google Ads + LinkedIn-Content als Primärkanäle — pausiert, bis Sales-Modell tragfähig läuft</w:t>
      </w:r>
    </w:p>
    <w:p w14:paraId="16EFEED0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Discovery-Anrufe mit 150 EUR Bezahlung — verworfen zugunsten direkter Sales-Pitches</w:t>
      </w:r>
    </w:p>
    <w:p w14:paraId="0DA95F75" w14:textId="77777777" w:rsidR="00107417" w:rsidRDefault="00000000">
      <w:pPr>
        <w:pStyle w:val="Heading3"/>
      </w:pPr>
      <w:r>
        <w:t>Aus der Webseiten-Kommunikation</w:t>
      </w:r>
    </w:p>
    <w:p w14:paraId="35BFC054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"Early Partner"-Framing auf der gesamten Webseite eliminiert</w:t>
      </w:r>
    </w:p>
    <w:p w14:paraId="18423288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"Beta"-Vokabular durch "Erstkunden" / "Einführungsphase" ersetzt</w:t>
      </w:r>
    </w:p>
    <w:p w14:paraId="3E9940FB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Anzahl der Erstkunden: von 10 auf 5 reduziert (realistisch bei Solo-Founder-Onboarding-Kapazität)</w:t>
      </w:r>
    </w:p>
    <w:p w14:paraId="185EB228" w14:textId="77777777" w:rsidR="00107417" w:rsidRDefault="00000000">
      <w:pPr>
        <w:pStyle w:val="Heading1"/>
      </w:pPr>
      <w:r>
        <w:t>4. Die neue operative Logik</w:t>
      </w:r>
    </w:p>
    <w:p w14:paraId="03E55B43" w14:textId="77777777" w:rsidR="00107417" w:rsidRDefault="00000000">
      <w:pPr>
        <w:pStyle w:val="Heading2"/>
      </w:pPr>
      <w:r>
        <w:t>4.1 Akquise-Funnel</w:t>
      </w:r>
    </w:p>
    <w:p w14:paraId="10EACBB2" w14:textId="77777777" w:rsidR="00107417" w:rsidRDefault="00000000">
      <w:pPr>
        <w:spacing w:before="60" w:after="60"/>
      </w:pPr>
      <w:r>
        <w:t>Der neue Funnel ist deutlich kürzer als der ursprüngliche Waitlist-Webinar-Funnel:</w:t>
      </w:r>
    </w:p>
    <w:p w14:paraId="1A95218A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Schritt 1: Recherche von 25-30 Kanzleien pro Woche nach festen ICP-Kriterien (siehe 4.2)</w:t>
      </w:r>
    </w:p>
    <w:p w14:paraId="6634759C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Schritt 2: Telefonischer Direktanruf, ca. 16:00-18:00 Uhr (höhere Wahrscheinlichkeit, Inhaber direkt zu erreichen)</w:t>
      </w:r>
    </w:p>
    <w:p w14:paraId="0590D0A5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Schritt 3: 30-Sekunden-Pitch mit Filterfrage zur Priorität</w:t>
      </w:r>
    </w:p>
    <w:p w14:paraId="1FA0FDCB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Schritt 4: Bei Ja: 3-4 Min. Kurzpitch + sofortige Demo-Terminvereinbarung</w:t>
      </w:r>
    </w:p>
    <w:p w14:paraId="7E3522E5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Schritt 5: 15-Minuten-Live-Demo durch Gründer persönlich</w:t>
      </w:r>
    </w:p>
    <w:p w14:paraId="57889656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Schritt 6: Erstkunden-Vertrag, 299 EUR/Monat, persönliche Einarbeitung</w:t>
      </w:r>
    </w:p>
    <w:p w14:paraId="2DFC57B5" w14:textId="77777777" w:rsidR="00107417" w:rsidRDefault="00000000">
      <w:pPr>
        <w:pStyle w:val="Heading2"/>
      </w:pPr>
      <w:r>
        <w:t>4.2 ICP-Auswahlkriterien (Sales-verschärft)</w:t>
      </w:r>
    </w:p>
    <w:p w14:paraId="44BD74E6" w14:textId="77777777" w:rsidR="00107417" w:rsidRDefault="00000000">
      <w:pPr>
        <w:spacing w:before="60" w:after="60"/>
      </w:pPr>
      <w:r>
        <w:t>Die Auswahlkriterien wurden gegenüber dem ursprünglichen Hand-off verschärft:</w:t>
      </w:r>
    </w:p>
    <w:p w14:paraId="333A7399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Größe: 5-25 Mitarbeiter (unverändert)</w:t>
      </w:r>
    </w:p>
    <w:p w14:paraId="64717877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Standort: Mittelgroße Städte (50.000-500.000 Einwohner)</w:t>
      </w:r>
    </w:p>
    <w:p w14:paraId="70275CCC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Wachstumsorientierung: mindestens 3 Signale (vorher: 2), eines davon Pflicht: aktive Stellenanzeige</w:t>
      </w:r>
    </w:p>
    <w:p w14:paraId="311FE9B5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Digitalisierungs-Aufgeschlossenheit als Pflicht (vorher: optional) — aber nicht 'papierlos abgeschlossen'</w:t>
      </w:r>
    </w:p>
    <w:p w14:paraId="3055984D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DATEV-Verteilung: ca. 80% DATEV-Hauptnutzer (vorher: 70%)</w:t>
      </w:r>
    </w:p>
    <w:p w14:paraId="5EC089C1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Harte Ausschlüsse unverändert: Big Four, Steuerberaterketten, sichtbare Wettbewerberbindung</w:t>
      </w:r>
    </w:p>
    <w:p w14:paraId="1B718B68" w14:textId="77777777" w:rsidR="00107417" w:rsidRDefault="00000000">
      <w:pPr>
        <w:pStyle w:val="Heading2"/>
      </w:pPr>
      <w:r>
        <w:t>4.3 Sales-Pitch-Struktur</w:t>
      </w:r>
    </w:p>
    <w:p w14:paraId="6DFDC389" w14:textId="77777777" w:rsidR="00107417" w:rsidRDefault="00000000">
      <w:pPr>
        <w:spacing w:before="60" w:after="60"/>
      </w:pPr>
      <w:r>
        <w:t>Der Pitch besteht aus vier Teilen:</w:t>
      </w:r>
    </w:p>
    <w:p w14:paraId="3B4345CC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Identifikation: "Andreas Schwarzkopf, Geschäftsführer der Flowbeaver GmbH in Berlin" (Autorität in den ersten Sekunden)</w:t>
      </w:r>
    </w:p>
    <w:p w14:paraId="1ED973A9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Selektion: "Ich rufe Steuerkanzleien an, die ich nach klaren Kriterien ausgewählt habe" (Du wählst, nicht sie)</w:t>
      </w:r>
    </w:p>
    <w:p w14:paraId="1736D7FD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Angebot: "Aktuell nehme ich fünf Kanzleien persönlich in die Einführung auf, 299 EUR pro Monat dauerhaft" (konkret, scarce, bezahlt)</w:t>
      </w:r>
    </w:p>
    <w:p w14:paraId="2E08C43A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Filterfrage: "Hätte das Thema bei Ihnen Priorität, oder ist das gerade nicht Ihr Fokus?" (Nein muss leicht fallen)</w:t>
      </w:r>
    </w:p>
    <w:p w14:paraId="215CAB35" w14:textId="77777777" w:rsidR="00107417" w:rsidRDefault="00000000">
      <w:pPr>
        <w:pStyle w:val="Heading2"/>
      </w:pPr>
      <w:r>
        <w:t>4.4 Erfolgskennzahlen</w:t>
      </w:r>
    </w:p>
    <w:p w14:paraId="7B20C453" w14:textId="77777777" w:rsidR="00107417" w:rsidRDefault="00000000">
      <w:pPr>
        <w:spacing w:before="60" w:after="60"/>
      </w:pPr>
      <w:r>
        <w:t>Realistische Erwartungen zur Kalibrierung:</w:t>
      </w:r>
    </w:p>
    <w:p w14:paraId="3318AD92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Bei 30 Anrufen: 8-12 Inhaber direkt erreicht</w:t>
      </w:r>
    </w:p>
    <w:p w14:paraId="54C798D3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Davon: 4-6 Ja zur Filterfrage</w:t>
      </w:r>
    </w:p>
    <w:p w14:paraId="083EA7E1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Davon: 2-4 Demo-Termine vereinbart</w:t>
      </w:r>
    </w:p>
    <w:p w14:paraId="66BB1251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Demo-zu-Kunde-Conversion-Ziel: 30-50% (wegen White-Glove-Onboarding und 30-Tage-Garantie)</w:t>
      </w:r>
    </w:p>
    <w:p w14:paraId="31BA9461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Gesamtaufwand für 5 Erstkunden: ca. 100-150 Anrufversuche über 2-3 Wochen</w:t>
      </w:r>
    </w:p>
    <w:p w14:paraId="5DDB16BE" w14:textId="77777777" w:rsidR="00107417" w:rsidRDefault="00000000">
      <w:pPr>
        <w:pStyle w:val="Heading1"/>
      </w:pPr>
      <w:r>
        <w:t>5. Phasenplan ab Mai 2026</w:t>
      </w:r>
    </w:p>
    <w:p w14:paraId="39045822" w14:textId="77777777" w:rsidR="00107417" w:rsidRDefault="00000000">
      <w:pPr>
        <w:pStyle w:val="Heading2"/>
      </w:pPr>
      <w:r>
        <w:t>Phase 1 (Mai-Juni): Erstkunden-Akquise</w:t>
      </w:r>
    </w:p>
    <w:p w14:paraId="76B5D369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25-30 Telefonate pro Woche, gezielter Sales-Outreach</w:t>
      </w:r>
    </w:p>
    <w:p w14:paraId="387C52CA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Ziel: 5 Erstkunden bis Ende Juni 2026</w:t>
      </w:r>
    </w:p>
    <w:p w14:paraId="1480DB96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Online-Kampagnen pausiert</w:t>
      </w:r>
    </w:p>
    <w:p w14:paraId="2E74D8EB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Webseite optimiert für Direktansprache (Demo-Termin als Hauptziel)</w:t>
      </w:r>
    </w:p>
    <w:p w14:paraId="53B27787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Lernen während der Anrufe: ICP-Verifikation, Schmerz-Validierung, Einwand-Muster</w:t>
      </w:r>
    </w:p>
    <w:p w14:paraId="00A04CD0" w14:textId="77777777" w:rsidR="00107417" w:rsidRDefault="00000000">
      <w:pPr>
        <w:pStyle w:val="Heading2"/>
      </w:pPr>
      <w:r>
        <w:t>Phase 2 (Juli-September): Erstkunden-Onboarding &amp; Case Studies</w:t>
      </w:r>
    </w:p>
    <w:p w14:paraId="20AF8814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Persönliche Einarbeitung der 5 Erstkunden</w:t>
      </w:r>
    </w:p>
    <w:p w14:paraId="090429CF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Wöchentliche Check-ins, Feedback-Integration in Produkt</w:t>
      </w:r>
    </w:p>
    <w:p w14:paraId="7FC48E33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Erfolgsmetriken dokumentieren (Zeitersparnis, Erkennungsquote, Kundenzufriedenheit)</w:t>
      </w:r>
    </w:p>
    <w:p w14:paraId="3290323A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Case Studies aus den ersten Erfolgsgeschichten produzieren</w:t>
      </w:r>
    </w:p>
    <w:p w14:paraId="60E3A852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Datenbank typischer Geschäftsvorfälle wächst signifikant</w:t>
      </w:r>
    </w:p>
    <w:p w14:paraId="18BD360C" w14:textId="77777777" w:rsidR="00107417" w:rsidRDefault="00000000">
      <w:pPr>
        <w:pStyle w:val="Heading2"/>
      </w:pPr>
      <w:r>
        <w:t>Phase 3 (ab Oktober): Skalierung mit Belegen</w:t>
      </w:r>
    </w:p>
    <w:p w14:paraId="2DCF1F2F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Nach 5 zufriedenen Erstkunden: Marketing wieder aufnehmen, jetzt mit echten Referenzen</w:t>
      </w:r>
    </w:p>
    <w:p w14:paraId="7DEC2A15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Webinar-Format reaktivieren — jetzt mit Fallstudien als Inhalt</w:t>
      </w:r>
    </w:p>
    <w:p w14:paraId="681769ED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LinkedIn-Content mit echten Erfolgsgeschichten</w:t>
      </w:r>
    </w:p>
    <w:p w14:paraId="6547A481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Google Ads mit ROI-Cases statt abstrakten Versprechen</w:t>
      </w:r>
    </w:p>
    <w:p w14:paraId="087EC8ED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DATEV-Marktplatz-Partnerschaft beantragen</w:t>
      </w:r>
    </w:p>
    <w:p w14:paraId="02EEDA55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Fachmessen-Präsenz vorbereiten (TAXarena, Steuerberatertag 2027)</w:t>
      </w:r>
    </w:p>
    <w:p w14:paraId="203AA521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Preisstruktur anpassen: Späteinsteiger zu höheren Konditionen, Erstkunden behalten 299 EUR</w:t>
      </w:r>
    </w:p>
    <w:p w14:paraId="04DDA9F4" w14:textId="77777777" w:rsidR="00107417" w:rsidRDefault="00000000">
      <w:pPr>
        <w:pStyle w:val="Heading1"/>
      </w:pPr>
      <w:r>
        <w:t>6. Risiken &amp; Bewältigungslogik</w:t>
      </w:r>
    </w:p>
    <w:p w14:paraId="46CD9A48" w14:textId="77777777" w:rsidR="00107417" w:rsidRDefault="00000000">
      <w:pPr>
        <w:pStyle w:val="Heading3"/>
      </w:pPr>
      <w:r>
        <w:lastRenderedPageBreak/>
        <w:t>Risiko 1: Kaltakquise generiert nicht genug Termine</w:t>
      </w:r>
    </w:p>
    <w:p w14:paraId="58A48F2D" w14:textId="77777777" w:rsidR="00107417" w:rsidRDefault="00000000">
      <w:pPr>
        <w:spacing w:before="60" w:after="60"/>
      </w:pPr>
      <w:r>
        <w:t>Wahrscheinlichkeit: mittel. Wenn nach 100 Anrufen weniger als 3 Demo-Termine zustande kommen, wird die Auswahllogik überprüft, nicht der Pitch. Möglicherweise sind die ICP-Kriterien zu restriktiv oder zu wenig zielgerichtet.</w:t>
      </w:r>
    </w:p>
    <w:p w14:paraId="3C159514" w14:textId="77777777" w:rsidR="00107417" w:rsidRDefault="00000000">
      <w:pPr>
        <w:pStyle w:val="Heading3"/>
      </w:pPr>
      <w:r>
        <w:t>Risiko 2: Demo-zu-Kunde-Conversion unter 20%</w:t>
      </w:r>
    </w:p>
    <w:p w14:paraId="2304F10A" w14:textId="77777777" w:rsidR="00107417" w:rsidRDefault="00000000">
      <w:pPr>
        <w:spacing w:before="60" w:after="60"/>
      </w:pPr>
      <w:r>
        <w:t>Wahrscheinlichkeit: gering. Die 30-Tage-Geld-zurück-Garantie eliminiert das Kaufrisiko fast vollständig. Falls trotzdem niedrig: Demo-Inhalt anpassen, eventuell stärkerer Fokus auf konkrete ROI-Beispiele aus dem Vorgespräch.</w:t>
      </w:r>
    </w:p>
    <w:p w14:paraId="0F9FDF22" w14:textId="77777777" w:rsidR="00107417" w:rsidRDefault="00000000">
      <w:pPr>
        <w:pStyle w:val="Heading3"/>
      </w:pPr>
      <w:r>
        <w:t>Risiko 3: Erstkunden finden Probleme im Produkt</w:t>
      </w:r>
    </w:p>
    <w:p w14:paraId="033FCE4F" w14:textId="77777777" w:rsidR="00107417" w:rsidRDefault="00000000">
      <w:pPr>
        <w:spacing w:before="60" w:after="60"/>
      </w:pPr>
      <w:r>
        <w:t>Wahrscheinlichkeit: hoch (das ist erwartet). Lösungsweg: Schnelle Iteration, persönlicher Gründer-Kontakt, transparente Kommunikation. Die 30-Tage-Garantie schützt den Kunden, das White-Glove-Onboarding sichert die Beziehung.</w:t>
      </w:r>
    </w:p>
    <w:p w14:paraId="41DA4D98" w14:textId="77777777" w:rsidR="00107417" w:rsidRDefault="00000000">
      <w:pPr>
        <w:pStyle w:val="Heading3"/>
      </w:pPr>
      <w:r>
        <w:t>Risiko 4: Solo-Founder-Kapazität für 5 Erstkunden parallel</w:t>
      </w:r>
    </w:p>
    <w:p w14:paraId="6EDF9018" w14:textId="77777777" w:rsidR="00107417" w:rsidRDefault="00000000">
      <w:pPr>
        <w:spacing w:before="60" w:after="60"/>
      </w:pPr>
      <w:r>
        <w:t>Wahrscheinlichkeit: mittel. Onboarding plus laufende Akquise kann zu Überlastung führen. Mitigation: Erstkunden zeitversetzt aufnehmen (1-2 pro Woche), Akquise drosseln sobald 3 Kunden produktiv sind.</w:t>
      </w:r>
    </w:p>
    <w:p w14:paraId="11A7CB54" w14:textId="77777777" w:rsidR="00107417" w:rsidRDefault="00000000">
      <w:pPr>
        <w:pStyle w:val="Heading3"/>
      </w:pPr>
      <w:r>
        <w:t>Risiko 5: Kein Markt-Fit</w:t>
      </w:r>
    </w:p>
    <w:p w14:paraId="6D300A7D" w14:textId="77777777" w:rsidR="00107417" w:rsidRDefault="00000000">
      <w:pPr>
        <w:spacing w:before="60" w:after="60"/>
      </w:pPr>
      <w:r>
        <w:t>Wahrscheinlichkeit: gering, aber nicht null. Wenn nach 50 echten Gesprächen kein einziger Erstkunde gewonnen ist, ist das ein ernsthafter Datenpunkt zur Marktvalidierung. In diesem Fall: ICP grundlegend überprüfen, möglicherweise Zielgruppe verschieben (z.B. von Steuerkanzleien zu reinen Fibu-Outsourcern).</w:t>
      </w:r>
    </w:p>
    <w:p w14:paraId="670F475B" w14:textId="77777777" w:rsidR="00107417" w:rsidRDefault="00000000">
      <w:pPr>
        <w:pStyle w:val="Heading1"/>
      </w:pPr>
      <w:r>
        <w:t>Anhang: Verknüpfte Dokumente</w:t>
      </w:r>
    </w:p>
    <w:p w14:paraId="5031681E" w14:textId="77777777" w:rsidR="00107417" w:rsidRDefault="00000000">
      <w:pPr>
        <w:spacing w:before="60" w:after="60"/>
      </w:pPr>
      <w:r>
        <w:t>Dieses Strategie-Update ergänzt und überlagert in Teilen folgende frühere Dokumente:</w:t>
      </w:r>
    </w:p>
    <w:p w14:paraId="12741C9F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flowbeaver-gtm-strategie.docx (Februar 2026): Waitlist-Funnel und Webinar-Ansatz pausiert; Pricing und ICP-Definition gültig</w:t>
      </w:r>
    </w:p>
    <w:p w14:paraId="0B7AAB73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flowbeaver-positionierungspapier.docx (Februar 2026): Vollständig gültig (DATEV-Ergänzung, technologische Differenzierung)</w:t>
      </w:r>
    </w:p>
    <w:p w14:paraId="7C100A47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flowbeaver-kanalanalyse.docx (März 2026): Phase-2-Kanäle gültig; Phase-1-Kanalpriorität verschoben auf Direktansprache</w:t>
      </w:r>
    </w:p>
    <w:p w14:paraId="0E674C25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flowbeaver-preisanalyse.docx (März 2026): Vollständig gültig</w:t>
      </w:r>
    </w:p>
    <w:p w14:paraId="2BE0CEC8" w14:textId="77777777" w:rsidR="00107417" w:rsidRDefault="00000000">
      <w:pPr>
        <w:pStyle w:val="ListParagraph"/>
        <w:numPr>
          <w:ilvl w:val="0"/>
          <w:numId w:val="2"/>
        </w:numPr>
        <w:spacing w:before="40" w:after="40"/>
      </w:pPr>
      <w:r>
        <w:t>flowbeaver-aktionsplan.docx (März 2026): Strukturlogik gültig, operative Phase 1 ersetzt durch dieses Dokument</w:t>
      </w:r>
    </w:p>
    <w:p w14:paraId="6A698FFE" w14:textId="77777777" w:rsidR="00107417" w:rsidRDefault="00107417">
      <w:pPr>
        <w:spacing w:before="240"/>
      </w:pPr>
    </w:p>
    <w:p w14:paraId="6EC5EC18" w14:textId="77777777" w:rsidR="00107417" w:rsidRDefault="00000000">
      <w:pPr>
        <w:spacing w:before="60" w:after="60"/>
      </w:pPr>
      <w:r>
        <w:rPr>
          <w:i/>
          <w:iCs/>
          <w:color w:val="888888"/>
          <w:sz w:val="18"/>
          <w:szCs w:val="18"/>
        </w:rPr>
        <w:t>Erstellt mit Unterstützung von Claude | Flowbeaver GmbH | Mai 2026</w:t>
      </w:r>
    </w:p>
    <w:sectPr w:rsidR="001074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E06B3"/>
    <w:multiLevelType w:val="hybridMultilevel"/>
    <w:tmpl w:val="58C4BB88"/>
    <w:lvl w:ilvl="0" w:tplc="D4A2F540">
      <w:start w:val="1"/>
      <w:numFmt w:val="bullet"/>
      <w:lvlText w:val="•"/>
      <w:lvlJc w:val="left"/>
      <w:pPr>
        <w:ind w:left="600" w:hanging="300"/>
      </w:pPr>
    </w:lvl>
    <w:lvl w:ilvl="1" w:tplc="44C2423A">
      <w:numFmt w:val="decimal"/>
      <w:lvlText w:val=""/>
      <w:lvlJc w:val="left"/>
    </w:lvl>
    <w:lvl w:ilvl="2" w:tplc="366C5F26">
      <w:numFmt w:val="decimal"/>
      <w:lvlText w:val=""/>
      <w:lvlJc w:val="left"/>
    </w:lvl>
    <w:lvl w:ilvl="3" w:tplc="AD004708">
      <w:numFmt w:val="decimal"/>
      <w:lvlText w:val=""/>
      <w:lvlJc w:val="left"/>
    </w:lvl>
    <w:lvl w:ilvl="4" w:tplc="5EEA933E">
      <w:numFmt w:val="decimal"/>
      <w:lvlText w:val=""/>
      <w:lvlJc w:val="left"/>
    </w:lvl>
    <w:lvl w:ilvl="5" w:tplc="57EA08C0">
      <w:numFmt w:val="decimal"/>
      <w:lvlText w:val=""/>
      <w:lvlJc w:val="left"/>
    </w:lvl>
    <w:lvl w:ilvl="6" w:tplc="14CAE500">
      <w:numFmt w:val="decimal"/>
      <w:lvlText w:val=""/>
      <w:lvlJc w:val="left"/>
    </w:lvl>
    <w:lvl w:ilvl="7" w:tplc="DAE05B96">
      <w:numFmt w:val="decimal"/>
      <w:lvlText w:val=""/>
      <w:lvlJc w:val="left"/>
    </w:lvl>
    <w:lvl w:ilvl="8" w:tplc="0CCADD6A">
      <w:numFmt w:val="decimal"/>
      <w:lvlText w:val=""/>
      <w:lvlJc w:val="left"/>
    </w:lvl>
  </w:abstractNum>
  <w:abstractNum w:abstractNumId="1" w15:restartNumberingAfterBreak="0">
    <w:nsid w:val="3D7D2127"/>
    <w:multiLevelType w:val="hybridMultilevel"/>
    <w:tmpl w:val="FCDAC4AC"/>
    <w:lvl w:ilvl="0" w:tplc="8CD2BAD2">
      <w:start w:val="1"/>
      <w:numFmt w:val="bullet"/>
      <w:lvlText w:val="●"/>
      <w:lvlJc w:val="left"/>
      <w:pPr>
        <w:ind w:left="720" w:hanging="360"/>
      </w:pPr>
    </w:lvl>
    <w:lvl w:ilvl="1" w:tplc="9A58CC9E">
      <w:start w:val="1"/>
      <w:numFmt w:val="bullet"/>
      <w:lvlText w:val="○"/>
      <w:lvlJc w:val="left"/>
      <w:pPr>
        <w:ind w:left="1440" w:hanging="360"/>
      </w:pPr>
    </w:lvl>
    <w:lvl w:ilvl="2" w:tplc="69706D2C">
      <w:start w:val="1"/>
      <w:numFmt w:val="bullet"/>
      <w:lvlText w:val="■"/>
      <w:lvlJc w:val="left"/>
      <w:pPr>
        <w:ind w:left="2160" w:hanging="360"/>
      </w:pPr>
    </w:lvl>
    <w:lvl w:ilvl="3" w:tplc="9DFA0108">
      <w:start w:val="1"/>
      <w:numFmt w:val="bullet"/>
      <w:lvlText w:val="●"/>
      <w:lvlJc w:val="left"/>
      <w:pPr>
        <w:ind w:left="2880" w:hanging="360"/>
      </w:pPr>
    </w:lvl>
    <w:lvl w:ilvl="4" w:tplc="CC266DD2">
      <w:start w:val="1"/>
      <w:numFmt w:val="bullet"/>
      <w:lvlText w:val="○"/>
      <w:lvlJc w:val="left"/>
      <w:pPr>
        <w:ind w:left="3600" w:hanging="360"/>
      </w:pPr>
    </w:lvl>
    <w:lvl w:ilvl="5" w:tplc="AECA1BF8">
      <w:start w:val="1"/>
      <w:numFmt w:val="bullet"/>
      <w:lvlText w:val="■"/>
      <w:lvlJc w:val="left"/>
      <w:pPr>
        <w:ind w:left="4320" w:hanging="360"/>
      </w:pPr>
    </w:lvl>
    <w:lvl w:ilvl="6" w:tplc="7F50A272">
      <w:start w:val="1"/>
      <w:numFmt w:val="bullet"/>
      <w:lvlText w:val="●"/>
      <w:lvlJc w:val="left"/>
      <w:pPr>
        <w:ind w:left="5040" w:hanging="360"/>
      </w:pPr>
    </w:lvl>
    <w:lvl w:ilvl="7" w:tplc="6D9EAC42">
      <w:start w:val="1"/>
      <w:numFmt w:val="bullet"/>
      <w:lvlText w:val="●"/>
      <w:lvlJc w:val="left"/>
      <w:pPr>
        <w:ind w:left="5760" w:hanging="360"/>
      </w:pPr>
    </w:lvl>
    <w:lvl w:ilvl="8" w:tplc="F2567890">
      <w:start w:val="1"/>
      <w:numFmt w:val="bullet"/>
      <w:lvlText w:val="●"/>
      <w:lvlJc w:val="left"/>
      <w:pPr>
        <w:ind w:left="6480" w:hanging="360"/>
      </w:pPr>
    </w:lvl>
  </w:abstractNum>
  <w:num w:numId="1" w16cid:durableId="606931745">
    <w:abstractNumId w:val="1"/>
    <w:lvlOverride w:ilvl="0">
      <w:startOverride w:val="1"/>
    </w:lvlOverride>
  </w:num>
  <w:num w:numId="2" w16cid:durableId="2058819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417"/>
    <w:rsid w:val="00107417"/>
    <w:rsid w:val="00213449"/>
    <w:rsid w:val="00C25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CC02C"/>
  <w15:docId w15:val="{2A85C25E-1A55-EA43-BAB9-FDF4E0548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1F4E7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1172</Words>
  <Characters>9324</Characters>
  <Application>Microsoft Office Word</Application>
  <DocSecurity>0</DocSecurity>
  <Lines>179</Lines>
  <Paragraphs>145</Paragraphs>
  <ScaleCrop>false</ScaleCrop>
  <Company/>
  <LinksUpToDate>false</LinksUpToDate>
  <CharactersWithSpaces>10351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Andreas Schwarzkopf</cp:lastModifiedBy>
  <cp:revision>2</cp:revision>
  <cp:lastPrinted>2026-05-10T16:52:00Z</cp:lastPrinted>
  <dcterms:created xsi:type="dcterms:W3CDTF">2026-05-10T16:53:00Z</dcterms:created>
  <dcterms:modified xsi:type="dcterms:W3CDTF">2026-05-10T16:53:00Z</dcterms:modified>
</cp:coreProperties>
</file>