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52267A"/>
          <w:sz w:val="18"/>
        </w:rPr>
        <w:t>FLOWBEAVER</w:t>
      </w:r>
    </w:p>
    <w:p>
      <w:pPr>
        <w:spacing w:before="200" w:after="80"/>
      </w:pPr>
      <w:r>
        <w:rPr>
          <w:rFonts w:ascii="Calibri" w:hAnsi="Calibri"/>
          <w:b/>
          <w:color w:val="52267A"/>
          <w:sz w:val="36"/>
        </w:rPr>
        <w:t>Sales-Cheatsheet — Marktforscher-Frame (Studie)</w:t>
      </w:r>
    </w:p>
    <w:p>
      <w:pPr>
        <w:spacing w:after="60"/>
      </w:pPr>
      <w:r>
        <w:rPr>
          <w:rFonts w:ascii="Calibri" w:hAnsi="Calibri"/>
          <w:b w:val="0"/>
          <w:i w:val="0"/>
          <w:color w:val="6B6B6B"/>
          <w:sz w:val="18"/>
        </w:rPr>
        <w:t>Anrufzeit: 16:00–18:00  •  Erstgespräch = Interview, Folgetermin = Demo  •  Ziel: Praxis-Sicht für Branchenreport + 5 Erstkunden über Folgetermine</w:t>
      </w:r>
    </w:p>
    <w:p>
      <w:pPr>
        <w:spacing w:before="120" w:after="120"/>
      </w:pPr>
      <w:r>
        <w:rPr>
          <w:color w:val="6B6B6B"/>
          <w:sz w:val="16"/>
        </w:rPr>
        <w:t>————————————————————————————————————————</w:t>
      </w:r>
    </w:p>
    <w:p>
      <w:pPr>
        <w:spacing w:before="200" w:after="80"/>
      </w:pPr>
      <w:r>
        <w:rPr>
          <w:rFonts w:ascii="Calibri" w:hAnsi="Calibri"/>
          <w:b/>
          <w:color w:val="52267A"/>
          <w:sz w:val="26"/>
        </w:rPr>
        <w:t>Mindset — du bist Marktforscher, nicht Verkäufer</w:t>
      </w:r>
    </w:p>
    <w:p>
      <w:pPr>
        <w:spacing w:after="60"/>
      </w:pPr>
      <w:r>
        <w:rPr>
          <w:rFonts w:ascii="Calibri" w:hAnsi="Calibri"/>
          <w:b w:val="0"/>
          <w:i w:val="0"/>
          <w:color w:val="1A1A1A"/>
          <w:sz w:val="20"/>
        </w:rPr>
        <w:t>Im Erstgespräch wird nichts verkauft. Du verdichtest einen Branchenreport zur Lage der Steuerkanzleien und validierst die Kernthesen mit Inhabern. Der Inhaber ist Experte, du der Forscher. Im Gegenzug bekommt jeder Teilnehmende den fertigen Report. Sales-Logik kommt erst im Folgetermin — und nur, wenn aus dem Interview ein klares Signal kommt.</w:t>
      </w:r>
    </w:p>
    <w:p>
      <w:pPr>
        <w:spacing w:after="60"/>
      </w:pPr>
      <w:r>
        <w:rPr>
          <w:rFonts w:ascii="Calibri" w:hAnsi="Calibri"/>
          <w:b w:val="0"/>
          <w:i/>
          <w:color w:val="6B6B6B"/>
          <w:sz w:val="18"/>
        </w:rPr>
        <w:t>Wichtig: Der Tausch ist ehrlich. Wenn der Report nach 2 Wochen nicht im Postfach ist, ist der Frame für immer verbrannt. Operative Konsequenz: nach jedem Interview innerhalb 48h Report-E-Mail raus.</w:t>
      </w:r>
    </w:p>
    <w:p>
      <w:pPr>
        <w:spacing w:before="120" w:after="120"/>
      </w:pPr>
      <w:r>
        <w:rPr>
          <w:color w:val="6B6B6B"/>
          <w:sz w:val="16"/>
        </w:rPr>
        <w:t>————————————————————————————————————————</w:t>
      </w:r>
    </w:p>
    <w:p>
      <w:pPr>
        <w:spacing w:before="200" w:after="80"/>
      </w:pPr>
      <w:r>
        <w:rPr>
          <w:rFonts w:ascii="Calibri" w:hAnsi="Calibri"/>
          <w:b/>
          <w:color w:val="52267A"/>
          <w:sz w:val="26"/>
        </w:rPr>
        <w:t>Der Öffnungspitch (40-50 Sek, mit Atempausen)</w:t>
      </w:r>
    </w:p>
    <w:p>
      <w:pPr>
        <w:spacing w:after="120"/>
        <w:ind w:left="340"/>
      </w:pPr>
      <w:r>
        <w:rPr>
          <w:rFonts w:ascii="Calibri" w:hAnsi="Calibri"/>
          <w:i/>
          <w:color w:val="1A1A1A"/>
          <w:sz w:val="20"/>
        </w:rPr>
        <w:t>„Guten Tag, Andreas Schwarzkopf, Geschäftsführer der Flowbeaver GmbH. Herr/Frau [Nachname], ich verdichte gerade die Lage in Steuerkanzleien zu einem Branchenreport — der Berufsstand steht vor einem strukturellen Wandel, das spiegelt sich in mehreren Zahlen. Bevor der Report fertig ist, validiere ich die Kernthesen mit Kanzlei-Inhabern im kurzen Austausch. Im Gegenzug bekommen Sie den fertigen Report. Hätten Sie 10-15 Minuten dafür?“</w:t>
      </w:r>
    </w:p>
    <w:p>
      <w:pPr>
        <w:spacing w:after="60"/>
      </w:pPr>
      <w:r>
        <w:rPr>
          <w:rFonts w:ascii="Calibri" w:hAnsi="Calibri"/>
          <w:b w:val="0"/>
          <w:i/>
          <w:color w:val="6B6B6B"/>
          <w:sz w:val="18"/>
        </w:rPr>
        <w:t>Sprechtechnik: „Im Gegenzug bekommen Sie den fertigen Report“ ruhig und klar betonen — das ist der Tausch. Frage am Ende: Stimme NICHT hochziehen, sachlich auslaufen lassen.</w:t>
      </w:r>
    </w:p>
    <w:p>
      <w:pPr>
        <w:spacing w:before="120" w:after="120"/>
      </w:pPr>
      <w:r>
        <w:rPr>
          <w:color w:val="6B6B6B"/>
          <w:sz w:val="16"/>
        </w:rPr>
        <w:t>————————————————————————————————————————</w:t>
      </w:r>
    </w:p>
    <w:p>
      <w:pPr>
        <w:spacing w:before="200" w:after="80"/>
      </w:pPr>
      <w:r>
        <w:rPr>
          <w:rFonts w:ascii="Calibri" w:hAnsi="Calibri"/>
          <w:b/>
          <w:color w:val="52267A"/>
          <w:sz w:val="26"/>
        </w:rPr>
        <w:t>Filterfrage — Spektrum statt Diagnose (Lager-Frame)</w:t>
      </w:r>
    </w:p>
    <w:p>
      <w:pPr>
        <w:spacing w:after="60"/>
      </w:pPr>
      <w:r>
        <w:rPr>
          <w:rFonts w:ascii="Calibri" w:hAnsi="Calibri"/>
          <w:b w:val="0"/>
          <w:i w:val="0"/>
          <w:color w:val="1A1A1A"/>
          <w:sz w:val="20"/>
        </w:rPr>
        <w:t>Erst nach dem „Ja, ich habe Zeit“. Niemals als erste Frage im Anruf. Lässt würdige Antworten in beide Richtungen zu, ohne Schwäche-Beichte.</w:t>
      </w:r>
    </w:p>
    <w:p>
      <w:pPr>
        <w:spacing w:after="120"/>
        <w:ind w:left="340"/>
      </w:pPr>
      <w:r>
        <w:rPr>
          <w:rFonts w:ascii="Calibri" w:hAnsi="Calibri"/>
          <w:i/>
          <w:color w:val="1A1A1A"/>
          <w:sz w:val="20"/>
        </w:rPr>
        <w:t>„Bevor wir loslegen: Ich sehe in den Gesprächen zwei Lager — die einen suchen aktiv nach Antworten zum Personalmarkt und zur KI-Adoption, die anderen sagen ‚gerade nicht unser Fokus‘. Beides ist legitim. Wo sehen Sie sich da aktuell?“</w:t>
      </w:r>
    </w:p>
    <w:p>
      <w:pPr>
        <w:spacing w:after="60"/>
      </w:pPr>
      <w:r>
        <w:rPr>
          <w:rFonts w:ascii="Calibri" w:hAnsi="Calibri"/>
          <w:b w:val="0"/>
          <w:i/>
          <w:color w:val="6B6B6B"/>
          <w:sz w:val="18"/>
        </w:rPr>
        <w:t>„Beides ist legitim“ ist der psychologische Anker. Inhaber wählt Position, statt Schwäche zu beichten. „Strategisch abwartend“ ist inhaber-würdig. „Aktiv auf der Suche“ ist genau das Lead-Signal — kommt aber frei raus, weil keine Blöße nötig ist.</w:t>
      </w:r>
    </w:p>
    <w:p>
      <w:pPr>
        <w:spacing w:before="120" w:after="120"/>
      </w:pPr>
      <w:r>
        <w:rPr>
          <w:color w:val="6B6B6B"/>
          <w:sz w:val="16"/>
        </w:rPr>
        <w:t>————————————————————————————————————————</w:t>
      </w:r>
    </w:p>
    <w:p>
      <w:pPr>
        <w:spacing w:before="200" w:after="80"/>
      </w:pPr>
      <w:r>
        <w:rPr>
          <w:rFonts w:ascii="Calibri" w:hAnsi="Calibri"/>
          <w:b/>
          <w:color w:val="52267A"/>
          <w:sz w:val="26"/>
        </w:rPr>
        <w:t>Interview-Leitfaden (10-15 Min, 5 Kernfragen)</w:t>
      </w:r>
    </w:p>
    <w:p>
      <w:pPr>
        <w:spacing w:after="60"/>
      </w:pPr>
      <w:r>
        <w:rPr>
          <w:rFonts w:ascii="Calibri" w:hAnsi="Calibri"/>
          <w:b w:val="0"/>
          <w:i w:val="0"/>
          <w:color w:val="1A1A1A"/>
          <w:sz w:val="20"/>
        </w:rPr>
        <w:t>Du hörst zu. Eine offene Frage, dann eine kurze Vertiefung, dann zur nächsten. Keine eigenen Thesen, keine Produkt-Hinweise. Wenn der Inhaber Themen anspricht, die Flowbeaver direkt löst: notieren, aber NICHT anspringen.</w:t>
      </w:r>
    </w:p>
    <w:tbl>
      <w:tblPr>
        <w:tblStyle w:val="LightGrid-Accent1"/>
        <w:tblW w:type="auto" w:w="0"/>
        <w:tblLayout w:type="fixed"/>
        <w:tblLook w:firstColumn="1" w:firstRow="1" w:lastColumn="0" w:lastRow="0" w:noHBand="0" w:noVBand="1" w:val="04A0"/>
      </w:tblPr>
      <w:tblGrid>
        <w:gridCol w:w="5270"/>
        <w:gridCol w:w="5270"/>
      </w:tblGrid>
      <w:tr>
        <w:tc>
          <w:tcPr>
            <w:tcW w:type="dxa" w:w="5270"/>
          </w:tcPr>
          <w:p>
            <w:r/>
            <w:r>
              <w:rPr>
                <w:rFonts w:ascii="Calibri" w:hAnsi="Calibri"/>
                <w:b/>
                <w:color w:val="1A1A1A"/>
                <w:sz w:val="18"/>
              </w:rPr>
              <w:t>1. Personalmarkt</w:t>
            </w:r>
          </w:p>
        </w:tc>
        <w:tc>
          <w:tcPr>
            <w:tcW w:type="dxa" w:w="5270"/>
          </w:tcPr>
          <w:p>
            <w:r/>
            <w:r>
              <w:rPr>
                <w:rFonts w:ascii="Calibri" w:hAnsi="Calibri"/>
                <w:color w:val="1A1A1A"/>
                <w:sz w:val="18"/>
              </w:rPr>
              <w:t>„STAX 2024 sagt: 59 % der offenen Stellen in Einzelkanzleien bleiben unbesetzt. Wie ist das bei Ihnen aktuell — gibt es offene Stellen, und wie hat sich der Bewerber-Markt für Sie 2025/26 entwickelt?“</w:t>
            </w:r>
          </w:p>
        </w:tc>
      </w:tr>
      <w:tr>
        <w:tc>
          <w:tcPr>
            <w:tcW w:type="dxa" w:w="5270"/>
          </w:tcPr>
          <w:p>
            <w:r/>
            <w:r>
              <w:rPr>
                <w:rFonts w:ascii="Calibri" w:hAnsi="Calibri"/>
                <w:b/>
                <w:color w:val="1A1A1A"/>
                <w:sz w:val="18"/>
              </w:rPr>
              <w:t>2. Wachstumshürde</w:t>
            </w:r>
          </w:p>
        </w:tc>
        <w:tc>
          <w:tcPr>
            <w:tcW w:type="dxa" w:w="5270"/>
          </w:tcPr>
          <w:p>
            <w:r/>
            <w:r>
              <w:rPr>
                <w:rFonts w:ascii="Calibri" w:hAnsi="Calibri"/>
                <w:color w:val="1A1A1A"/>
                <w:sz w:val="18"/>
              </w:rPr>
              <w:t>„Wenn Sie morgen 10 neue Mandate annehmen wollten — was wäre der erste Engpass: Personal, Prozesse, oder eher die Mandantenseite?“</w:t>
            </w:r>
          </w:p>
        </w:tc>
      </w:tr>
      <w:tr>
        <w:tc>
          <w:tcPr>
            <w:tcW w:type="dxa" w:w="5270"/>
          </w:tcPr>
          <w:p>
            <w:r/>
            <w:r>
              <w:rPr>
                <w:rFonts w:ascii="Calibri" w:hAnsi="Calibri"/>
                <w:b/>
                <w:color w:val="1A1A1A"/>
                <w:sz w:val="18"/>
              </w:rPr>
              <w:t>3. Buchhaltung als Bottleneck</w:t>
            </w:r>
          </w:p>
        </w:tc>
        <w:tc>
          <w:tcPr>
            <w:tcW w:type="dxa" w:w="5270"/>
          </w:tcPr>
          <w:p>
            <w:r/>
            <w:r>
              <w:rPr>
                <w:rFonts w:ascii="Calibri" w:hAnsi="Calibri"/>
                <w:color w:val="1A1A1A"/>
                <w:sz w:val="18"/>
              </w:rPr>
              <w:t>„Buchführung macht im Schnitt 21-25 % des Kanzleiumsatzes aus. Wo geht bei Ihrem Team im Buchhaltungs-Prozess die meiste Zeit verloren — Abtippen, Rückfragen beim Mandanten, oder unklare Belege?“</w:t>
            </w:r>
          </w:p>
        </w:tc>
      </w:tr>
      <w:tr>
        <w:tc>
          <w:tcPr>
            <w:tcW w:type="dxa" w:w="5270"/>
          </w:tcPr>
          <w:p>
            <w:r/>
            <w:r>
              <w:rPr>
                <w:rFonts w:ascii="Calibri" w:hAnsi="Calibri"/>
                <w:b/>
                <w:color w:val="1A1A1A"/>
                <w:sz w:val="18"/>
              </w:rPr>
              <w:t>4. KI-Adoption</w:t>
            </w:r>
          </w:p>
        </w:tc>
        <w:tc>
          <w:tcPr>
            <w:tcW w:type="dxa" w:w="5270"/>
          </w:tcPr>
          <w:p>
            <w:r/>
            <w:r>
              <w:rPr>
                <w:rFonts w:ascii="Calibri" w:hAnsi="Calibri"/>
                <w:color w:val="1A1A1A"/>
                <w:sz w:val="18"/>
              </w:rPr>
              <w:t>„Nur 12 % der Einzelkanzleien nutzen aktuell KI-Chatbots. Wie sehen Sie das Thema KI für die Kanzlei — eher Chance, eher Risiko, oder noch keine Zeit sich damit zu beschäftigen?“</w:t>
            </w:r>
          </w:p>
        </w:tc>
      </w:tr>
      <w:tr>
        <w:tc>
          <w:tcPr>
            <w:tcW w:type="dxa" w:w="5270"/>
          </w:tcPr>
          <w:p>
            <w:r/>
            <w:r>
              <w:rPr>
                <w:rFonts w:ascii="Calibri" w:hAnsi="Calibri"/>
                <w:b/>
                <w:color w:val="1A1A1A"/>
                <w:sz w:val="18"/>
              </w:rPr>
              <w:t>5. Was wäre der größte Unterschied</w:t>
            </w:r>
          </w:p>
        </w:tc>
        <w:tc>
          <w:tcPr>
            <w:tcW w:type="dxa" w:w="5270"/>
          </w:tcPr>
          <w:p>
            <w:r/>
            <w:r>
              <w:rPr>
                <w:rFonts w:ascii="Calibri" w:hAnsi="Calibri"/>
                <w:color w:val="1A1A1A"/>
                <w:sz w:val="18"/>
              </w:rPr>
              <w:t>„Letzte Frage: Wenn morgen ein Werkzeug auf den Markt käme, das genau einen Engpass in Ihrer Kanzlei löst — welcher Engpass müsste das sein, damit sich das für Sie wirklich lohnt?“</w:t>
            </w:r>
          </w:p>
        </w:tc>
      </w:tr>
    </w:tbl>
    <w:p>
      <w:pPr>
        <w:spacing w:after="60"/>
      </w:pPr>
      <w:r>
        <w:rPr>
          <w:rFonts w:ascii="Calibri" w:hAnsi="Calibri"/>
          <w:b w:val="0"/>
          <w:i/>
          <w:color w:val="6B6B6B"/>
          <w:sz w:val="18"/>
        </w:rPr>
        <w:t>Notiz-Disziplin: Originalwortlaut der Antworten festhalten. Das ist die Substanz für den Report UND die Lead-Qualifizierung.</w:t>
      </w:r>
    </w:p>
    <w:p>
      <w:pPr>
        <w:spacing w:before="120" w:after="120"/>
      </w:pPr>
      <w:r>
        <w:rPr>
          <w:color w:val="6B6B6B"/>
          <w:sz w:val="16"/>
        </w:rPr>
        <w:t>————————————————————————————————————————</w:t>
      </w:r>
    </w:p>
    <w:p>
      <w:pPr>
        <w:spacing w:before="200" w:after="80"/>
      </w:pPr>
      <w:r>
        <w:rPr>
          <w:rFonts w:ascii="Calibri" w:hAnsi="Calibri"/>
          <w:b/>
          <w:color w:val="52267A"/>
          <w:sz w:val="26"/>
        </w:rPr>
        <w:t>Authenticity-Übergang am Ende (kritisch — bait-and-switch vermeiden)</w:t>
      </w:r>
    </w:p>
    <w:p>
      <w:pPr>
        <w:spacing w:after="60"/>
      </w:pPr>
      <w:r>
        <w:rPr>
          <w:rFonts w:ascii="Calibri" w:hAnsi="Calibri"/>
          <w:b w:val="0"/>
          <w:i w:val="0"/>
          <w:color w:val="1A1A1A"/>
          <w:sz w:val="20"/>
        </w:rPr>
        <w:t>Drei Szenarien für den Schluss. Nie als Demo-Close tarnen, nie unter Druck setzen. Der Inhaber muss spüren: der Tausch wurde gehalten, die Demo ist Option, kein Zwang.</w:t>
      </w:r>
    </w:p>
    <w:tbl>
      <w:tblPr>
        <w:tblStyle w:val="LightGrid-Accent1"/>
        <w:tblW w:type="auto" w:w="0"/>
        <w:tblLook w:firstColumn="1" w:firstRow="1" w:lastColumn="0" w:lastRow="0" w:noHBand="0" w:noVBand="1" w:val="04A0"/>
      </w:tblPr>
      <w:tblGrid>
        <w:gridCol w:w="5270"/>
        <w:gridCol w:w="5270"/>
      </w:tblGrid>
      <w:tr>
        <w:tc>
          <w:tcPr>
            <w:tcW w:type="dxa" w:w="5270"/>
          </w:tcPr>
          <w:p>
            <w:r/>
            <w:r>
              <w:rPr>
                <w:rFonts w:ascii="Calibri" w:hAnsi="Calibri"/>
                <w:b/>
                <w:color w:val="1A1A1A"/>
                <w:sz w:val="18"/>
              </w:rPr>
              <w:t>Klares Signal (Inhaber nennt Schmerz, der Flowbeaver direkt löst)</w:t>
            </w:r>
          </w:p>
        </w:tc>
        <w:tc>
          <w:tcPr>
            <w:tcW w:type="dxa" w:w="5270"/>
          </w:tcPr>
          <w:p>
            <w:r/>
            <w:r>
              <w:rPr>
                <w:rFonts w:ascii="Calibri" w:hAnsi="Calibri"/>
                <w:color w:val="1A1A1A"/>
                <w:sz w:val="18"/>
              </w:rPr>
              <w:t>„Vielen Dank für die offenen Antworten — das war wertvoll. Aus den bisherigen Gesprächen kristallisiert sich übrigens klar heraus: [Punkt X, z.B. „die Mandanten-Rückfragen sind für viele der größere Zeitfresser als das Abtippen“]. Genau dafür baue ich bei Flowbeaver gerade eine Lösung — die kommt in den nächsten Wochen in die ersten Kanzleien. Wenn Sie das später mal sehen wollen, melde ich mich. Den Report bekommen Sie in 1-2 Wochen per E-Mail.“</w:t>
            </w:r>
          </w:p>
        </w:tc>
      </w:tr>
      <w:tr>
        <w:tc>
          <w:tcPr>
            <w:tcW w:type="dxa" w:w="5270"/>
          </w:tcPr>
          <w:p>
            <w:r/>
            <w:r>
              <w:rPr>
                <w:rFonts w:ascii="Calibri" w:hAnsi="Calibri"/>
                <w:b/>
                <w:color w:val="1A1A1A"/>
                <w:sz w:val="18"/>
              </w:rPr>
              <w:t>Mittleres Signal (Interesse, aber nicht akut)</w:t>
            </w:r>
          </w:p>
        </w:tc>
        <w:tc>
          <w:tcPr>
            <w:tcW w:type="dxa" w:w="5270"/>
          </w:tcPr>
          <w:p>
            <w:r/>
            <w:r>
              <w:rPr>
                <w:rFonts w:ascii="Calibri" w:hAnsi="Calibri"/>
                <w:color w:val="1A1A1A"/>
                <w:sz w:val="18"/>
              </w:rPr>
              <w:t>„Vielen Dank — die Antworten gehen in den Report. Den schicke ich Ihnen in 1-2 Wochen. Falls Sie zwischendurch Fragen haben oder die Lage sich ändert: meine Direktnummer steht auf Flowbeaver.de. Schönen Abend.“</w:t>
            </w:r>
          </w:p>
        </w:tc>
      </w:tr>
      <w:tr>
        <w:tc>
          <w:tcPr>
            <w:tcW w:type="dxa" w:w="5270"/>
          </w:tcPr>
          <w:p>
            <w:r/>
            <w:r>
              <w:rPr>
                <w:rFonts w:ascii="Calibri" w:hAnsi="Calibri"/>
                <w:b/>
                <w:color w:val="1A1A1A"/>
                <w:sz w:val="18"/>
              </w:rPr>
              <w:t>Kein Signal (Inhaber sieht das Thema nicht)</w:t>
            </w:r>
          </w:p>
        </w:tc>
        <w:tc>
          <w:tcPr>
            <w:tcW w:type="dxa" w:w="5270"/>
          </w:tcPr>
          <w:p>
            <w:r/>
            <w:r>
              <w:rPr>
                <w:rFonts w:ascii="Calibri" w:hAnsi="Calibri"/>
                <w:color w:val="1A1A1A"/>
                <w:sz w:val="18"/>
              </w:rPr>
              <w:t>„Vielen Dank — das ist genau die Sicht, die für den Report wichtig ist, weil sie eines der Lager beschreibt. Den Report schicke ich Ihnen in 1-2 Wochen. Schönen Tag.“</w:t>
            </w:r>
          </w:p>
        </w:tc>
      </w:tr>
    </w:tbl>
    <w:p>
      <w:pPr>
        <w:spacing w:before="120" w:after="120"/>
      </w:pPr>
      <w:r>
        <w:rPr>
          <w:color w:val="6B6B6B"/>
          <w:sz w:val="16"/>
        </w:rPr>
        <w:t>————————————————————————————————————————</w:t>
      </w:r>
    </w:p>
    <w:p>
      <w:pPr>
        <w:spacing w:before="200" w:after="80"/>
      </w:pPr>
      <w:r>
        <w:rPr>
          <w:rFonts w:ascii="Calibri" w:hAnsi="Calibri"/>
          <w:b/>
          <w:color w:val="52267A"/>
          <w:sz w:val="26"/>
        </w:rPr>
        <w:t>Folgetermin (2. Termin) — Drei-Türen-Pitch + Demo</w:t>
      </w:r>
    </w:p>
    <w:p>
      <w:pPr>
        <w:spacing w:after="60"/>
      </w:pPr>
      <w:r>
        <w:rPr>
          <w:rFonts w:ascii="Calibri" w:hAnsi="Calibri"/>
          <w:b w:val="0"/>
          <w:i w:val="0"/>
          <w:color w:val="1A1A1A"/>
          <w:sz w:val="20"/>
        </w:rPr>
        <w:t>Erst wenn aus dem Interview ein konkretes Signal kam UND der Inhaber zustimmt. Der Folgetermin ist der eigentliche Demo-Termin — der Frame ist dann sauber: „Sie haben in unserem Gespräch [X] genannt, ich zeige Ihnen heute live, wie Flowbeaver genau das löst.“ Die Drei-Türen-Logik (Nicht-digitale Mandanten, Klärfälle, Exotische Belege) bleibt unverändert — sie wandert nur zeitlich nach hinten.</w:t>
      </w:r>
    </w:p>
    <w:p>
      <w:pPr>
        <w:spacing w:after="60"/>
      </w:pPr>
      <w:r>
        <w:rPr>
          <w:rFonts w:ascii="Calibri" w:hAnsi="Calibri"/>
          <w:b w:val="0"/>
          <w:i/>
          <w:color w:val="6B6B6B"/>
          <w:sz w:val="18"/>
        </w:rPr>
        <w:t>Buchung-Skript: „Können wir dazu einen 15-Minuten-Termin festhalten? Dienstag- oder Donnerstag-Vormittag passt mir gut. Bringen Sie gern einen Ihrer ‚Lieblings-Problemfälle‘ mit — dann zeigen wir es konkret an Ihrem Beleg.“</w:t>
      </w:r>
    </w:p>
    <w:p>
      <w:pPr>
        <w:spacing w:before="120" w:after="120"/>
      </w:pPr>
      <w:r>
        <w:rPr>
          <w:color w:val="6B6B6B"/>
          <w:sz w:val="16"/>
        </w:rPr>
        <w:t>————————————————————————————————————————</w:t>
      </w:r>
    </w:p>
    <w:p>
      <w:pPr>
        <w:spacing w:before="200" w:after="80"/>
      </w:pPr>
      <w:r>
        <w:rPr>
          <w:rFonts w:ascii="Calibri" w:hAnsi="Calibri"/>
          <w:b/>
          <w:color w:val="52267A"/>
          <w:sz w:val="26"/>
        </w:rPr>
        <w:t>Anti-Patterns (niemals im Erstgespräch tun)</w:t>
      </w:r>
    </w:p>
    <w:tbl>
      <w:tblPr>
        <w:tblStyle w:val="LightGrid-Accent1"/>
        <w:tblW w:type="auto" w:w="0"/>
        <w:tblLook w:firstColumn="1" w:firstRow="1" w:lastColumn="0" w:lastRow="0" w:noHBand="0" w:noVBand="1" w:val="04A0"/>
      </w:tblPr>
      <w:tblGrid>
        <w:gridCol w:w="5270"/>
        <w:gridCol w:w="5270"/>
      </w:tblGrid>
      <w:tr>
        <w:tc>
          <w:tcPr>
            <w:tcW w:type="dxa" w:w="5270"/>
          </w:tcPr>
          <w:p>
            <w:r/>
            <w:r>
              <w:rPr>
                <w:rFonts w:ascii="Calibri" w:hAnsi="Calibri"/>
                <w:b/>
                <w:color w:val="1A1A1A"/>
                <w:sz w:val="18"/>
              </w:rPr>
              <w:t>Produkt-Pitch im Interview</w:t>
            </w:r>
          </w:p>
        </w:tc>
        <w:tc>
          <w:tcPr>
            <w:tcW w:type="dxa" w:w="5270"/>
          </w:tcPr>
          <w:p>
            <w:r/>
            <w:r>
              <w:rPr>
                <w:rFonts w:ascii="Calibri" w:hAnsi="Calibri"/>
                <w:color w:val="1A1A1A"/>
                <w:sz w:val="18"/>
              </w:rPr>
              <w:t>„Bei Flowbeaver machen wir das so …“ — Frame zerstört. Erst im Folgetermin.</w:t>
            </w:r>
          </w:p>
        </w:tc>
      </w:tr>
      <w:tr>
        <w:tc>
          <w:tcPr>
            <w:tcW w:type="dxa" w:w="5270"/>
          </w:tcPr>
          <w:p>
            <w:r/>
            <w:r>
              <w:rPr>
                <w:rFonts w:ascii="Calibri" w:hAnsi="Calibri"/>
                <w:b/>
                <w:color w:val="1A1A1A"/>
                <w:sz w:val="18"/>
              </w:rPr>
              <w:t>„Drei Türen“ im Erstgespräch öffnen</w:t>
            </w:r>
          </w:p>
        </w:tc>
        <w:tc>
          <w:tcPr>
            <w:tcW w:type="dxa" w:w="5270"/>
          </w:tcPr>
          <w:p>
            <w:r/>
            <w:r>
              <w:rPr>
                <w:rFonts w:ascii="Calibri" w:hAnsi="Calibri"/>
                <w:color w:val="1A1A1A"/>
                <w:sz w:val="18"/>
              </w:rPr>
              <w:t>Drei-Türen-Pitch ist Demo-Material, nicht Interview-Material. Disziplin halten.</w:t>
            </w:r>
          </w:p>
        </w:tc>
      </w:tr>
      <w:tr>
        <w:tc>
          <w:tcPr>
            <w:tcW w:type="dxa" w:w="5270"/>
          </w:tcPr>
          <w:p>
            <w:r/>
            <w:r>
              <w:rPr>
                <w:rFonts w:ascii="Calibri" w:hAnsi="Calibri"/>
                <w:b/>
                <w:color w:val="1A1A1A"/>
                <w:sz w:val="18"/>
              </w:rPr>
              <w:t>Verknappung („nur fünf Plätze“)</w:t>
            </w:r>
          </w:p>
        </w:tc>
        <w:tc>
          <w:tcPr>
            <w:tcW w:type="dxa" w:w="5270"/>
          </w:tcPr>
          <w:p>
            <w:r/>
            <w:r>
              <w:rPr>
                <w:rFonts w:ascii="Calibri" w:hAnsi="Calibri"/>
                <w:color w:val="1A1A1A"/>
                <w:sz w:val="18"/>
              </w:rPr>
              <w:t>Riecht nach Trick. Im Studien-Frame absolut tödlich. Nicht erwähnen.</w:t>
            </w:r>
          </w:p>
        </w:tc>
      </w:tr>
      <w:tr>
        <w:tc>
          <w:tcPr>
            <w:tcW w:type="dxa" w:w="5270"/>
          </w:tcPr>
          <w:p>
            <w:r/>
            <w:r>
              <w:rPr>
                <w:rFonts w:ascii="Calibri" w:hAnsi="Calibri"/>
                <w:b/>
                <w:color w:val="1A1A1A"/>
                <w:sz w:val="18"/>
              </w:rPr>
              <w:t>Demo-Close im Erstgespräch</w:t>
            </w:r>
          </w:p>
        </w:tc>
        <w:tc>
          <w:tcPr>
            <w:tcW w:type="dxa" w:w="5270"/>
          </w:tcPr>
          <w:p>
            <w:r/>
            <w:r>
              <w:rPr>
                <w:rFonts w:ascii="Calibri" w:hAnsi="Calibri"/>
                <w:color w:val="1A1A1A"/>
                <w:sz w:val="18"/>
              </w:rPr>
              <w:t>„Wann passt Ihnen die Demo?“ direkt nach Interview = bait-and-switch. Erst Übergang sauber benennen, dann optional Termin anbieten.</w:t>
            </w:r>
          </w:p>
        </w:tc>
      </w:tr>
      <w:tr>
        <w:tc>
          <w:tcPr>
            <w:tcW w:type="dxa" w:w="5270"/>
          </w:tcPr>
          <w:p>
            <w:r/>
            <w:r>
              <w:rPr>
                <w:rFonts w:ascii="Calibri" w:hAnsi="Calibri"/>
                <w:b/>
                <w:color w:val="1A1A1A"/>
                <w:sz w:val="18"/>
              </w:rPr>
              <w:t>Lange Datenfeuerwerks-Eröffnung</w:t>
            </w:r>
          </w:p>
        </w:tc>
        <w:tc>
          <w:tcPr>
            <w:tcW w:type="dxa" w:w="5270"/>
          </w:tcPr>
          <w:p>
            <w:r/>
            <w:r>
              <w:rPr>
                <w:rFonts w:ascii="Calibri" w:hAnsi="Calibri"/>
                <w:color w:val="1A1A1A"/>
                <w:sz w:val="18"/>
              </w:rPr>
              <w:t>Nicht drei Studien-Zahlen reinbruzeln. Ein Satz Rahmen, EIN Hinweis auf den Wandel, dann Tausch und Zeitfrage.</w:t>
            </w:r>
          </w:p>
        </w:tc>
      </w:tr>
      <w:tr>
        <w:tc>
          <w:tcPr>
            <w:tcW w:type="dxa" w:w="5270"/>
          </w:tcPr>
          <w:p>
            <w:r/>
            <w:r>
              <w:rPr>
                <w:rFonts w:ascii="Calibri" w:hAnsi="Calibri"/>
                <w:b/>
                <w:color w:val="1A1A1A"/>
                <w:sz w:val="18"/>
              </w:rPr>
              <w:t>Diagnose-Fragen im Interview</w:t>
            </w:r>
          </w:p>
        </w:tc>
        <w:tc>
          <w:tcPr>
            <w:tcW w:type="dxa" w:w="5270"/>
          </w:tcPr>
          <w:p>
            <w:r/>
            <w:r>
              <w:rPr>
                <w:rFonts w:ascii="Calibri" w:hAnsi="Calibri"/>
                <w:color w:val="1A1A1A"/>
                <w:sz w:val="18"/>
              </w:rPr>
              <w:t>„Haben Sie das Problem?“ — falscher Frame. Spektrum-/Lage-Fragen formulieren.</w:t>
            </w:r>
          </w:p>
        </w:tc>
      </w:tr>
      <w:tr>
        <w:tc>
          <w:tcPr>
            <w:tcW w:type="dxa" w:w="5270"/>
          </w:tcPr>
          <w:p>
            <w:r/>
            <w:r>
              <w:rPr>
                <w:rFonts w:ascii="Calibri" w:hAnsi="Calibri"/>
                <w:b/>
                <w:color w:val="1A1A1A"/>
                <w:sz w:val="18"/>
              </w:rPr>
              <w:t>Report nicht liefern</w:t>
            </w:r>
          </w:p>
        </w:tc>
        <w:tc>
          <w:tcPr>
            <w:tcW w:type="dxa" w:w="5270"/>
          </w:tcPr>
          <w:p>
            <w:r/>
            <w:r>
              <w:rPr>
                <w:rFonts w:ascii="Calibri" w:hAnsi="Calibri"/>
                <w:color w:val="1A1A1A"/>
                <w:sz w:val="18"/>
              </w:rPr>
              <w:t>Wenn nach 2 Wochen kein Report kommt: Frame für immer verbrannt. Jeder Interview-Lead bekommt den Report — kompromisslos.</w:t>
            </w:r>
          </w:p>
        </w:tc>
      </w:tr>
      <w:tr>
        <w:tc>
          <w:tcPr>
            <w:tcW w:type="dxa" w:w="5270"/>
          </w:tcPr>
          <w:p>
            <w:r/>
            <w:r>
              <w:rPr>
                <w:rFonts w:ascii="Calibri" w:hAnsi="Calibri"/>
                <w:b/>
                <w:color w:val="1A1A1A"/>
                <w:sz w:val="18"/>
              </w:rPr>
              <w:t>Solo-Founder-Status im Interview ausspielen</w:t>
            </w:r>
          </w:p>
        </w:tc>
        <w:tc>
          <w:tcPr>
            <w:tcW w:type="dxa" w:w="5270"/>
          </w:tcPr>
          <w:p>
            <w:r/>
            <w:r>
              <w:rPr>
                <w:rFonts w:ascii="Calibri" w:hAnsi="Calibri"/>
                <w:color w:val="1A1A1A"/>
                <w:sz w:val="18"/>
              </w:rPr>
              <w:t>„Ich bin Diplom-Kaufmann, ich habe 15 Jahre KI …“ — nicht hier. Im Interview bist du Forscher, nicht Anbieter. Selbstauskunft erst auf Nachfrage.</w:t>
            </w:r>
          </w:p>
        </w:tc>
      </w:tr>
    </w:tbl>
    <w:p>
      <w:pPr>
        <w:spacing w:before="120" w:after="120"/>
      </w:pPr>
      <w:r>
        <w:rPr>
          <w:color w:val="6B6B6B"/>
          <w:sz w:val="16"/>
        </w:rPr>
        <w:t>————————————————————————————————————————</w:t>
      </w:r>
    </w:p>
    <w:p>
      <w:pPr>
        <w:spacing w:before="200" w:after="80"/>
      </w:pPr>
      <w:r>
        <w:rPr>
          <w:rFonts w:ascii="Calibri" w:hAnsi="Calibri"/>
          <w:b/>
          <w:color w:val="52267A"/>
          <w:sz w:val="26"/>
        </w:rPr>
        <w:t>Einwand-Matrix (im Interview)</w:t>
      </w:r>
    </w:p>
    <w:tbl>
      <w:tblPr>
        <w:tblStyle w:val="LightGrid-Accent1"/>
        <w:tblW w:type="auto" w:w="0"/>
        <w:tblLook w:firstColumn="1" w:firstRow="1" w:lastColumn="0" w:lastRow="0" w:noHBand="0" w:noVBand="1" w:val="04A0"/>
      </w:tblPr>
      <w:tblGrid>
        <w:gridCol w:w="5270"/>
        <w:gridCol w:w="5270"/>
      </w:tblGrid>
      <w:tr>
        <w:tc>
          <w:tcPr>
            <w:tcW w:type="dxa" w:w="5270"/>
          </w:tcPr>
          <w:p>
            <w:r/>
            <w:r>
              <w:rPr>
                <w:rFonts w:ascii="Calibri" w:hAnsi="Calibri"/>
                <w:b/>
                <w:color w:val="1A1A1A"/>
                <w:sz w:val="18"/>
              </w:rPr>
              <w:t>„Wer steht hinter der Studie?“</w:t>
            </w:r>
          </w:p>
        </w:tc>
        <w:tc>
          <w:tcPr>
            <w:tcW w:type="dxa" w:w="5270"/>
          </w:tcPr>
          <w:p>
            <w:r/>
            <w:r>
              <w:rPr>
                <w:rFonts w:ascii="Calibri" w:hAnsi="Calibri"/>
                <w:color w:val="1A1A1A"/>
                <w:sz w:val="18"/>
              </w:rPr>
              <w:t>„Ich. Andreas Schwarzkopf, Geschäftsführer der Flowbeaver GmbH. Ich verdichte die führenden Studien — STAX 2024 vom Berufsstand, BStBK/Allensbach — und ergänze sie um Praxis-Stimmen von Inhabern. Der Report ist eigenständig, Flowbeaver ist die Klammer.“</w:t>
            </w:r>
          </w:p>
        </w:tc>
      </w:tr>
      <w:tr>
        <w:tc>
          <w:tcPr>
            <w:tcW w:type="dxa" w:w="5270"/>
          </w:tcPr>
          <w:p>
            <w:r/>
            <w:r>
              <w:rPr>
                <w:rFonts w:ascii="Calibri" w:hAnsi="Calibri"/>
                <w:b/>
                <w:color w:val="1A1A1A"/>
                <w:sz w:val="18"/>
              </w:rPr>
              <w:t>„Sind Sie ein Anbieter?“</w:t>
            </w:r>
          </w:p>
        </w:tc>
        <w:tc>
          <w:tcPr>
            <w:tcW w:type="dxa" w:w="5270"/>
          </w:tcPr>
          <w:p>
            <w:r/>
            <w:r>
              <w:rPr>
                <w:rFonts w:ascii="Calibri" w:hAnsi="Calibri"/>
                <w:color w:val="1A1A1A"/>
                <w:sz w:val="18"/>
              </w:rPr>
              <w:t>„Ja, transparent: Flowbeaver baut ein KI-Vorsystem für die vorbereitende Buchhaltung. Im Erstgespräch geht es darum nicht — der Report ist eigenständig und wird so auch versandt. Wenn aus dem Gespräch ein Thema entsteht, das für Sie relevant ist, melde ich mich gerne ein zweites Mal. Nicht heute.“</w:t>
            </w:r>
          </w:p>
        </w:tc>
      </w:tr>
      <w:tr>
        <w:tc>
          <w:tcPr>
            <w:tcW w:type="dxa" w:w="5270"/>
          </w:tcPr>
          <w:p>
            <w:r/>
            <w:r>
              <w:rPr>
                <w:rFonts w:ascii="Calibri" w:hAnsi="Calibri"/>
                <w:b/>
                <w:color w:val="1A1A1A"/>
                <w:sz w:val="18"/>
              </w:rPr>
              <w:t>„Was kostet mich die Studie?“</w:t>
            </w:r>
          </w:p>
        </w:tc>
        <w:tc>
          <w:tcPr>
            <w:tcW w:type="dxa" w:w="5270"/>
          </w:tcPr>
          <w:p>
            <w:r/>
            <w:r>
              <w:rPr>
                <w:rFonts w:ascii="Calibri" w:hAnsi="Calibri"/>
                <w:color w:val="1A1A1A"/>
                <w:sz w:val="18"/>
              </w:rPr>
              <w:t>„Nichts. Sie geben mir 10-15 Minuten Praxis-Sicht — Sie bekommen den fertigen Report. Das ist der Tausch.“</w:t>
            </w:r>
          </w:p>
        </w:tc>
      </w:tr>
      <w:tr>
        <w:tc>
          <w:tcPr>
            <w:tcW w:type="dxa" w:w="5270"/>
          </w:tcPr>
          <w:p>
            <w:r/>
            <w:r>
              <w:rPr>
                <w:rFonts w:ascii="Calibri" w:hAnsi="Calibri"/>
                <w:b/>
                <w:color w:val="1A1A1A"/>
                <w:sz w:val="18"/>
              </w:rPr>
              <w:t>„Wann bekomme ich den Report?“</w:t>
            </w:r>
          </w:p>
        </w:tc>
        <w:tc>
          <w:tcPr>
            <w:tcW w:type="dxa" w:w="5270"/>
          </w:tcPr>
          <w:p>
            <w:r/>
            <w:r>
              <w:rPr>
                <w:rFonts w:ascii="Calibri" w:hAnsi="Calibri"/>
                <w:color w:val="1A1A1A"/>
                <w:sz w:val="18"/>
              </w:rPr>
              <w:t>„In 1-2 Wochen, sobald alle Interviews durch sind. Per E-Mail von mir persönlich — keine Newsletter-Liste, kein Anhang an einer Marketing-Kette.“</w:t>
            </w:r>
          </w:p>
        </w:tc>
      </w:tr>
      <w:tr>
        <w:tc>
          <w:tcPr>
            <w:tcW w:type="dxa" w:w="5270"/>
          </w:tcPr>
          <w:p>
            <w:r/>
            <w:r>
              <w:rPr>
                <w:rFonts w:ascii="Calibri" w:hAnsi="Calibri"/>
                <w:b/>
                <w:color w:val="1A1A1A"/>
                <w:sz w:val="18"/>
              </w:rPr>
              <w:t>„Schicken Sie mir die Fragen vorab.“</w:t>
            </w:r>
          </w:p>
        </w:tc>
        <w:tc>
          <w:tcPr>
            <w:tcW w:type="dxa" w:w="5270"/>
          </w:tcPr>
          <w:p>
            <w:r/>
            <w:r>
              <w:rPr>
                <w:rFonts w:ascii="Calibri" w:hAnsi="Calibri"/>
                <w:color w:val="1A1A1A"/>
                <w:sz w:val="18"/>
              </w:rPr>
              <w:t>„Mache ich gerne — aber die besten Antworten kommen erfahrungsgemäß im freien Gespräch. Wenn Sie 10 Minuten frei haben, würde ich es einfach starten und Sie steigen aus, sobald es Ihnen nichts mehr gibt.“</w:t>
            </w:r>
          </w:p>
        </w:tc>
      </w:tr>
      <w:tr>
        <w:tc>
          <w:tcPr>
            <w:tcW w:type="dxa" w:w="5270"/>
          </w:tcPr>
          <w:p>
            <w:r/>
            <w:r>
              <w:rPr>
                <w:rFonts w:ascii="Calibri" w:hAnsi="Calibri"/>
                <w:b/>
                <w:color w:val="1A1A1A"/>
                <w:sz w:val="18"/>
              </w:rPr>
              <w:t>„Ich habe keine Zeit.“</w:t>
            </w:r>
          </w:p>
        </w:tc>
        <w:tc>
          <w:tcPr>
            <w:tcW w:type="dxa" w:w="5270"/>
          </w:tcPr>
          <w:p>
            <w:r/>
            <w:r>
              <w:rPr>
                <w:rFonts w:ascii="Calibri" w:hAnsi="Calibri"/>
                <w:color w:val="1A1A1A"/>
                <w:sz w:val="18"/>
              </w:rPr>
              <w:t>„Verstehe. Darf ich Ihnen den Report trotzdem schicken? Dann haben Sie die Markt-Sicht in 1-2 Wochen, ohne Aufwand jetzt.“</w:t>
            </w:r>
          </w:p>
        </w:tc>
      </w:tr>
      <w:tr>
        <w:tc>
          <w:tcPr>
            <w:tcW w:type="dxa" w:w="5270"/>
          </w:tcPr>
          <w:p>
            <w:r/>
            <w:r>
              <w:rPr>
                <w:rFonts w:ascii="Calibri" w:hAnsi="Calibri"/>
                <w:b/>
                <w:color w:val="1A1A1A"/>
                <w:sz w:val="18"/>
              </w:rPr>
              <w:t>„Wer hat Ihnen meine Nummer gegeben?“</w:t>
            </w:r>
          </w:p>
        </w:tc>
        <w:tc>
          <w:tcPr>
            <w:tcW w:type="dxa" w:w="5270"/>
          </w:tcPr>
          <w:p>
            <w:r/>
            <w:r>
              <w:rPr>
                <w:rFonts w:ascii="Calibri" w:hAnsi="Calibri"/>
                <w:color w:val="1A1A1A"/>
                <w:sz w:val="18"/>
              </w:rPr>
              <w:t>„Steht öffentlich auf Ihrer Kanzlei-Website. Ich habe gezielt nach Kanzleien recherchiert, die für die Praxis-Sicht im Report wichtig sind — wachsende Kanzleien ab vier Mitarbeitern.“</w:t>
            </w:r>
          </w:p>
        </w:tc>
      </w:tr>
      <w:tr>
        <w:tc>
          <w:tcPr>
            <w:tcW w:type="dxa" w:w="5270"/>
          </w:tcPr>
          <w:p>
            <w:r/>
            <w:r>
              <w:rPr>
                <w:rFonts w:ascii="Calibri" w:hAnsi="Calibri"/>
                <w:b/>
                <w:color w:val="1A1A1A"/>
                <w:sz w:val="18"/>
              </w:rPr>
              <w:t>„Wir nutzen schon DATEV / Finmatics / etc.“</w:t>
            </w:r>
          </w:p>
        </w:tc>
        <w:tc>
          <w:tcPr>
            <w:tcW w:type="dxa" w:w="5270"/>
          </w:tcPr>
          <w:p>
            <w:r/>
            <w:r>
              <w:rPr>
                <w:rFonts w:ascii="Calibri" w:hAnsi="Calibri"/>
                <w:color w:val="1A1A1A"/>
                <w:sz w:val="18"/>
              </w:rPr>
              <w:t>„Sehr gut — genau die Sicht brauche ich. Wo funktioniert das gut, wo stoßen Sie an Grenzen? Das gehört in den Report.“</w:t>
            </w:r>
          </w:p>
        </w:tc>
      </w:tr>
    </w:tbl>
    <w:p>
      <w:pPr>
        <w:spacing w:before="120" w:after="120"/>
      </w:pPr>
      <w:r>
        <w:rPr>
          <w:color w:val="6B6B6B"/>
          <w:sz w:val="16"/>
        </w:rPr>
        <w:t>————————————————————————————————————————</w:t>
      </w:r>
    </w:p>
    <w:p>
      <w:pPr>
        <w:spacing w:before="200" w:after="80"/>
      </w:pPr>
      <w:r>
        <w:rPr>
          <w:rFonts w:ascii="Calibri" w:hAnsi="Calibri"/>
          <w:b/>
          <w:color w:val="52267A"/>
          <w:sz w:val="26"/>
        </w:rPr>
        <w:t>Nach jedem Anruf — 60-Sek-Notiz</w:t>
      </w:r>
    </w:p>
    <w:p>
      <w:pPr>
        <w:pStyle w:val="ListBullet"/>
      </w:pPr>
      <w:r>
        <w:rPr>
          <w:rFonts w:ascii="Calibri" w:hAnsi="Calibri"/>
          <w:color w:val="1A1A1A"/>
          <w:sz w:val="20"/>
        </w:rPr>
        <w:t>Lager-Antwort: aktiv suchend / strategisch abwartend / „weder noch“</w:t>
      </w:r>
    </w:p>
    <w:p>
      <w:pPr>
        <w:pStyle w:val="ListBullet"/>
      </w:pPr>
      <w:r>
        <w:rPr>
          <w:rFonts w:ascii="Calibri" w:hAnsi="Calibri"/>
          <w:color w:val="1A1A1A"/>
          <w:sz w:val="20"/>
        </w:rPr>
        <w:t>Schmerz-Original-Zitat (welche Engpass-Antwort kam wörtlich?)</w:t>
      </w:r>
    </w:p>
    <w:p>
      <w:pPr>
        <w:pStyle w:val="ListBullet"/>
      </w:pPr>
      <w:r>
        <w:rPr>
          <w:rFonts w:ascii="Calibri" w:hAnsi="Calibri"/>
          <w:color w:val="1A1A1A"/>
          <w:sz w:val="20"/>
        </w:rPr>
        <w:t>Welcher Schmerz wäre Flowbeaver-Treffer? (Rückfragen / Sprachen / Klärfälle)</w:t>
      </w:r>
    </w:p>
    <w:p>
      <w:pPr>
        <w:pStyle w:val="ListBullet"/>
      </w:pPr>
      <w:r>
        <w:rPr>
          <w:rFonts w:ascii="Calibri" w:hAnsi="Calibri"/>
          <w:color w:val="1A1A1A"/>
          <w:sz w:val="20"/>
        </w:rPr>
        <w:t>Folgetermin angeboten / vereinbart / abgelehnt?</w:t>
      </w:r>
    </w:p>
    <w:p>
      <w:pPr>
        <w:pStyle w:val="ListBullet"/>
      </w:pPr>
      <w:r>
        <w:rPr>
          <w:rFonts w:ascii="Calibri" w:hAnsi="Calibri"/>
          <w:color w:val="1A1A1A"/>
          <w:sz w:val="20"/>
        </w:rPr>
        <w:t>E-Mail-Adresse für Report — IMMER abfragen, auch bei Absage</w:t>
      </w:r>
    </w:p>
    <w:p>
      <w:pPr>
        <w:pStyle w:val="ListBullet"/>
      </w:pPr>
      <w:r>
        <w:rPr>
          <w:rFonts w:ascii="Calibri" w:hAnsi="Calibri"/>
          <w:color w:val="1A1A1A"/>
          <w:sz w:val="20"/>
        </w:rPr>
        <w:t>Nach 10 Interviews: welches Lager überwiegt? → schärft die Lead-Liste</w:t>
      </w:r>
    </w:p>
    <w:p>
      <w:pPr>
        <w:spacing w:before="120" w:after="120"/>
      </w:pPr>
      <w:r>
        <w:rPr>
          <w:color w:val="6B6B6B"/>
          <w:sz w:val="16"/>
        </w:rPr>
        <w:t>————————————————————————————————————————</w:t>
      </w:r>
    </w:p>
    <w:p>
      <w:pPr>
        <w:spacing w:before="200" w:after="80"/>
      </w:pPr>
      <w:r>
        <w:rPr>
          <w:rFonts w:ascii="Calibri" w:hAnsi="Calibri"/>
          <w:b/>
          <w:color w:val="52267A"/>
          <w:sz w:val="26"/>
        </w:rPr>
        <w:t>Realismus (siehe Outbound-Playbook Section 18)</w:t>
      </w:r>
    </w:p>
    <w:p>
      <w:pPr>
        <w:spacing w:after="60"/>
      </w:pPr>
      <w:r>
        <w:rPr>
          <w:rFonts w:ascii="Calibri" w:hAnsi="Calibri"/>
          <w:b w:val="0"/>
          <w:i w:val="0"/>
          <w:color w:val="1A1A1A"/>
          <w:sz w:val="18"/>
        </w:rPr>
        <w:t>Erstgespräch-Conversion im Studien-Frame liegt erfahrungsgemäß höher als im Verkäufer-Frame, weil keine Schwäche-Beichte erforderlich ist. Erwartung pro 30 Anrufe: 10-14 Inhaber direkt, davon 5-7 Interviews durchgeführt, davon 2-4 Folgetermine. Tag 1: 1 Interview ist ein guter Tag, 2 ist sehr gut.</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