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52267A"/>
          <w:sz w:val="18"/>
        </w:rPr>
        <w:t>FLOWBEAVER</w:t>
      </w:r>
    </w:p>
    <w:p>
      <w:pPr>
        <w:spacing w:before="200" w:after="80"/>
      </w:pPr>
      <w:r>
        <w:rPr>
          <w:rFonts w:ascii="Calibri" w:hAnsi="Calibri"/>
          <w:b/>
          <w:color w:val="52267A"/>
          <w:sz w:val="36"/>
        </w:rPr>
        <w:t>Anrufskript: Vorzimmer (Studie)</w:t>
      </w:r>
    </w:p>
    <w:p>
      <w:pPr>
        <w:spacing w:after="60"/>
      </w:pPr>
      <w:r>
        <w:rPr>
          <w:rFonts w:ascii="Calibri" w:hAnsi="Calibri"/>
          <w:b w:val="0"/>
          <w:i w:val="0"/>
          <w:color w:val="6B6B6B"/>
          <w:sz w:val="18"/>
        </w:rPr>
        <w:t>Discovery-Anrufe KW19 — Marktforscher-Frame von Anfang an. Branchenreport ist der Anker, nicht ein Tausch-Hebel auf Rückfrage.</w:t>
      </w:r>
    </w:p>
    <w:p>
      <w:pPr>
        <w:spacing w:before="120" w:after="120"/>
      </w:pPr>
      <w:r>
        <w:rPr>
          <w:color w:val="6B6B6B"/>
          <w:sz w:val="16"/>
        </w:rPr>
        <w:t>————————————————————————————————————————</w:t>
      </w:r>
    </w:p>
    <w:p>
      <w:pPr>
        <w:spacing w:before="200" w:after="80"/>
      </w:pPr>
      <w:r>
        <w:rPr>
          <w:rFonts w:ascii="Calibri" w:hAnsi="Calibri"/>
          <w:b/>
          <w:color w:val="52267A"/>
          <w:sz w:val="26"/>
        </w:rPr>
        <w:t>Sprachregel (verbindlich)</w:t>
      </w:r>
    </w:p>
    <w:p>
      <w:pPr>
        <w:spacing w:after="60"/>
      </w:pPr>
      <w:r>
        <w:rPr>
          <w:rFonts w:ascii="Calibri" w:hAnsi="Calibri"/>
          <w:b w:val="0"/>
          <w:i w:val="0"/>
          <w:color w:val="1A1A1A"/>
          <w:sz w:val="20"/>
        </w:rPr>
        <w:t>Am Vorzimmer fällt nie das Wort „KI-Vorsystem“, „Software“, „Tool“, „Lösung“ oder „Beta“. Sprache: Geschäftsführer + Branchenreport + Steuerkanzlei-Lage + wachsende Kanzlei. Keine Selbstauskunft (keine Berliner Adresse, kein Diplom-Kaufmann, kein „Unternehmer“), nur die B2B-Standard-Identität.</w:t>
      </w:r>
    </w:p>
    <w:p>
      <w:pPr>
        <w:spacing w:before="120" w:after="120"/>
      </w:pPr>
      <w:r>
        <w:rPr>
          <w:color w:val="6B6B6B"/>
          <w:sz w:val="16"/>
        </w:rPr>
        <w:t>————————————————————————————————————————</w:t>
      </w:r>
    </w:p>
    <w:p>
      <w:pPr>
        <w:spacing w:before="200" w:after="80"/>
      </w:pPr>
      <w:r>
        <w:rPr>
          <w:rFonts w:ascii="Calibri" w:hAnsi="Calibri"/>
          <w:b/>
          <w:color w:val="52267A"/>
          <w:sz w:val="26"/>
        </w:rPr>
        <w:t>1. Eröffnung — wenn das Vorzimmer abnimmt</w:t>
      </w:r>
    </w:p>
    <w:p>
      <w:pPr>
        <w:spacing w:after="120"/>
        <w:ind w:left="340"/>
      </w:pPr>
      <w:r>
        <w:rPr>
          <w:rFonts w:ascii="Calibri" w:hAnsi="Calibri"/>
          <w:i/>
          <w:color w:val="1A1A1A"/>
          <w:sz w:val="20"/>
        </w:rPr>
        <w:t>„Guten Tag, Andreas Schwarzkopf, Geschäftsführer der Flowbeaver GmbH. Ich würde Frau/Herrn [Name] gerne erreichen.“</w:t>
      </w:r>
    </w:p>
    <w:p>
      <w:pPr>
        <w:spacing w:after="60"/>
      </w:pPr>
      <w:r>
        <w:rPr>
          <w:rFonts w:ascii="Calibri" w:hAnsi="Calibri"/>
          <w:b w:val="0"/>
          <w:i/>
          <w:color w:val="6B6B6B"/>
          <w:sz w:val="18"/>
        </w:rPr>
        <w:t>Souverän, knapp, B2B-Standard. Der Geschäftsführer-Titel ist die einzige Authority, die das Vorzimmer in Sekunden klassifiziert: kein Vertrieb, kein Cold-Caller, sondern Peer-Anfrage. Studien-/Report-Kontext kommt erst auf Rückfrage — sonst klingt es nach Content-Marketing-Tarnung.</w:t>
      </w:r>
    </w:p>
    <w:p>
      <w:pPr>
        <w:spacing w:after="60"/>
      </w:pPr>
      <w:r>
        <w:rPr>
          <w:rFonts w:ascii="Calibri" w:hAnsi="Calibri"/>
          <w:b w:val="0"/>
          <w:i w:val="0"/>
          <w:color w:val="1A1A1A"/>
          <w:sz w:val="18"/>
        </w:rPr>
        <w:t>→  Drei Reaktionen vom Vorzimmer: direkt durchstellen (2) — Filterfrage „Worum geht es?“ vor Boss-Check (3) — Boss-Check mit Rückfrage zurück (4).</w:t>
      </w:r>
    </w:p>
    <w:p>
      <w:pPr>
        <w:spacing w:before="120" w:after="120"/>
      </w:pPr>
      <w:r>
        <w:rPr>
          <w:color w:val="6B6B6B"/>
          <w:sz w:val="16"/>
        </w:rPr>
        <w:t>————————————————————————————————————————</w:t>
      </w:r>
    </w:p>
    <w:p>
      <w:pPr>
        <w:spacing w:before="200" w:after="80"/>
      </w:pPr>
      <w:r>
        <w:rPr>
          <w:rFonts w:ascii="Calibri" w:hAnsi="Calibri"/>
          <w:b/>
          <w:color w:val="52267A"/>
          <w:sz w:val="26"/>
        </w:rPr>
        <w:t>2. Vorzimmer stellt direkt durch</w:t>
      </w:r>
    </w:p>
    <w:p>
      <w:pPr>
        <w:spacing w:after="60"/>
      </w:pPr>
      <w:r>
        <w:rPr>
          <w:rFonts w:ascii="Calibri" w:hAnsi="Calibri"/>
          <w:b w:val="0"/>
          <w:i w:val="0"/>
          <w:color w:val="1A1A1A"/>
          <w:sz w:val="20"/>
        </w:rPr>
        <w:t>Du bist im Inhaber-Gespräch. Hier verlässt du das Vorzimmer-Skript und gehst in den Marktforscher-Frame des Sales-Cheatsheets (Studie). Erstgespräch = Interview, im Gegenzug Report. Drei-Türen-Pitch kommt im Folgetermin, nicht jetzt.</w:t>
      </w:r>
    </w:p>
    <w:p>
      <w:pPr>
        <w:spacing w:before="120" w:after="120"/>
      </w:pPr>
      <w:r>
        <w:rPr>
          <w:color w:val="6B6B6B"/>
          <w:sz w:val="16"/>
        </w:rPr>
        <w:t>————————————————————————————————————————</w:t>
      </w:r>
    </w:p>
    <w:p>
      <w:pPr>
        <w:spacing w:before="200" w:after="80"/>
      </w:pPr>
      <w:r>
        <w:rPr>
          <w:rFonts w:ascii="Calibri" w:hAnsi="Calibri"/>
          <w:b/>
          <w:color w:val="52267A"/>
          <w:sz w:val="26"/>
        </w:rPr>
        <w:t>3. Vorzimmer-Filter vor Boss-Check — „Worum geht es?“</w:t>
      </w:r>
    </w:p>
    <w:p>
      <w:pPr>
        <w:spacing w:after="60"/>
      </w:pPr>
      <w:r>
        <w:rPr>
          <w:rFonts w:ascii="Calibri" w:hAnsi="Calibri"/>
          <w:b w:val="0"/>
          <w:i w:val="0"/>
          <w:color w:val="6B6B6B"/>
          <w:sz w:val="18"/>
        </w:rPr>
        <w:t>Die Empfangsdame filtert für den Chef, hat ihn aber noch nicht gefragt. Erste Antwort kompakt, der Studien-Frame trägt jetzt direkt.</w:t>
      </w:r>
    </w:p>
    <w:p>
      <w:pPr>
        <w:spacing w:after="120"/>
        <w:ind w:left="340"/>
      </w:pPr>
      <w:r>
        <w:rPr>
          <w:rFonts w:ascii="Calibri" w:hAnsi="Calibri"/>
          <w:i/>
          <w:color w:val="1A1A1A"/>
          <w:sz w:val="20"/>
        </w:rPr>
        <w:t>„Geschäftliche Anfrage. Ich verdichte gerade einen Branchenreport zur Lage in Steuerkanzleien — Personalmarkt, Wachstumshürden, KI-Adoption — und validiere die Kernthesen mit Inhabern wachsender Kanzleien. Frau/Herr [Name] bekommt den Report ohnehin, kostbarer wäre mir ein kurzer Austausch dazu. 10-15 Minuten.“</w:t>
      </w:r>
    </w:p>
    <w:p>
      <w:pPr>
        <w:spacing w:after="60"/>
      </w:pPr>
      <w:r>
        <w:rPr>
          <w:rFonts w:ascii="Calibri" w:hAnsi="Calibri"/>
          <w:b w:val="0"/>
          <w:i/>
          <w:color w:val="1A1A1A"/>
          <w:sz w:val="18"/>
        </w:rPr>
        <w:t>Wenn weiter nachgehakt wird: „Was bringen Sie denn konkret mit?“</w:t>
      </w:r>
    </w:p>
    <w:p>
      <w:pPr>
        <w:spacing w:after="120"/>
        <w:ind w:left="340"/>
      </w:pPr>
      <w:r>
        <w:rPr>
          <w:rFonts w:ascii="Calibri" w:hAnsi="Calibri"/>
          <w:i/>
          <w:color w:val="1A1A1A"/>
          <w:sz w:val="20"/>
        </w:rPr>
        <w:t>„Einen Branchenreport, der aus den führenden Studien zur Lage in Steuerkanzleien verdichtet ist — STAX 2024 vom Berufsstand und ein paar Quellen mehr. Was mir fehlt, ist die Praxis-Sicht: wie sich der Personalmarkt und der Wachstumsdruck im Alltag einer wachsenden Kanzlei wie Ihrer wirklich anfühlt. Den Report bekommen Frau/Herr [Name] ohnehin — der eigentliche Wert für mich ist der Austausch.“</w:t>
      </w:r>
    </w:p>
    <w:p>
      <w:pPr>
        <w:spacing w:after="60"/>
      </w:pPr>
      <w:r>
        <w:rPr>
          <w:rFonts w:ascii="Calibri" w:hAnsi="Calibri"/>
          <w:b w:val="0"/>
          <w:i w:val="0"/>
          <w:color w:val="1A1A1A"/>
          <w:sz w:val="18"/>
        </w:rPr>
        <w:t>→  Geht das durch: Vorzimmer holt den Chef oder bittet zurückzurufen. Wenn Chef Rückfrage stellt: weiter mit Punkt 4.</w:t>
      </w:r>
    </w:p>
    <w:p>
      <w:pPr>
        <w:spacing w:before="120" w:after="120"/>
      </w:pPr>
      <w:r>
        <w:rPr>
          <w:color w:val="6B6B6B"/>
          <w:sz w:val="16"/>
        </w:rPr>
        <w:t>————————————————————————————————————————</w:t>
      </w:r>
    </w:p>
    <w:p>
      <w:pPr>
        <w:spacing w:before="200" w:after="80"/>
      </w:pPr>
      <w:r>
        <w:rPr>
          <w:rFonts w:ascii="Calibri" w:hAnsi="Calibri"/>
          <w:b/>
          <w:color w:val="52267A"/>
          <w:sz w:val="26"/>
        </w:rPr>
        <w:t>4. Rückfrage NACH Boss-Check — „Worum geht es genau?“</w:t>
      </w:r>
    </w:p>
    <w:p>
      <w:pPr>
        <w:spacing w:after="60"/>
      </w:pPr>
      <w:r>
        <w:rPr>
          <w:rFonts w:ascii="Calibri" w:hAnsi="Calibri"/>
          <w:b w:val="0"/>
          <w:i w:val="0"/>
          <w:color w:val="6B6B6B"/>
          <w:sz w:val="18"/>
        </w:rPr>
        <w:t>Der Chef hat über die Empfangsdame zurückgefragt. Hier muss neue Information her — keine Wiederholung der Eröffnung. Studien-Frame schärfen, Praxis-Sicht-Tausch klar benennen, kein Produkt-Sprech.</w:t>
      </w:r>
    </w:p>
    <w:p>
      <w:pPr>
        <w:spacing w:after="120"/>
        <w:ind w:left="340"/>
      </w:pPr>
      <w:r>
        <w:rPr>
          <w:rFonts w:ascii="Calibri" w:hAnsi="Calibri"/>
          <w:i/>
          <w:color w:val="1A1A1A"/>
          <w:sz w:val="20"/>
        </w:rPr>
        <w:t>„Im Kern: Der Berufsstand steht 2026 vor einem strukturellen Wandel — Stellenmarkt, KI-Adoption, Mandantenseite verändern sich gleichzeitig. Ich habe das zu einem Branchenreport verdichtet und gleiche die Kernthesen jetzt mit Inhabern wachsender Kanzleien ab. Frau/Herr [Name] bekommt den fertigen Report. Was ich brauche, sind 10-15 Minuten Praxis-Sicht dazu. Wenn das gerade kein Thema ist, war’s das von meiner Seite — den Report kann ich trotzdem schicken.“</w:t>
      </w:r>
    </w:p>
    <w:p>
      <w:pPr>
        <w:spacing w:after="60"/>
      </w:pPr>
      <w:r>
        <w:rPr>
          <w:rFonts w:ascii="Calibri" w:hAnsi="Calibri"/>
          <w:b w:val="0"/>
          <w:i w:val="0"/>
          <w:color w:val="1A1A1A"/>
          <w:sz w:val="18"/>
        </w:rPr>
        <w:t>→  Geht das durch: Termin oder E-Mail-Adresse für den Report. Wenn weiterhin „kommt nicht in Frage“: Punkt 5.</w:t>
      </w:r>
    </w:p>
    <w:p>
      <w:pPr>
        <w:spacing w:before="120" w:after="120"/>
      </w:pPr>
      <w:r>
        <w:rPr>
          <w:color w:val="6B6B6B"/>
          <w:sz w:val="16"/>
        </w:rPr>
        <w:t>————————————————————————————————————————</w:t>
      </w:r>
    </w:p>
    <w:p>
      <w:pPr>
        <w:spacing w:before="200" w:after="80"/>
      </w:pPr>
      <w:r>
        <w:rPr>
          <w:rFonts w:ascii="Calibri" w:hAnsi="Calibri"/>
          <w:b/>
          <w:color w:val="52267A"/>
          <w:sz w:val="26"/>
        </w:rPr>
        <w:t>5. „Kommt nicht in Frage“ — Soft-Landing mit Report</w:t>
      </w:r>
    </w:p>
    <w:p>
      <w:pPr>
        <w:spacing w:after="60"/>
      </w:pPr>
      <w:r>
        <w:rPr>
          <w:rFonts w:ascii="Calibri" w:hAnsi="Calibri"/>
          <w:b w:val="0"/>
          <w:i w:val="0"/>
          <w:color w:val="6B6B6B"/>
          <w:sz w:val="18"/>
        </w:rPr>
        <w:t>Endgültige Absage durch den Chef. Nicht kämpfen — graceful Exit mit konkretem Anker. Aus jeder Absage wird ein E-Mail-Lead, der den Report bekommt. Report-Lead ist im Studien-Frame ein vollwertiges Ergebnis, nicht „nur“ ein Trostpreis.</w:t>
      </w:r>
    </w:p>
    <w:p>
      <w:pPr>
        <w:spacing w:after="120"/>
        <w:ind w:left="340"/>
      </w:pPr>
      <w:r>
        <w:rPr>
          <w:rFonts w:ascii="Calibri" w:hAnsi="Calibri"/>
          <w:i/>
          <w:color w:val="1A1A1A"/>
          <w:sz w:val="20"/>
        </w:rPr>
        <w:t>„Verstehe — danke, dass Sie überhaupt nachgefragt haben. Eine letzte Sache: Ich schicke Frau/Herrn [Name] den Branchenreport gerne zu, sobald er fertig ist — Personalmarkt, Wachstumshürden, KI-Adoption, verdichtet auf eine Kanzlei wie Ihre. Null Verpflichtung, einfach als Information. Wenn Sie mir die E-Mail-Adresse geben, landet er in 1-2 Wochen im Postfach. Sonst alles gut — schönen Tag.“</w:t>
      </w:r>
    </w:p>
    <w:p>
      <w:pPr>
        <w:spacing w:after="60"/>
      </w:pPr>
      <w:r>
        <w:rPr>
          <w:rFonts w:ascii="Calibri" w:hAnsi="Calibri"/>
          <w:b w:val="0"/>
          <w:i w:val="0"/>
          <w:color w:val="1A1A1A"/>
          <w:sz w:val="18"/>
        </w:rPr>
        <w:t>→  E-Mail-Adresse erhalten: Notieren, Report nach Anruf schicken. Aus jeder Absage wird so ein Report-Lead.</w:t>
      </w:r>
    </w:p>
    <w:p>
      <w:pPr>
        <w:spacing w:after="60"/>
      </w:pPr>
      <w:r>
        <w:rPr>
          <w:rFonts w:ascii="Calibri" w:hAnsi="Calibri"/>
          <w:b w:val="0"/>
          <w:i/>
          <w:color w:val="1A1A1A"/>
          <w:sz w:val="18"/>
        </w:rPr>
        <w:t>Falls die Empfangsdame auch das ablehnt:</w:t>
      </w:r>
    </w:p>
    <w:p>
      <w:pPr>
        <w:spacing w:after="120"/>
        <w:ind w:left="340"/>
      </w:pPr>
      <w:r>
        <w:rPr>
          <w:rFonts w:ascii="Calibri" w:hAnsi="Calibri"/>
          <w:i/>
          <w:color w:val="1A1A1A"/>
          <w:sz w:val="20"/>
        </w:rPr>
        <w:t>„Verstehe — vielen Dank für Ihre Zeit. Andreas Schwarzkopf, Flowbeaver. Ihnen einen schönen Tag.“</w:t>
      </w:r>
    </w:p>
    <w:p>
      <w:pPr>
        <w:spacing w:after="60"/>
      </w:pPr>
      <w:r>
        <w:rPr>
          <w:rFonts w:ascii="Calibri" w:hAnsi="Calibri"/>
          <w:b w:val="0"/>
          <w:i w:val="0"/>
          <w:color w:val="1A1A1A"/>
          <w:sz w:val="18"/>
        </w:rPr>
        <w:t>→  Ende. Nicht nachfassen. In 3-6 Monaten ggf. wieder auf die Liste.</w:t>
      </w:r>
    </w:p>
    <w:p>
      <w:pPr>
        <w:spacing w:before="120" w:after="120"/>
      </w:pPr>
      <w:r>
        <w:rPr>
          <w:color w:val="6B6B6B"/>
          <w:sz w:val="16"/>
        </w:rPr>
        <w:t>————————————————————————————————————————</w:t>
      </w:r>
    </w:p>
    <w:p>
      <w:pPr>
        <w:spacing w:before="200" w:after="80"/>
      </w:pPr>
      <w:r>
        <w:rPr>
          <w:rFonts w:ascii="Calibri" w:hAnsi="Calibri"/>
          <w:b/>
          <w:color w:val="52267A"/>
          <w:sz w:val="26"/>
        </w:rPr>
        <w:t>6. Was du am Vorzimmer nie sagst</w:t>
      </w:r>
    </w:p>
    <w:p>
      <w:pPr>
        <w:pStyle w:val="ListBullet"/>
      </w:pPr>
      <w:r>
        <w:rPr>
          <w:rFonts w:ascii="Calibri" w:hAnsi="Calibri"/>
          <w:color w:val="1A1A1A"/>
          <w:sz w:val="20"/>
        </w:rPr>
        <w:t>„KI-Vorsystem“, „Software“, „Tool“ — gehört ins Folgegespräch, nicht ans Vorzimmer.</w:t>
      </w:r>
    </w:p>
    <w:p>
      <w:pPr>
        <w:pStyle w:val="ListBullet"/>
      </w:pPr>
      <w:r>
        <w:rPr>
          <w:rFonts w:ascii="Calibri" w:hAnsi="Calibri"/>
          <w:color w:val="1A1A1A"/>
          <w:sz w:val="20"/>
        </w:rPr>
        <w:t>„Beta“, „Pilot“, „Skalierung“ — Tech-Startup-Sprech.</w:t>
      </w:r>
    </w:p>
    <w:p>
      <w:pPr>
        <w:pStyle w:val="ListBullet"/>
      </w:pPr>
      <w:r>
        <w:rPr>
          <w:rFonts w:ascii="Calibri" w:hAnsi="Calibri"/>
          <w:color w:val="1A1A1A"/>
          <w:sz w:val="20"/>
        </w:rPr>
        <w:t>„Personalkostenfalle“ — die Empfangsdame ist selbst Personal.</w:t>
      </w:r>
    </w:p>
    <w:p>
      <w:pPr>
        <w:pStyle w:val="ListBullet"/>
      </w:pPr>
      <w:r>
        <w:rPr>
          <w:rFonts w:ascii="Calibri" w:hAnsi="Calibri"/>
          <w:color w:val="1A1A1A"/>
          <w:sz w:val="20"/>
        </w:rPr>
        <w:t>„Diplom-Kaufmann“, „Unternehmer“, „Berlin“ — Selbstauskunft triggert Verkäufer-Verdacht.</w:t>
      </w:r>
    </w:p>
    <w:p>
      <w:pPr>
        <w:pStyle w:val="ListBullet"/>
      </w:pPr>
      <w:r>
        <w:rPr>
          <w:rFonts w:ascii="Calibri" w:hAnsi="Calibri"/>
          <w:color w:val="1A1A1A"/>
          <w:sz w:val="20"/>
        </w:rPr>
        <w:t>„Drei von vier Kanzleien …“ als Eröffnungsstatistik — Datenfeuerwerk klingt nach Pitch.</w:t>
      </w:r>
    </w:p>
    <w:p>
      <w:pPr>
        <w:pStyle w:val="ListBullet"/>
      </w:pPr>
      <w:r>
        <w:rPr>
          <w:rFonts w:ascii="Calibri" w:hAnsi="Calibri"/>
          <w:color w:val="1A1A1A"/>
          <w:sz w:val="20"/>
        </w:rPr>
        <w:t>„Warum denn nicht?“ — Druck auf das Vorzimmer, Game over.</w:t>
      </w:r>
    </w:p>
    <w:p>
      <w:pPr>
        <w:pStyle w:val="ListBullet"/>
      </w:pPr>
      <w:r>
        <w:rPr>
          <w:rFonts w:ascii="Calibri" w:hAnsi="Calibri"/>
          <w:color w:val="1A1A1A"/>
          <w:sz w:val="20"/>
        </w:rPr>
        <w:t>„Kann ich später nochmal anrufen?“ — schwach. Stattdessen: „Ich melde mich in drei Monaten kurz.“</w:t>
      </w:r>
    </w:p>
    <w:p>
      <w:pPr>
        <w:spacing w:before="120" w:after="120"/>
      </w:pPr>
      <w:r>
        <w:rPr>
          <w:color w:val="6B6B6B"/>
          <w:sz w:val="16"/>
        </w:rPr>
        <w:t>————————————————————————————————————————</w:t>
      </w:r>
    </w:p>
    <w:p>
      <w:pPr>
        <w:spacing w:before="200" w:after="80"/>
      </w:pPr>
      <w:r>
        <w:rPr>
          <w:rFonts w:ascii="Calibri" w:hAnsi="Calibri"/>
          <w:b/>
          <w:color w:val="52267A"/>
          <w:sz w:val="26"/>
        </w:rPr>
        <w:t>7. Eskalations-Logik (Decision-Tree)</w:t>
      </w:r>
    </w:p>
    <w:p>
      <w:r>
        <w:rPr>
          <w:rFonts w:ascii="Consolas" w:hAnsi="Consolas"/>
          <w:color w:val="1A1A1A"/>
          <w:sz w:val="17"/>
        </w:rPr>
        <w:t>Eröffnung (Punkt 1)</w:t>
        <w:br/>
        <w:t xml:space="preserve">   |</w:t>
        <w:br/>
        <w:t xml:space="preserve">   |— Durchgestellt → Inhaber-Gespräch (Marktforscher-Frame, Sales-Cheatsheet Studie)</w:t>
        <w:br/>
        <w:t xml:space="preserve">   |</w:t>
        <w:br/>
        <w:t xml:space="preserve">   |— „Worum geht es?“ → Punkt 3 (Studien-Frame, kompakt)</w:t>
        <w:br/>
        <w:t xml:space="preserve">   |          |— Durchgestellt → Inhaber-Gespräch</w:t>
        <w:br/>
        <w:t xml:space="preserve">   |          |— Weiter Block → „Was bringen Sie konkret mit?“ Antwort → Boss-Check</w:t>
        <w:br/>
        <w:t xml:space="preserve">   |</w:t>
        <w:br/>
        <w:t xml:space="preserve">   |— Boss-Check → Rückfrage</w:t>
        <w:br/>
        <w:t xml:space="preserve">              |</w:t>
        <w:br/>
        <w:t xml:space="preserve">              |— „Worum geht es genau?“ → Punkt 4 (neuer Schärfung)</w:t>
        <w:br/>
        <w:t xml:space="preserve">              |     |— Ja, Termin → Inhaber-Gespräch (Folgetermin oder direkt jetzt)</w:t>
        <w:br/>
        <w:t xml:space="preserve">              |     |— Nein → Punkt 5 (Report-Lead)</w:t>
        <w:br/>
        <w:t xml:space="preserve">              |</w:t>
        <w:br/>
        <w:t xml:space="preserve">              |— „Kommt nicht in Frage“ → Punkt 5</w:t>
        <w:br/>
        <w:t xml:space="preserve">                    |— E-Mail rausgegeben → Report schicken (Pflicht!)</w:t>
        <w:br/>
        <w:t xml:space="preserve">                    |— Auch keine E-Mail → Abschied, nicht nachfassen</w:t>
      </w:r>
    </w:p>
    <w:p>
      <w:pPr>
        <w:spacing w:before="120" w:after="120"/>
      </w:pPr>
      <w:r>
        <w:rPr>
          <w:color w:val="6B6B6B"/>
          <w:sz w:val="16"/>
        </w:rPr>
        <w:t>————————————————————————————————————————</w:t>
      </w:r>
    </w:p>
    <w:p>
      <w:pPr>
        <w:spacing w:before="200" w:after="80"/>
      </w:pPr>
      <w:r>
        <w:rPr>
          <w:rFonts w:ascii="Calibri" w:hAnsi="Calibri"/>
          <w:b/>
          <w:color w:val="52267A"/>
          <w:sz w:val="26"/>
        </w:rPr>
        <w:t>8. Nach dem Anruf — Eintrag in der Anrufliste (CSV)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</w:tcPr>
          <w:p>
            <w:r/>
            <w:r>
              <w:rPr>
                <w:rFonts w:ascii="Calibri" w:hAnsi="Calibri"/>
                <w:b/>
                <w:color w:val="1A1A1A"/>
                <w:sz w:val="18"/>
              </w:rPr>
              <w:t>Ergebnis</w:t>
            </w:r>
          </w:p>
        </w:tc>
        <w:tc>
          <w:tcPr>
            <w:tcW w:type="dxa" w:w="5270"/>
          </w:tcPr>
          <w:p>
            <w:r/>
            <w:r>
              <w:rPr>
                <w:rFonts w:ascii="Calibri" w:hAnsi="Calibri"/>
                <w:b/>
                <w:color w:val="1A1A1A"/>
                <w:sz w:val="18"/>
              </w:rPr>
              <w:t>In Spalte „Ergebnis“ eintragen</w:t>
            </w:r>
          </w:p>
        </w:tc>
      </w:tr>
      <w:tr>
        <w:tc>
          <w:tcPr>
            <w:tcW w:type="dxa" w:w="5270"/>
          </w:tcPr>
          <w:p>
            <w:r/>
            <w:r>
              <w:rPr>
                <w:rFonts w:ascii="Calibri" w:hAnsi="Calibri"/>
                <w:color w:val="1A1A1A"/>
                <w:sz w:val="18"/>
              </w:rPr>
              <w:t>Interview-Termin vereinbart</w:t>
            </w:r>
          </w:p>
        </w:tc>
        <w:tc>
          <w:tcPr>
            <w:tcW w:type="dxa" w:w="5270"/>
          </w:tcPr>
          <w:p>
            <w:r/>
            <w:r>
              <w:rPr>
                <w:rFonts w:ascii="Calibri" w:hAnsi="Calibri"/>
                <w:color w:val="1A1A1A"/>
                <w:sz w:val="18"/>
              </w:rPr>
              <w:t>Interview: TT.MM. HH:MM</w:t>
            </w:r>
          </w:p>
        </w:tc>
      </w:tr>
      <w:tr>
        <w:tc>
          <w:tcPr>
            <w:tcW w:type="dxa" w:w="5270"/>
          </w:tcPr>
          <w:p>
            <w:r/>
            <w:r>
              <w:rPr>
                <w:rFonts w:ascii="Calibri" w:hAnsi="Calibri"/>
                <w:color w:val="1A1A1A"/>
                <w:sz w:val="18"/>
              </w:rPr>
              <w:t>Interview gleich geführt</w:t>
            </w:r>
          </w:p>
        </w:tc>
        <w:tc>
          <w:tcPr>
            <w:tcW w:type="dxa" w:w="5270"/>
          </w:tcPr>
          <w:p>
            <w:r/>
            <w:r>
              <w:rPr>
                <w:rFonts w:ascii="Calibri" w:hAnsi="Calibri"/>
                <w:color w:val="1A1A1A"/>
                <w:sz w:val="18"/>
              </w:rPr>
              <w:t>Interview durchgeführt — Folgetermin offen/JJ</w:t>
            </w:r>
          </w:p>
        </w:tc>
      </w:tr>
      <w:tr>
        <w:tc>
          <w:tcPr>
            <w:tcW w:type="dxa" w:w="5270"/>
          </w:tcPr>
          <w:p>
            <w:r/>
            <w:r>
              <w:rPr>
                <w:rFonts w:ascii="Calibri" w:hAnsi="Calibri"/>
                <w:color w:val="1A1A1A"/>
                <w:sz w:val="18"/>
              </w:rPr>
              <w:t>Folgetermin (Demo) vereinbart</w:t>
            </w:r>
          </w:p>
        </w:tc>
        <w:tc>
          <w:tcPr>
            <w:tcW w:type="dxa" w:w="5270"/>
          </w:tcPr>
          <w:p>
            <w:r/>
            <w:r>
              <w:rPr>
                <w:rFonts w:ascii="Calibri" w:hAnsi="Calibri"/>
                <w:color w:val="1A1A1A"/>
                <w:sz w:val="18"/>
              </w:rPr>
              <w:t>Demo: TT.MM. HH:MM</w:t>
            </w:r>
          </w:p>
        </w:tc>
      </w:tr>
      <w:tr>
        <w:tc>
          <w:tcPr>
            <w:tcW w:type="dxa" w:w="5270"/>
          </w:tcPr>
          <w:p>
            <w:r/>
            <w:r>
              <w:rPr>
                <w:rFonts w:ascii="Calibri" w:hAnsi="Calibri"/>
                <w:color w:val="1A1A1A"/>
                <w:sz w:val="18"/>
              </w:rPr>
              <w:t>Report-Lead (E-Mail erhalten)</w:t>
            </w:r>
          </w:p>
        </w:tc>
        <w:tc>
          <w:tcPr>
            <w:tcW w:type="dxa" w:w="5270"/>
          </w:tcPr>
          <w:p>
            <w:r/>
            <w:r>
              <w:rPr>
                <w:rFonts w:ascii="Calibri" w:hAnsi="Calibri"/>
                <w:color w:val="1A1A1A"/>
                <w:sz w:val="18"/>
              </w:rPr>
              <w:t>Report (E-Mail: xxx)</w:t>
            </w:r>
          </w:p>
        </w:tc>
      </w:tr>
      <w:tr>
        <w:tc>
          <w:tcPr>
            <w:tcW w:type="dxa" w:w="5270"/>
          </w:tcPr>
          <w:p>
            <w:r/>
            <w:r>
              <w:rPr>
                <w:rFonts w:ascii="Calibri" w:hAnsi="Calibri"/>
                <w:color w:val="1A1A1A"/>
                <w:sz w:val="18"/>
              </w:rPr>
              <w:t>Vorzimmer-Block ohne Boss-Check</w:t>
            </w:r>
          </w:p>
        </w:tc>
        <w:tc>
          <w:tcPr>
            <w:tcW w:type="dxa" w:w="5270"/>
          </w:tcPr>
          <w:p>
            <w:r/>
            <w:r>
              <w:rPr>
                <w:rFonts w:ascii="Calibri" w:hAnsi="Calibri"/>
                <w:color w:val="1A1A1A"/>
                <w:sz w:val="18"/>
              </w:rPr>
              <w:t>Vorzimmer-Block (vor Boss)</w:t>
            </w:r>
          </w:p>
        </w:tc>
      </w:tr>
    </w:tbl>
    <w:p>
      <w:pPr>
        <w:spacing w:before="120" w:after="120"/>
      </w:pPr>
      <w:r>
        <w:rPr>
          <w:color w:val="6B6B6B"/>
          <w:sz w:val="16"/>
        </w:rPr>
        <w:t>————————————————————————————————————————</w:t>
      </w:r>
    </w:p>
    <w:p>
      <w:pPr>
        <w:spacing w:before="200" w:after="80"/>
      </w:pPr>
      <w:r>
        <w:rPr>
          <w:rFonts w:ascii="Calibri" w:hAnsi="Calibri"/>
          <w:b/>
          <w:color w:val="52267A"/>
          <w:sz w:val="26"/>
        </w:rPr>
        <w:t>Operative Disziplin (kritisch im Studien-Frame)</w:t>
      </w:r>
    </w:p>
    <w:p>
      <w:pPr>
        <w:pStyle w:val="ListBullet"/>
      </w:pPr>
      <w:r>
        <w:rPr>
          <w:rFonts w:ascii="Calibri" w:hAnsi="Calibri"/>
          <w:color w:val="1A1A1A"/>
          <w:sz w:val="20"/>
        </w:rPr>
        <w:t>Jeder Report-Lead bekommt den Report — innerhalb 1-2 Wochen, kompromisslos.</w:t>
      </w:r>
    </w:p>
    <w:p>
      <w:pPr>
        <w:pStyle w:val="ListBullet"/>
      </w:pPr>
      <w:r>
        <w:rPr>
          <w:rFonts w:ascii="Calibri" w:hAnsi="Calibri"/>
          <w:color w:val="1A1A1A"/>
          <w:sz w:val="20"/>
        </w:rPr>
        <w:t>Report-Versand erfolgt persönlich („Andreas Schwarzkopf, Flowbeaver“), nicht über Newsletter-Liste.</w:t>
      </w:r>
    </w:p>
    <w:p>
      <w:pPr>
        <w:pStyle w:val="ListBullet"/>
      </w:pPr>
      <w:r>
        <w:rPr>
          <w:rFonts w:ascii="Calibri" w:hAnsi="Calibri"/>
          <w:color w:val="1A1A1A"/>
          <w:sz w:val="20"/>
        </w:rPr>
        <w:t>Interview-Termine binnen 48h schriftlich bestätigen.</w:t>
      </w:r>
    </w:p>
    <w:p>
      <w:pPr>
        <w:pStyle w:val="ListBullet"/>
      </w:pPr>
      <w:r>
        <w:rPr>
          <w:rFonts w:ascii="Calibri" w:hAnsi="Calibri"/>
          <w:color w:val="1A1A1A"/>
          <w:sz w:val="20"/>
        </w:rPr>
        <w:t>Wenn der Report nach 2 Wochen nicht raus ist: der Frame ist für diese Kanzlei verbrannt — keine zweite Chance.</w:t>
      </w:r>
    </w:p>
    <w:sectPr w:rsidR="00FC693F" w:rsidRPr="0006063C" w:rsidSect="00034616">
      <w:pgSz w:w="12240" w:h="15840"/>
      <w:pgMar w:top="680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