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document.xml" ContentType="application/vnd.openxmlformats-officedocument.wordprocessingml.document.main+xml"/>
  <Override PartName="/word/drawings/drawing1.xml" ContentType="application/vnd.openxmlformats-officedocument.drawingml.chartshape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EB22A5" w14:textId="77777777" w:rsidR="00D24A07" w:rsidRPr="003C46D7" w:rsidRDefault="00DA653A">
      <w:pPr>
        <w:spacing w:line="288" w:lineRule="auto"/>
        <w:jc w:val="center"/>
        <w:rPr>
          <w:rFonts w:ascii="Century Gothic" w:hAnsi="Century Gothic"/>
          <w:sz w:val="24"/>
          <w:szCs w:val="24"/>
        </w:rPr>
      </w:pPr>
      <w:r w:rsidRPr="003C46D7">
        <w:rPr>
          <w:rFonts w:ascii="Century Gothic" w:eastAsia="Century Gothic" w:hAnsi="Century Gothic" w:cs="Century Gothic"/>
          <w:b/>
          <w:sz w:val="24"/>
          <w:szCs w:val="24"/>
        </w:rPr>
        <w:t>INFORME TÉCNICO</w:t>
      </w:r>
    </w:p>
    <w:p w14:paraId="179CF9FF" w14:textId="77777777" w:rsidR="00D24A07" w:rsidRDefault="00DA653A">
      <w:pPr>
        <w:spacing w:line="288" w:lineRule="auto"/>
        <w:jc w:val="center"/>
        <w:rPr>
          <w:rFonts w:ascii="Century Gothic" w:hAnsi="Century Gothic"/>
          <w:b/>
          <w:sz w:val="24"/>
          <w:szCs w:val="24"/>
        </w:rPr>
      </w:pPr>
      <w:r w:rsidRPr="003C46D7">
        <w:rPr>
          <w:rFonts w:ascii="Century Gothic" w:eastAsia="Century Gothic" w:hAnsi="Century Gothic" w:cs="Century Gothic"/>
          <w:b/>
          <w:sz w:val="24"/>
          <w:szCs w:val="24"/>
        </w:rPr>
        <w:t xml:space="preserve">MEFP/VPCF/DGPGP/UGPPP/INF. N° </w:t>
      </w:r>
      <w:r w:rsidRPr="003C46D7">
        <w:rPr>
          <w:rFonts w:ascii="Century Gothic" w:eastAsia="Century Gothic" w:hAnsi="Century Gothic" w:cs="Century Gothic"/>
          <w:b/>
          <w:sz w:val="24"/>
          <w:highlight w:val="yellow"/>
          <w:szCs w:val="24"/>
        </w:rPr>
        <w:t>[COMPLETAR]</w:t>
      </w:r>
      <w:r w:rsidRPr="003C46D7">
        <w:rPr>
          <w:rFonts w:ascii="Century Gothic" w:eastAsia="Century Gothic" w:hAnsi="Century Gothic" w:cs="Century Gothic"/>
          <w:b/>
          <w:sz w:val="24"/>
          <w:szCs w:val="24"/>
        </w:rPr>
        <w:t>/2026</w:t>
      </w:r>
    </w:p>
    <w:p w14:paraId="7C2F6E3F" w14:textId="77777777" w:rsidR="000F64EF" w:rsidRPr="003C46D7" w:rsidRDefault="000F64EF">
      <w:pPr>
        <w:jc w:val="center"/>
        <w:rPr>
          <w:rFonts w:ascii="Century Gothic" w:hAnsi="Century Gothic"/>
          <w:sz w:val="24"/>
          <w:szCs w:val="24"/>
        </w:rPr>
      </w:pPr>
    </w:p>
    <w:p w14:paraId="42A55315" w14:textId="77777777" w:rsidR="00D24A07" w:rsidRPr="003C46D7" w:rsidRDefault="00DA653A" w:rsidP="00D9711F">
      <w:pPr>
        <w:spacing w:after="40" w:line="240" w:lineRule="auto"/>
        <w:ind w:left="1134" w:right="334"/>
        <w:rPr>
          <w:rFonts w:ascii="Century Gothic" w:hAnsi="Century Gothic"/>
          <w:bCs/>
          <w:sz w:val="24"/>
          <w:szCs w:val="24"/>
        </w:rPr>
      </w:pPr>
      <w:r w:rsidRPr="003C46D7">
        <w:rPr>
          <w:rFonts w:ascii="Century Gothic" w:eastAsia="Century Gothic" w:hAnsi="Century Gothic" w:cs="Century Gothic"/>
          <w:b/>
          <w:sz w:val="24"/>
          <w:szCs w:val="24"/>
        </w:rPr>
        <w:t>A</w:t>
      </w:r>
      <w:r w:rsidRPr="003C46D7">
        <w:rPr>
          <w:rFonts w:ascii="Century Gothic" w:eastAsia="Century Gothic" w:hAnsi="Century Gothic" w:cs="Century Gothic"/>
          <w:b/>
          <w:sz w:val="24"/>
          <w:szCs w:val="24"/>
        </w:rPr>
        <w:tab/>
      </w:r>
      <w:r w:rsidR="003C46D7" w:rsidRPr="003C46D7">
        <w:rPr>
          <w:rFonts w:ascii="Century Gothic" w:eastAsia="Century Gothic" w:hAnsi="Century Gothic" w:cs="Century Gothic"/>
          <w:b/>
          <w:sz w:val="24"/>
          <w:szCs w:val="24"/>
        </w:rPr>
        <w:tab/>
      </w:r>
      <w:r w:rsidRPr="003C46D7">
        <w:rPr>
          <w:rFonts w:ascii="Century Gothic" w:eastAsia="Century Gothic" w:hAnsi="Century Gothic" w:cs="Century Gothic"/>
          <w:b/>
          <w:sz w:val="24"/>
          <w:szCs w:val="24"/>
        </w:rPr>
        <w:t>:</w:t>
      </w:r>
      <w:r w:rsidRPr="003C46D7">
        <w:rPr>
          <w:rFonts w:ascii="Century Gothic" w:eastAsia="Century Gothic" w:hAnsi="Century Gothic" w:cs="Century Gothic"/>
          <w:b/>
          <w:sz w:val="24"/>
          <w:szCs w:val="24"/>
        </w:rPr>
        <w:tab/>
      </w:r>
      <w:r w:rsidR="008E08FC" w:rsidRPr="003C46D7">
        <w:rPr>
          <w:rFonts w:ascii="Century Gothic" w:eastAsia="Century Gothic" w:hAnsi="Century Gothic" w:cs="Century Gothic"/>
          <w:bCs/>
          <w:sz w:val="24"/>
          <w:szCs w:val="24"/>
        </w:rPr>
        <w:t>Christian Andrés Morales Burgos</w:t>
      </w:r>
    </w:p>
    <w:p w14:paraId="5B71318E" w14:textId="77777777" w:rsidR="008E08FC" w:rsidRPr="003C46D7" w:rsidRDefault="008E08FC" w:rsidP="00D9711F">
      <w:pPr>
        <w:spacing w:after="40" w:line="240" w:lineRule="auto"/>
        <w:ind w:left="1134" w:right="334"/>
        <w:rPr>
          <w:rFonts w:ascii="Century Gothic" w:eastAsia="Century Gothic" w:hAnsi="Century Gothic" w:cs="Century Gothic"/>
          <w:b/>
          <w:color w:val="000000"/>
          <w:sz w:val="24"/>
          <w:szCs w:val="24"/>
        </w:rPr>
      </w:pPr>
      <w:r w:rsidRPr="003C46D7">
        <w:rPr>
          <w:rFonts w:ascii="Century Gothic" w:eastAsia="Century Gothic" w:hAnsi="Century Gothic" w:cs="Century Gothic"/>
          <w:bCs/>
          <w:sz w:val="24"/>
          <w:szCs w:val="24"/>
        </w:rPr>
        <w:tab/>
      </w:r>
      <w:r w:rsidRPr="003C46D7">
        <w:rPr>
          <w:rFonts w:ascii="Century Gothic" w:eastAsia="Century Gothic" w:hAnsi="Century Gothic" w:cs="Century Gothic"/>
          <w:bCs/>
          <w:sz w:val="24"/>
          <w:szCs w:val="24"/>
        </w:rPr>
        <w:tab/>
      </w:r>
      <w:r w:rsidR="003C46D7" w:rsidRPr="003C46D7">
        <w:rPr>
          <w:rFonts w:ascii="Century Gothic" w:eastAsia="Century Gothic" w:hAnsi="Century Gothic" w:cs="Century Gothic"/>
          <w:bCs/>
          <w:sz w:val="24"/>
          <w:szCs w:val="24"/>
        </w:rPr>
        <w:tab/>
      </w:r>
      <w:r w:rsidRPr="003C46D7">
        <w:rPr>
          <w:rFonts w:ascii="Century Gothic" w:eastAsia="Century Gothic" w:hAnsi="Century Gothic" w:cs="Century Gothic"/>
          <w:b/>
          <w:color w:val="000000"/>
          <w:sz w:val="24"/>
          <w:szCs w:val="24"/>
        </w:rPr>
        <w:t>MINISTRO DE ECONOMÍA Y FINANZAS PÚBLICAS</w:t>
      </w:r>
    </w:p>
    <w:p w14:paraId="20870821" w14:textId="77777777" w:rsidR="008E08FC" w:rsidRPr="003C46D7" w:rsidRDefault="008E08FC" w:rsidP="008E08FC">
      <w:pPr>
        <w:spacing w:after="40"/>
        <w:ind w:left="1134" w:right="334"/>
        <w:rPr>
          <w:rFonts w:ascii="Century Gothic" w:hAnsi="Century Gothic"/>
          <w:sz w:val="24"/>
          <w:szCs w:val="24"/>
        </w:rPr>
      </w:pPr>
    </w:p>
    <w:p w14:paraId="774F90E8" w14:textId="77777777" w:rsidR="003C46D7" w:rsidRPr="003C46D7" w:rsidRDefault="00DA653A" w:rsidP="00D9711F">
      <w:pPr>
        <w:spacing w:after="40" w:line="240" w:lineRule="auto"/>
        <w:ind w:left="1134" w:right="334"/>
        <w:rPr>
          <w:rFonts w:ascii="Century Gothic" w:hAnsi="Century Gothic"/>
          <w:bCs/>
          <w:sz w:val="24"/>
          <w:szCs w:val="24"/>
        </w:rPr>
      </w:pPr>
      <w:r w:rsidRPr="003C46D7">
        <w:rPr>
          <w:rFonts w:ascii="Century Gothic" w:eastAsia="Century Gothic" w:hAnsi="Century Gothic" w:cs="Century Gothic"/>
          <w:b/>
          <w:sz w:val="24"/>
          <w:szCs w:val="24"/>
        </w:rPr>
        <w:t>VÍA</w:t>
      </w:r>
      <w:r w:rsidRPr="003C46D7">
        <w:rPr>
          <w:rFonts w:ascii="Century Gothic" w:eastAsia="Century Gothic" w:hAnsi="Century Gothic" w:cs="Century Gothic"/>
          <w:b/>
          <w:sz w:val="24"/>
          <w:szCs w:val="24"/>
        </w:rPr>
        <w:tab/>
        <w:t>:</w:t>
      </w:r>
      <w:r w:rsidRPr="003C46D7">
        <w:rPr>
          <w:rFonts w:ascii="Century Gothic" w:eastAsia="Century Gothic" w:hAnsi="Century Gothic" w:cs="Century Gothic"/>
          <w:b/>
          <w:sz w:val="24"/>
          <w:szCs w:val="24"/>
        </w:rPr>
        <w:tab/>
      </w:r>
      <w:r w:rsidR="003C46D7" w:rsidRPr="003C46D7">
        <w:rPr>
          <w:rFonts w:ascii="Century Gothic" w:eastAsia="Century Gothic" w:hAnsi="Century Gothic" w:cs="Century Gothic"/>
          <w:bCs/>
          <w:sz w:val="24"/>
          <w:szCs w:val="24"/>
        </w:rPr>
        <w:t xml:space="preserve">Edwin </w:t>
      </w:r>
      <w:proofErr w:type="spellStart"/>
      <w:r w:rsidR="003C46D7" w:rsidRPr="003C46D7">
        <w:rPr>
          <w:rFonts w:ascii="Century Gothic" w:eastAsia="Century Gothic" w:hAnsi="Century Gothic" w:cs="Century Gothic"/>
          <w:bCs/>
          <w:sz w:val="24"/>
          <w:szCs w:val="24"/>
        </w:rPr>
        <w:t>Aldunate</w:t>
      </w:r>
      <w:proofErr w:type="spellEnd"/>
      <w:r w:rsidR="003C46D7" w:rsidRPr="003C46D7">
        <w:rPr>
          <w:rFonts w:ascii="Century Gothic" w:eastAsia="Century Gothic" w:hAnsi="Century Gothic" w:cs="Century Gothic"/>
          <w:bCs/>
          <w:sz w:val="24"/>
          <w:szCs w:val="24"/>
        </w:rPr>
        <w:t xml:space="preserve"> </w:t>
      </w:r>
      <w:proofErr w:type="spellStart"/>
      <w:r w:rsidR="003C46D7" w:rsidRPr="003C46D7">
        <w:rPr>
          <w:rFonts w:ascii="Century Gothic" w:eastAsia="Century Gothic" w:hAnsi="Century Gothic" w:cs="Century Gothic"/>
          <w:bCs/>
          <w:sz w:val="24"/>
          <w:szCs w:val="24"/>
        </w:rPr>
        <w:t>Luján</w:t>
      </w:r>
      <w:proofErr w:type="spellEnd"/>
    </w:p>
    <w:p w14:paraId="427719F4" w14:textId="77777777" w:rsidR="003C46D7" w:rsidRPr="003C46D7" w:rsidRDefault="003C46D7" w:rsidP="00D9711F">
      <w:pPr>
        <w:spacing w:after="40" w:line="240" w:lineRule="auto"/>
        <w:ind w:left="2880" w:right="334"/>
        <w:rPr>
          <w:rFonts w:ascii="Century Gothic" w:hAnsi="Century Gothic"/>
          <w:b/>
          <w:sz w:val="24"/>
          <w:szCs w:val="24"/>
        </w:rPr>
      </w:pPr>
      <w:r w:rsidRPr="003C46D7">
        <w:rPr>
          <w:rFonts w:ascii="Century Gothic" w:eastAsia="Century Gothic" w:hAnsi="Century Gothic" w:cs="Century Gothic"/>
          <w:b/>
          <w:sz w:val="24"/>
          <w:szCs w:val="24"/>
        </w:rPr>
        <w:t>VICEMINISTRO DE PRESUPUESTO Y CONTABILIDAD FISCAL</w:t>
      </w:r>
    </w:p>
    <w:p w14:paraId="6E2B8147" w14:textId="77777777" w:rsidR="008E08FC" w:rsidRPr="003C46D7" w:rsidRDefault="008E08FC" w:rsidP="008E08FC">
      <w:pPr>
        <w:spacing w:after="40"/>
        <w:ind w:left="1134" w:right="334"/>
        <w:rPr>
          <w:rFonts w:ascii="Century Gothic" w:hAnsi="Century Gothic"/>
          <w:sz w:val="24"/>
          <w:szCs w:val="24"/>
        </w:rPr>
      </w:pPr>
    </w:p>
    <w:p w14:paraId="160B6041" w14:textId="77777777" w:rsidR="00D24A07" w:rsidRPr="003C46D7" w:rsidRDefault="00DA653A" w:rsidP="00D9711F">
      <w:pPr>
        <w:spacing w:after="40" w:line="240" w:lineRule="auto"/>
        <w:ind w:left="1134" w:right="334"/>
        <w:rPr>
          <w:rFonts w:ascii="Century Gothic" w:hAnsi="Century Gothic"/>
          <w:sz w:val="24"/>
          <w:szCs w:val="24"/>
        </w:rPr>
      </w:pPr>
      <w:r w:rsidRPr="003C46D7">
        <w:rPr>
          <w:rFonts w:ascii="Century Gothic" w:eastAsia="Century Gothic" w:hAnsi="Century Gothic" w:cs="Century Gothic"/>
          <w:b/>
          <w:sz w:val="24"/>
          <w:szCs w:val="24"/>
        </w:rPr>
        <w:t>DE</w:t>
      </w:r>
      <w:r w:rsidRPr="003C46D7">
        <w:rPr>
          <w:rFonts w:ascii="Century Gothic" w:eastAsia="Century Gothic" w:hAnsi="Century Gothic" w:cs="Century Gothic"/>
          <w:b/>
          <w:sz w:val="24"/>
          <w:szCs w:val="24"/>
        </w:rPr>
        <w:tab/>
      </w:r>
      <w:r w:rsidR="003C46D7" w:rsidRPr="003C46D7">
        <w:rPr>
          <w:rFonts w:ascii="Century Gothic" w:eastAsia="Century Gothic" w:hAnsi="Century Gothic" w:cs="Century Gothic"/>
          <w:b/>
          <w:sz w:val="24"/>
          <w:szCs w:val="24"/>
        </w:rPr>
        <w:tab/>
      </w:r>
      <w:r w:rsidRPr="003C46D7">
        <w:rPr>
          <w:rFonts w:ascii="Century Gothic" w:eastAsia="Century Gothic" w:hAnsi="Century Gothic" w:cs="Century Gothic"/>
          <w:b/>
          <w:sz w:val="24"/>
          <w:szCs w:val="24"/>
        </w:rPr>
        <w:t>:</w:t>
      </w:r>
      <w:r w:rsidRPr="003C46D7">
        <w:rPr>
          <w:rFonts w:ascii="Century Gothic" w:eastAsia="Century Gothic" w:hAnsi="Century Gothic" w:cs="Century Gothic"/>
          <w:b/>
          <w:sz w:val="24"/>
          <w:szCs w:val="24"/>
        </w:rPr>
        <w:tab/>
      </w:r>
      <w:r w:rsidR="003C46D7" w:rsidRPr="003C46D7">
        <w:rPr>
          <w:rFonts w:ascii="Century Gothic" w:eastAsia="Century Gothic" w:hAnsi="Century Gothic" w:cs="Century Gothic"/>
          <w:sz w:val="24"/>
          <w:szCs w:val="24"/>
        </w:rPr>
        <w:t xml:space="preserve">Jose Luis </w:t>
      </w:r>
      <w:proofErr w:type="spellStart"/>
      <w:r w:rsidR="003C46D7" w:rsidRPr="003C46D7">
        <w:rPr>
          <w:rFonts w:ascii="Century Gothic" w:eastAsia="Century Gothic" w:hAnsi="Century Gothic" w:cs="Century Gothic"/>
          <w:sz w:val="24"/>
          <w:szCs w:val="24"/>
        </w:rPr>
        <w:t>Eguivar</w:t>
      </w:r>
      <w:proofErr w:type="spellEnd"/>
      <w:r w:rsidR="003C46D7" w:rsidRPr="003C46D7">
        <w:rPr>
          <w:rFonts w:ascii="Century Gothic" w:eastAsia="Century Gothic" w:hAnsi="Century Gothic" w:cs="Century Gothic"/>
          <w:sz w:val="24"/>
          <w:szCs w:val="24"/>
        </w:rPr>
        <w:t xml:space="preserve"> </w:t>
      </w:r>
      <w:proofErr w:type="spellStart"/>
      <w:r w:rsidR="003C46D7" w:rsidRPr="003C46D7">
        <w:rPr>
          <w:rFonts w:ascii="Century Gothic" w:eastAsia="Century Gothic" w:hAnsi="Century Gothic" w:cs="Century Gothic"/>
          <w:sz w:val="24"/>
          <w:szCs w:val="24"/>
        </w:rPr>
        <w:t>Serrudo</w:t>
      </w:r>
      <w:proofErr w:type="spellEnd"/>
    </w:p>
    <w:p w14:paraId="4D7860F9" w14:textId="77777777" w:rsidR="003C46D7" w:rsidRPr="003C46D7" w:rsidRDefault="003C46D7" w:rsidP="00D9711F">
      <w:pPr>
        <w:spacing w:after="40" w:line="240" w:lineRule="auto"/>
        <w:ind w:left="2874" w:right="334"/>
        <w:rPr>
          <w:rFonts w:ascii="Century Gothic" w:hAnsi="Century Gothic"/>
          <w:sz w:val="24"/>
          <w:szCs w:val="24"/>
        </w:rPr>
      </w:pPr>
      <w:r w:rsidRPr="003C46D7">
        <w:rPr>
          <w:rFonts w:ascii="Century Gothic" w:eastAsia="Century Gothic" w:hAnsi="Century Gothic" w:cs="Century Gothic"/>
          <w:b/>
          <w:sz w:val="24"/>
          <w:szCs w:val="24"/>
        </w:rPr>
        <w:t>DIRECTOR GENERAL DE PROGRAMACIÓN Y GESTIÓN PRESUPUESTARIA</w:t>
      </w:r>
    </w:p>
    <w:p w14:paraId="1E2D159D" w14:textId="77777777" w:rsidR="008E08FC" w:rsidRPr="003C46D7" w:rsidRDefault="008E08FC" w:rsidP="008E08FC">
      <w:pPr>
        <w:spacing w:after="40"/>
        <w:ind w:left="1134" w:right="334"/>
        <w:rPr>
          <w:rFonts w:ascii="Century Gothic" w:hAnsi="Century Gothic"/>
          <w:sz w:val="24"/>
          <w:szCs w:val="24"/>
        </w:rPr>
      </w:pPr>
    </w:p>
    <w:p w14:paraId="42A2E3C1" w14:textId="77777777" w:rsidR="00D24A07" w:rsidRPr="003C46D7" w:rsidRDefault="00DA653A" w:rsidP="008E08FC">
      <w:pPr>
        <w:spacing w:after="40" w:line="288" w:lineRule="auto"/>
        <w:ind w:left="1134" w:right="334"/>
        <w:rPr>
          <w:rFonts w:ascii="Century Gothic" w:hAnsi="Century Gothic"/>
          <w:b/>
          <w:sz w:val="24"/>
          <w:szCs w:val="24"/>
        </w:rPr>
      </w:pPr>
      <w:r w:rsidRPr="003C46D7">
        <w:rPr>
          <w:rFonts w:ascii="Century Gothic" w:eastAsia="Century Gothic" w:hAnsi="Century Gothic" w:cs="Century Gothic"/>
          <w:b/>
          <w:sz w:val="24"/>
          <w:szCs w:val="24"/>
        </w:rPr>
        <w:t>REF.</w:t>
      </w:r>
      <w:r w:rsidRPr="003C46D7">
        <w:rPr>
          <w:rFonts w:ascii="Century Gothic" w:eastAsia="Century Gothic" w:hAnsi="Century Gothic" w:cs="Century Gothic"/>
          <w:b/>
          <w:sz w:val="24"/>
          <w:szCs w:val="24"/>
        </w:rPr>
        <w:tab/>
        <w:t>:</w:t>
      </w:r>
      <w:r w:rsidRPr="003C46D7">
        <w:rPr>
          <w:rFonts w:ascii="Century Gothic" w:eastAsia="Century Gothic" w:hAnsi="Century Gothic" w:cs="Century Gothic"/>
          <w:b/>
          <w:sz w:val="24"/>
          <w:szCs w:val="24"/>
        </w:rPr>
        <w:tab/>
        <w:t>PRESUPUESTO GENERAL DEL ESTADO GESTIÓN 2027</w:t>
      </w:r>
    </w:p>
    <w:p w14:paraId="7E083408" w14:textId="77777777" w:rsidR="008E08FC" w:rsidRPr="003C46D7" w:rsidRDefault="008E08FC" w:rsidP="008E08FC">
      <w:pPr>
        <w:spacing w:after="40"/>
        <w:ind w:left="1134" w:right="334"/>
        <w:rPr>
          <w:rFonts w:ascii="Century Gothic" w:hAnsi="Century Gothic"/>
          <w:sz w:val="24"/>
          <w:szCs w:val="24"/>
        </w:rPr>
      </w:pPr>
    </w:p>
    <w:p w14:paraId="1BC11DB4" w14:textId="77777777" w:rsidR="00D24A07" w:rsidRPr="003C46D7" w:rsidRDefault="00DA653A" w:rsidP="008E08FC">
      <w:pPr>
        <w:spacing w:after="40" w:line="288" w:lineRule="auto"/>
        <w:ind w:left="1134" w:right="334"/>
        <w:rPr>
          <w:rFonts w:ascii="Century Gothic" w:hAnsi="Century Gothic"/>
          <w:sz w:val="24"/>
          <w:szCs w:val="24"/>
        </w:rPr>
      </w:pPr>
      <w:r w:rsidRPr="003C46D7">
        <w:rPr>
          <w:rFonts w:ascii="Century Gothic" w:eastAsia="Century Gothic" w:hAnsi="Century Gothic" w:cs="Century Gothic"/>
          <w:b/>
          <w:sz w:val="24"/>
          <w:szCs w:val="24"/>
        </w:rPr>
        <w:t>FECHA</w:t>
      </w:r>
      <w:r w:rsidRPr="003C46D7">
        <w:rPr>
          <w:rFonts w:ascii="Century Gothic" w:eastAsia="Century Gothic" w:hAnsi="Century Gothic" w:cs="Century Gothic"/>
          <w:b/>
          <w:sz w:val="24"/>
          <w:szCs w:val="24"/>
        </w:rPr>
        <w:tab/>
        <w:t>:</w:t>
      </w:r>
      <w:r w:rsidRPr="003C46D7">
        <w:rPr>
          <w:rFonts w:ascii="Century Gothic" w:eastAsia="Century Gothic" w:hAnsi="Century Gothic" w:cs="Century Gothic"/>
          <w:b/>
          <w:sz w:val="24"/>
          <w:szCs w:val="24"/>
        </w:rPr>
        <w:tab/>
      </w:r>
      <w:r w:rsidRPr="003C46D7">
        <w:rPr>
          <w:rFonts w:ascii="Century Gothic" w:eastAsia="Century Gothic" w:hAnsi="Century Gothic" w:cs="Century Gothic"/>
          <w:sz w:val="24"/>
          <w:szCs w:val="24"/>
        </w:rPr>
        <w:t xml:space="preserve">La Paz, </w:t>
      </w:r>
      <w:r w:rsidR="008E08FC" w:rsidRPr="003C46D7">
        <w:rPr>
          <w:rFonts w:ascii="Century Gothic" w:eastAsia="Century Gothic" w:hAnsi="Century Gothic" w:cs="Century Gothic"/>
          <w:sz w:val="24"/>
          <w:highlight w:val="yellow"/>
          <w:szCs w:val="24"/>
        </w:rPr>
        <w:t>XX</w:t>
      </w:r>
      <w:r w:rsidR="008E08FC" w:rsidRPr="003C46D7">
        <w:rPr>
          <w:rFonts w:ascii="Century Gothic" w:eastAsia="Century Gothic" w:hAnsi="Century Gothic" w:cs="Century Gothic"/>
          <w:sz w:val="24"/>
          <w:szCs w:val="24"/>
        </w:rPr>
        <w:t xml:space="preserve"> de </w:t>
      </w:r>
      <w:proofErr w:type="spellStart"/>
      <w:r w:rsidR="008E08FC" w:rsidRPr="003C46D7">
        <w:rPr>
          <w:rFonts w:ascii="Century Gothic" w:eastAsia="Century Gothic" w:hAnsi="Century Gothic" w:cs="Century Gothic"/>
          <w:sz w:val="24"/>
          <w:szCs w:val="24"/>
        </w:rPr>
        <w:t>octubre</w:t>
      </w:r>
      <w:proofErr w:type="spellEnd"/>
      <w:r w:rsidR="008E08FC" w:rsidRPr="003C46D7">
        <w:rPr>
          <w:rFonts w:ascii="Century Gothic" w:eastAsia="Century Gothic" w:hAnsi="Century Gothic" w:cs="Century Gothic"/>
          <w:sz w:val="24"/>
          <w:szCs w:val="24"/>
        </w:rPr>
        <w:t xml:space="preserve"> de 202</w:t>
      </w:r>
      <w:r w:rsidR="003C46D7" w:rsidRPr="003C46D7">
        <w:rPr>
          <w:rFonts w:ascii="Century Gothic" w:eastAsia="Century Gothic" w:hAnsi="Century Gothic" w:cs="Century Gothic"/>
          <w:sz w:val="24"/>
          <w:szCs w:val="24"/>
        </w:rPr>
        <w:t>6</w:t>
      </w:r>
    </w:p>
    <w:p w14:paraId="5A9D5389" w14:textId="77777777" w:rsidR="00D24A07" w:rsidRPr="003C46D7" w:rsidRDefault="00D24A07">
      <w:pPr>
        <w:pBdr>
          <w:bottom w:val="single" w:sz="8" w:space="1" w:color="000000"/>
        </w:pBdr>
        <w:rPr>
          <w:rFonts w:ascii="Century Gothic" w:hAnsi="Century Gothic"/>
          <w:sz w:val="24"/>
          <w:szCs w:val="24"/>
        </w:rPr>
      </w:pPr>
    </w:p>
    <w:p w14:paraId="609AA41B" w14:textId="77777777" w:rsidR="000D5962" w:rsidRDefault="00D030A2">
      <w:pPr>
        <w:pStyle w:val="Ttulo1"/>
        <w:spacing w:line="288" w:lineRule="auto"/>
        <w:rPr>
          <w:sz w:val="24"/>
          <w:szCs w:val="24"/>
        </w:rPr>
      </w:pPr>
      <w:r>
        <w:rPr>
          <w:rFonts w:ascii="Century Gothic" w:eastAsia="Century Gothic" w:hAnsi="Century Gothic" w:cs="Century Gothic"/>
          <w:sz w:val="24"/>
          <w:szCs w:val="24"/>
        </w:rPr>
        <w:t>1. MARCO LEGAL (MARCO)</w:t>
      </w:r>
    </w:p>
    <w:p w14:paraId="27968AE2" w14:textId="77777777" w:rsidR="000D5962" w:rsidRPr="001A15AF" w:rsidRDefault="00D030A2">
      <w:pPr>
        <w:spacing w:line="288" w:lineRule="auto"/>
        <w:jc w:val="both"/>
        <w:rPr>
          <w:lang w:val="es-BO"/>
          <w:sz w:val="24"/>
          <w:szCs w:val="24"/>
        </w:rPr>
      </w:pPr>
      <w:r w:rsidRPr="001A15AF">
        <w:rPr>
          <w:rFonts w:ascii="Century Gothic" w:eastAsia="Century Gothic" w:hAnsi="Century Gothic" w:cs="Century Gothic"/>
          <w:sz w:val="24"/>
          <w:lang w:val="es-BO"/>
          <w:szCs w:val="24"/>
        </w:rPr>
        <w:t>Constitución Política del Estado (CPE):</w:t>
      </w:r>
    </w:p>
    <w:p w14:paraId="555AC93B" w14:textId="77777777" w:rsidR="000D5962" w:rsidRPr="001A15AF" w:rsidRDefault="00D030A2">
      <w:pPr>
        <w:pStyle w:val="Listaconvietas"/>
        <w:spacing w:line="288" w:lineRule="auto"/>
        <w:jc w:val="both"/>
        <w:rPr>
          <w:lang w:val="es-BO"/>
          <w:sz w:val="24"/>
          <w:szCs w:val="24"/>
        </w:rPr>
      </w:pPr>
      <w:r w:rsidRPr="001A15AF">
        <w:rPr>
          <w:rFonts w:ascii="Century Gothic" w:eastAsia="Century Gothic" w:hAnsi="Century Gothic" w:cs="Century Gothic"/>
          <w:sz w:val="24"/>
          <w:lang w:val="es-BO"/>
          <w:szCs w:val="24"/>
        </w:rPr>
        <w:t>El Numeral 11, Parágrafo I del Artículo 158 de la CPE establece, entre las atribuciones de la Asamblea Legislativa Plurinacional (ALP), aprobar el Presupuesto General del Estado (PGE) presentado por el Órgano Ejecutivo, el cual deberá ser considerado dentro del término de sesenta días de recibido el proyecto de ley.</w:t>
      </w:r>
    </w:p>
    <w:p w14:paraId="16E6C111" w14:textId="77777777" w:rsidR="000D5962" w:rsidRPr="001A15AF" w:rsidRDefault="00D030A2">
      <w:pPr>
        <w:pStyle w:val="Listaconvietas"/>
        <w:spacing w:line="288" w:lineRule="auto"/>
        <w:jc w:val="both"/>
        <w:rPr>
          <w:lang w:val="es-BO"/>
          <w:sz w:val="24"/>
          <w:szCs w:val="24"/>
        </w:rPr>
      </w:pPr>
      <w:r w:rsidRPr="001A15AF">
        <w:rPr>
          <w:rFonts w:ascii="Century Gothic" w:eastAsia="Century Gothic" w:hAnsi="Century Gothic" w:cs="Century Gothic"/>
          <w:sz w:val="24"/>
          <w:lang w:val="es-BO"/>
          <w:szCs w:val="24"/>
        </w:rPr>
        <w:t>Los Parágrafos I y III del Artículo 321 de la CPE establecen que la administración económica y financiera del Estado y de todas las entidades públicas se rige por su presupuesto, y que el Órgano Ejecutivo presentará a la ALP, al menos dos meses antes de la finalización de cada año fiscal, el proyecto de ley del PGE para la siguiente gestión, que incluirá a todas las entidades del sector público.</w:t>
      </w:r>
    </w:p>
    <w:p w14:paraId="2D895A7B" w14:textId="77777777" w:rsidR="000D5962" w:rsidRPr="001A15AF" w:rsidRDefault="00D030A2">
      <w:pPr>
        <w:pStyle w:val="Listaconvietas"/>
        <w:spacing w:line="288" w:lineRule="auto"/>
        <w:jc w:val="both"/>
        <w:rPr>
          <w:lang w:val="es-BO"/>
          <w:sz w:val="24"/>
          <w:szCs w:val="24"/>
        </w:rPr>
      </w:pPr>
      <w:r w:rsidRPr="001A15AF">
        <w:rPr>
          <w:rFonts w:ascii="Century Gothic" w:eastAsia="Century Gothic" w:hAnsi="Century Gothic" w:cs="Century Gothic"/>
          <w:sz w:val="24"/>
          <w:lang w:val="es-BO"/>
          <w:szCs w:val="24"/>
        </w:rPr>
        <w:t>El Parágrafo III del Artículo 339 de la CPE determina que los ingresos del Estado se invertirán conforme con el Plan General de Desarrollo Económico y Social, el PGE y la ley; y el Parágrafo IV del Artículo 340 señala que el Órgano Ejecutivo nacional establecerá las normas para la elaboración y presentación de los proyectos de presupuesto de todo el sector público, incluidas las autonomías.</w:t>
      </w:r>
    </w:p>
    <w:p w14:paraId="0960E818" w14:textId="77777777" w:rsidR="000D5962" w:rsidRPr="001A15AF" w:rsidRDefault="00D030A2">
      <w:pPr>
        <w:spacing w:line="288" w:lineRule="auto"/>
        <w:jc w:val="both"/>
        <w:rPr>
          <w:lang w:val="es-BO"/>
          <w:sz w:val="24"/>
          <w:szCs w:val="24"/>
        </w:rPr>
      </w:pPr>
      <w:r w:rsidRPr="001A15AF">
        <w:rPr>
          <w:rFonts w:ascii="Century Gothic" w:eastAsia="Century Gothic" w:hAnsi="Century Gothic" w:cs="Century Gothic"/>
          <w:sz w:val="24"/>
          <w:lang w:val="es-BO"/>
          <w:szCs w:val="24"/>
        </w:rPr>
        <w:t>Otras disposiciones específicas:</w:t>
      </w:r>
    </w:p>
    <w:p w14:paraId="65B4982A" w14:textId="77777777" w:rsidR="000D5962" w:rsidRPr="001A15AF" w:rsidRDefault="00D030A2">
      <w:pPr>
        <w:pStyle w:val="Listaconvietas"/>
        <w:spacing w:line="288" w:lineRule="auto"/>
        <w:jc w:val="both"/>
        <w:rPr>
          <w:lang w:val="es-BO"/>
          <w:sz w:val="24"/>
          <w:szCs w:val="24"/>
        </w:rPr>
      </w:pPr>
      <w:r w:rsidRPr="001A15AF">
        <w:rPr>
          <w:rFonts w:ascii="Century Gothic" w:eastAsia="Century Gothic" w:hAnsi="Century Gothic" w:cs="Century Gothic"/>
          <w:sz w:val="24"/>
          <w:lang w:val="es-BO"/>
          <w:szCs w:val="24"/>
        </w:rPr>
        <w:t xml:space="preserve">Ley </w:t>
      </w:r>
      <w:proofErr w:type="spellStart"/>
      <w:r w:rsidRPr="001A15AF">
        <w:rPr>
          <w:rFonts w:ascii="Century Gothic" w:eastAsia="Century Gothic" w:hAnsi="Century Gothic" w:cs="Century Gothic"/>
          <w:sz w:val="24"/>
          <w:lang w:val="es-BO"/>
          <w:szCs w:val="24"/>
        </w:rPr>
        <w:t>N°</w:t>
      </w:r>
      <w:proofErr w:type="spellEnd"/>
      <w:r w:rsidRPr="001A15AF">
        <w:rPr>
          <w:rFonts w:ascii="Century Gothic" w:eastAsia="Century Gothic" w:hAnsi="Century Gothic" w:cs="Century Gothic"/>
          <w:sz w:val="24"/>
          <w:lang w:val="es-BO"/>
          <w:szCs w:val="24"/>
        </w:rPr>
        <w:t xml:space="preserve"> 2042, de 21 de diciembre de 1999, de Administración Presupuestaria, que establece las disposiciones específicas para la administración de los recursos públicos de cada gestión fiscal.</w:t>
      </w:r>
    </w:p>
    <w:p w14:paraId="5C3E6CFB" w14:textId="77777777" w:rsidR="000D5962" w:rsidRPr="001A15AF" w:rsidRDefault="00D030A2">
      <w:pPr>
        <w:pStyle w:val="Listaconvietas"/>
        <w:spacing w:line="288" w:lineRule="auto"/>
        <w:jc w:val="both"/>
        <w:rPr>
          <w:lang w:val="es-BO"/>
          <w:sz w:val="24"/>
          <w:szCs w:val="24"/>
        </w:rPr>
      </w:pPr>
      <w:r w:rsidRPr="001A15AF">
        <w:rPr>
          <w:rFonts w:ascii="Century Gothic" w:eastAsia="Century Gothic" w:hAnsi="Century Gothic" w:cs="Century Gothic"/>
          <w:sz w:val="24"/>
          <w:lang w:val="es-BO"/>
          <w:szCs w:val="24"/>
        </w:rPr>
        <w:t xml:space="preserve">Parágrafos I y II del Artículo 114 de la Ley </w:t>
      </w:r>
      <w:proofErr w:type="spellStart"/>
      <w:r w:rsidRPr="001A15AF">
        <w:rPr>
          <w:rFonts w:ascii="Century Gothic" w:eastAsia="Century Gothic" w:hAnsi="Century Gothic" w:cs="Century Gothic"/>
          <w:sz w:val="24"/>
          <w:lang w:val="es-BO"/>
          <w:szCs w:val="24"/>
        </w:rPr>
        <w:t>N°</w:t>
      </w:r>
      <w:proofErr w:type="spellEnd"/>
      <w:r w:rsidRPr="001A15AF">
        <w:rPr>
          <w:rFonts w:ascii="Century Gothic" w:eastAsia="Century Gothic" w:hAnsi="Century Gothic" w:cs="Century Gothic"/>
          <w:sz w:val="24"/>
          <w:lang w:val="es-BO"/>
          <w:szCs w:val="24"/>
        </w:rPr>
        <w:t xml:space="preserve"> 031, de 19 de julio de 2010, Marco de Autonomías y Descentralización "Andrés Ibáñez", que sujetan el proceso presupuestario de las Entidades Territoriales Autónomas (ETA) a las disposiciones legales, directrices y clasificador presupuestario emitidos por el nivel central del Estado.</w:t>
      </w:r>
    </w:p>
    <w:p w14:paraId="7EEE0012" w14:textId="77777777" w:rsidR="000D5962" w:rsidRPr="001A15AF" w:rsidRDefault="00D030A2">
      <w:pPr>
        <w:pStyle w:val="Listaconvietas"/>
        <w:spacing w:line="288" w:lineRule="auto"/>
        <w:jc w:val="both"/>
        <w:rPr>
          <w:lang w:val="es-BO"/>
          <w:sz w:val="24"/>
          <w:szCs w:val="24"/>
        </w:rPr>
      </w:pPr>
      <w:r w:rsidRPr="001A15AF">
        <w:rPr>
          <w:rFonts w:ascii="Century Gothic" w:eastAsia="Century Gothic" w:hAnsi="Century Gothic" w:cs="Century Gothic"/>
          <w:sz w:val="24"/>
          <w:lang w:val="es-BO"/>
          <w:szCs w:val="24"/>
        </w:rPr>
        <w:t xml:space="preserve">Artículo 14 del Anexo de las Normas Básicas del Sistema de Presupuesto, aprobadas mediante Resolución Suprema </w:t>
      </w:r>
      <w:proofErr w:type="spellStart"/>
      <w:r w:rsidRPr="001A15AF">
        <w:rPr>
          <w:rFonts w:ascii="Century Gothic" w:eastAsia="Century Gothic" w:hAnsi="Century Gothic" w:cs="Century Gothic"/>
          <w:sz w:val="24"/>
          <w:lang w:val="es-BO"/>
          <w:szCs w:val="24"/>
        </w:rPr>
        <w:t>N°</w:t>
      </w:r>
      <w:proofErr w:type="spellEnd"/>
      <w:r w:rsidRPr="001A15AF">
        <w:rPr>
          <w:rFonts w:ascii="Century Gothic" w:eastAsia="Century Gothic" w:hAnsi="Century Gothic" w:cs="Century Gothic"/>
          <w:sz w:val="24"/>
          <w:lang w:val="es-BO"/>
          <w:szCs w:val="24"/>
        </w:rPr>
        <w:t xml:space="preserve"> 225558, de 1 de diciembre de 2005, que faculta al Ministerio de Economía y Finanzas Públicas (MEFP) a establecer la política presupuestaria de cada gestión fiscal.</w:t>
      </w:r>
    </w:p>
    <w:p w14:paraId="0B85B957" w14:textId="4DD98BA1" w:rsidR="000D5962" w:rsidRPr="001A15AF" w:rsidRDefault="00D030A2">
      <w:pPr>
        <w:pStyle w:val="Listaconvietas"/>
        <w:spacing w:line="288" w:lineRule="auto"/>
        <w:jc w:val="both"/>
        <w:rPr>
          <w:lang w:val="es-BO"/>
          <w:sz w:val="24"/>
          <w:szCs w:val="24"/>
        </w:rPr>
      </w:pPr>
      <w:r w:rsidRPr="001A15AF">
        <w:rPr>
          <w:rFonts w:ascii="Century Gothic" w:eastAsia="Century Gothic" w:hAnsi="Century Gothic" w:cs="Century Gothic"/>
          <w:sz w:val="24"/>
          <w:lang w:val="es-BO"/>
          <w:szCs w:val="24"/>
        </w:rPr>
        <w:t xml:space="preserve">Las Directrices de Formulación Presupuestaria </w:t>
      </w:r>
      <w:r w:rsidR="001A15AF">
        <w:rPr>
          <w:rFonts w:ascii="Century Gothic" w:eastAsia="Century Gothic" w:hAnsi="Century Gothic" w:cs="Century Gothic"/>
          <w:sz w:val="24"/>
          <w:lang w:val="es-BO"/>
          <w:szCs w:val="24"/>
        </w:rPr>
        <w:t xml:space="preserve">y los Clasificadores Presupuestarios </w:t>
      </w:r>
      <w:r w:rsidRPr="001A15AF">
        <w:rPr>
          <w:rFonts w:ascii="Century Gothic" w:eastAsia="Century Gothic" w:hAnsi="Century Gothic" w:cs="Century Gothic"/>
          <w:sz w:val="24"/>
          <w:lang w:val="es-BO"/>
          <w:szCs w:val="24"/>
        </w:rPr>
        <w:t xml:space="preserve">para la gestión 2027, aprobadas mediante Resolución Ministerial </w:t>
      </w:r>
      <w:proofErr w:type="spellStart"/>
      <w:r w:rsidRPr="001A15AF">
        <w:rPr>
          <w:rFonts w:ascii="Century Gothic" w:eastAsia="Century Gothic" w:hAnsi="Century Gothic" w:cs="Century Gothic"/>
          <w:sz w:val="24"/>
          <w:lang w:val="es-BO"/>
          <w:szCs w:val="24"/>
        </w:rPr>
        <w:t>N°</w:t>
      </w:r>
      <w:proofErr w:type="spellEnd"/>
      <w:r w:rsidRPr="001A15AF">
        <w:rPr>
          <w:rFonts w:ascii="Century Gothic" w:eastAsia="Century Gothic" w:hAnsi="Century Gothic" w:cs="Century Gothic"/>
          <w:sz w:val="24"/>
          <w:lang w:val="es-BO"/>
          <w:szCs w:val="24"/>
        </w:rPr>
        <w:t xml:space="preserve"> </w:t>
      </w:r>
      <w:r w:rsidR="001A15AF">
        <w:rPr>
          <w:rFonts w:ascii="Century Gothic" w:eastAsia="Century Gothic" w:hAnsi="Century Gothic" w:cs="Century Gothic"/>
          <w:sz w:val="24"/>
          <w:lang w:val="es-BO"/>
          <w:szCs w:val="24"/>
        </w:rPr>
        <w:t>271</w:t>
      </w:r>
      <w:r w:rsidRPr="001A15AF">
        <w:rPr>
          <w:rFonts w:ascii="Century Gothic" w:eastAsia="Century Gothic" w:hAnsi="Century Gothic" w:cs="Century Gothic"/>
          <w:sz w:val="24"/>
          <w:lang w:val="es-BO"/>
          <w:szCs w:val="24"/>
        </w:rPr>
        <w:t xml:space="preserve">, de </w:t>
      </w:r>
      <w:r w:rsidR="001A15AF">
        <w:rPr>
          <w:rFonts w:ascii="Century Gothic" w:eastAsia="Century Gothic" w:hAnsi="Century Gothic" w:cs="Century Gothic"/>
          <w:sz w:val="24"/>
          <w:lang w:val="es-BO"/>
          <w:szCs w:val="24"/>
        </w:rPr>
        <w:t>31 de julio de 2026</w:t>
      </w:r>
      <w:r w:rsidRPr="001A15AF">
        <w:rPr>
          <w:rFonts w:ascii="Century Gothic" w:eastAsia="Century Gothic" w:hAnsi="Century Gothic" w:cs="Century Gothic"/>
          <w:sz w:val="24"/>
          <w:lang w:val="es-BO"/>
          <w:szCs w:val="24"/>
        </w:rPr>
        <w:t>, que establecen los instrumentos técnicos de gestión del presupuesto, de aplicación obligatoria para todas las entidades del sector público.</w:t>
      </w:r>
    </w:p>
    <w:bookmarkEnd w:id="0"/>
    <w:p w14:paraId="2423E964" w14:textId="77777777" w:rsidR="000D5962" w:rsidRDefault="00D030A2">
      <w:pPr>
        <w:pStyle w:val="Ttulo1"/>
        <w:spacing w:line="288" w:lineRule="auto"/>
        <w:rPr>
          <w:sz w:val="24"/>
          <w:szCs w:val="24"/>
        </w:rPr>
      </w:pPr>
      <w:r>
        <w:rPr>
          <w:rFonts w:ascii="Century Gothic" w:eastAsia="Century Gothic" w:hAnsi="Century Gothic" w:cs="Century Gothic"/>
          <w:sz w:val="24"/>
          <w:szCs w:val="24"/>
        </w:rPr>
        <w:t>2. COYUNTURA ECONÓMICA (MARCO)</w:t>
      </w:r>
    </w:p>
    <w:p w14:paraId="10BD704E" w14:textId="77777777" w:rsidR="000D5962" w:rsidRDefault="00D030A2">
      <w:pPr>
        <w:pStyle w:val="Ttulo2"/>
        <w:spacing w:line="288" w:lineRule="auto"/>
        <w:rPr>
          <w:sz w:val="24"/>
          <w:szCs w:val="24"/>
        </w:rPr>
      </w:pPr>
      <w:r>
        <w:rPr>
          <w:rFonts w:ascii="Century Gothic" w:eastAsia="Century Gothic" w:hAnsi="Century Gothic" w:cs="Century Gothic"/>
          <w:szCs w:val="24"/>
          <w:sz w:val="24"/>
        </w:rPr>
        <w:t>2.1. Contexto Internacional (MARCO)</w:t>
      </w:r>
    </w:p>
    <w:p w14:paraId="4E8A250B" w14:textId="7D875593" w:rsidR="000D5962" w:rsidRPr="001A15AF" w:rsidRDefault="00D030A2" w:rsidP="001A15AF">
      <w:pPr>
        <w:spacing w:line="288" w:lineRule="auto"/>
        <w:jc w:val="both"/>
        <w:rPr>
          <w:lang w:val="es-BO"/>
          <w:sz w:val="24"/>
          <w:szCs w:val="24"/>
        </w:rPr>
      </w:pPr>
      <w:r w:rsidRPr="001A15AF">
        <w:rPr>
          <w:rFonts w:ascii="Century Gothic" w:eastAsia="Century Gothic" w:hAnsi="Century Gothic" w:cs="Century Gothic"/>
          <w:sz w:val="24"/>
          <w:lang w:val="es-BO"/>
          <w:szCs w:val="24"/>
        </w:rPr>
        <w:t>Para 202</w:t>
      </w:r>
      <w:r w:rsidR="001A15AF">
        <w:rPr>
          <w:rFonts w:ascii="Century Gothic" w:eastAsia="Century Gothic" w:hAnsi="Century Gothic" w:cs="Century Gothic"/>
          <w:sz w:val="24"/>
          <w:lang w:val="es-BO"/>
          <w:szCs w:val="24"/>
        </w:rPr>
        <w:t>7</w:t>
      </w:r>
      <w:r w:rsidRPr="001A15AF">
        <w:rPr>
          <w:rFonts w:ascii="Century Gothic" w:eastAsia="Century Gothic" w:hAnsi="Century Gothic" w:cs="Century Gothic"/>
          <w:sz w:val="24"/>
          <w:lang w:val="es-BO"/>
          <w:szCs w:val="24"/>
        </w:rPr>
        <w:t>, el Fondo Monetario Internacional (FMI) estima un crecimiento de la economía mundial de 3,</w:t>
      </w:r>
      <w:r w:rsidR="001A15AF">
        <w:rPr>
          <w:rFonts w:ascii="Century Gothic" w:eastAsia="Century Gothic" w:hAnsi="Century Gothic" w:cs="Century Gothic"/>
          <w:sz w:val="24"/>
          <w:lang w:val="es-BO"/>
          <w:szCs w:val="24"/>
        </w:rPr>
        <w:t>4</w:t>
      </w:r>
      <w:r w:rsidRPr="001A15AF">
        <w:rPr>
          <w:rFonts w:ascii="Century Gothic" w:eastAsia="Century Gothic" w:hAnsi="Century Gothic" w:cs="Century Gothic"/>
          <w:sz w:val="24"/>
          <w:lang w:val="es-BO"/>
          <w:szCs w:val="24"/>
        </w:rPr>
        <w:t xml:space="preserve">% y el Banco Mundial (BM) de </w:t>
      </w:r>
      <w:r w:rsidR="001A15AF">
        <w:rPr>
          <w:rFonts w:ascii="Century Gothic" w:eastAsia="Century Gothic" w:hAnsi="Century Gothic" w:cs="Century Gothic"/>
          <w:sz w:val="24"/>
          <w:lang w:val="es-BO"/>
          <w:szCs w:val="24"/>
        </w:rPr>
        <w:t>2,8</w:t>
      </w:r>
      <w:r w:rsidRPr="001A15AF">
        <w:rPr>
          <w:rFonts w:ascii="Century Gothic" w:eastAsia="Century Gothic" w:hAnsi="Century Gothic" w:cs="Century Gothic"/>
          <w:sz w:val="24"/>
          <w:lang w:val="es-BO"/>
          <w:szCs w:val="24"/>
        </w:rPr>
        <w:t xml:space="preserve">%, por debajo de lo observado antes de la pandemia, en un entorno </w:t>
      </w:r>
      <w:r w:rsidR="001A15AF">
        <w:rPr>
          <w:rFonts w:ascii="Century Gothic" w:eastAsia="Century Gothic" w:hAnsi="Century Gothic" w:cs="Century Gothic"/>
          <w:sz w:val="24"/>
          <w:lang w:val="es-BO"/>
          <w:szCs w:val="24"/>
        </w:rPr>
        <w:t xml:space="preserve">dominado por </w:t>
      </w:r>
      <w:r w:rsidR="001A15AF" w:rsidRPr="001A15AF">
        <w:rPr>
          <w:rFonts w:ascii="Century Gothic" w:eastAsia="Century Gothic" w:hAnsi="Century Gothic" w:cs="Century Gothic"/>
          <w:sz w:val="24"/>
          <w:lang w:val="es-BO"/>
          <w:szCs w:val="24"/>
        </w:rPr>
        <w:t>el</w:t>
      </w:r>
      <w:r w:rsidR="001A15AF">
        <w:rPr>
          <w:rFonts w:ascii="Century Gothic" w:eastAsia="Century Gothic" w:hAnsi="Century Gothic" w:cs="Century Gothic"/>
          <w:sz w:val="24"/>
          <w:lang w:val="es-BO"/>
          <w:szCs w:val="24"/>
        </w:rPr>
        <w:t xml:space="preserve"> </w:t>
      </w:r>
      <w:r w:rsidR="001A15AF" w:rsidRPr="001A15AF">
        <w:rPr>
          <w:rFonts w:ascii="Century Gothic" w:eastAsia="Century Gothic" w:hAnsi="Century Gothic" w:cs="Century Gothic"/>
          <w:sz w:val="24"/>
          <w:lang w:val="es-BO"/>
          <w:szCs w:val="24"/>
        </w:rPr>
        <w:t xml:space="preserve">conflicto en Oriente Medio </w:t>
      </w:r>
      <w:r w:rsidR="001A15AF">
        <w:rPr>
          <w:rFonts w:ascii="Century Gothic" w:eastAsia="Century Gothic" w:hAnsi="Century Gothic" w:cs="Century Gothic"/>
          <w:sz w:val="24"/>
          <w:lang w:val="es-BO"/>
          <w:szCs w:val="24"/>
        </w:rPr>
        <w:t xml:space="preserve">que </w:t>
      </w:r>
      <w:r w:rsidR="001A15AF" w:rsidRPr="001A15AF">
        <w:rPr>
          <w:rFonts w:ascii="Century Gothic" w:eastAsia="Century Gothic" w:hAnsi="Century Gothic" w:cs="Century Gothic"/>
          <w:sz w:val="24"/>
          <w:lang w:val="es-BO"/>
          <w:szCs w:val="24"/>
        </w:rPr>
        <w:t>introdujo un shock energético y geopolítico de alcance mundial. Sin</w:t>
      </w:r>
      <w:r w:rsidR="001A15AF">
        <w:rPr>
          <w:rFonts w:ascii="Century Gothic" w:eastAsia="Century Gothic" w:hAnsi="Century Gothic" w:cs="Century Gothic"/>
          <w:sz w:val="24"/>
          <w:lang w:val="es-BO"/>
          <w:szCs w:val="24"/>
        </w:rPr>
        <w:t xml:space="preserve"> </w:t>
      </w:r>
      <w:r w:rsidR="001A15AF" w:rsidRPr="001A15AF">
        <w:rPr>
          <w:rFonts w:ascii="Century Gothic" w:eastAsia="Century Gothic" w:hAnsi="Century Gothic" w:cs="Century Gothic"/>
          <w:sz w:val="24"/>
          <w:lang w:val="es-BO"/>
          <w:szCs w:val="24"/>
        </w:rPr>
        <w:t>embargo, para mediados de este año, la economía internacional ha mostrado una capacidad de</w:t>
      </w:r>
      <w:r w:rsidR="001A15AF">
        <w:rPr>
          <w:rFonts w:ascii="Century Gothic" w:eastAsia="Century Gothic" w:hAnsi="Century Gothic" w:cs="Century Gothic"/>
          <w:sz w:val="24"/>
          <w:lang w:val="es-BO"/>
          <w:szCs w:val="24"/>
        </w:rPr>
        <w:t xml:space="preserve"> </w:t>
      </w:r>
      <w:r w:rsidR="001A15AF" w:rsidRPr="001A15AF">
        <w:rPr>
          <w:rFonts w:ascii="Century Gothic" w:eastAsia="Century Gothic" w:hAnsi="Century Gothic" w:cs="Century Gothic"/>
          <w:sz w:val="24"/>
          <w:lang w:val="es-BO"/>
          <w:szCs w:val="24"/>
        </w:rPr>
        <w:t>resistencia superior a la inicialmente esperada, aunque dicha resiliencia estaba acompañada por</w:t>
      </w:r>
      <w:r w:rsidR="001A15AF">
        <w:rPr>
          <w:rFonts w:ascii="Century Gothic" w:eastAsia="Century Gothic" w:hAnsi="Century Gothic" w:cs="Century Gothic"/>
          <w:sz w:val="24"/>
          <w:lang w:val="es-BO"/>
          <w:szCs w:val="24"/>
        </w:rPr>
        <w:t xml:space="preserve"> </w:t>
      </w:r>
      <w:r w:rsidR="001A15AF" w:rsidRPr="001A15AF">
        <w:rPr>
          <w:rFonts w:ascii="Century Gothic" w:eastAsia="Century Gothic" w:hAnsi="Century Gothic" w:cs="Century Gothic"/>
          <w:sz w:val="24"/>
          <w:lang w:val="es-BO"/>
          <w:szCs w:val="24"/>
        </w:rPr>
        <w:t>una creciente diferenciación entre países según su exposición energética y su integración en las</w:t>
      </w:r>
      <w:r w:rsidR="001A15AF">
        <w:rPr>
          <w:rFonts w:ascii="Century Gothic" w:eastAsia="Century Gothic" w:hAnsi="Century Gothic" w:cs="Century Gothic"/>
          <w:sz w:val="24"/>
          <w:lang w:val="es-BO"/>
          <w:szCs w:val="24"/>
        </w:rPr>
        <w:t xml:space="preserve"> </w:t>
      </w:r>
      <w:r w:rsidR="001A15AF" w:rsidRPr="001A15AF">
        <w:rPr>
          <w:rFonts w:ascii="Century Gothic" w:eastAsia="Century Gothic" w:hAnsi="Century Gothic" w:cs="Century Gothic"/>
          <w:sz w:val="24"/>
          <w:lang w:val="es-BO"/>
          <w:szCs w:val="24"/>
        </w:rPr>
        <w:t>cadenas mundiales de tecnología e inteligencia artificial</w:t>
      </w:r>
      <w:r w:rsidRPr="001A15AF">
        <w:rPr>
          <w:rFonts w:ascii="Century Gothic" w:eastAsia="Century Gothic" w:hAnsi="Century Gothic" w:cs="Century Gothic"/>
          <w:sz w:val="24"/>
          <w:lang w:val="es-BO"/>
          <w:szCs w:val="24"/>
        </w:rPr>
        <w:t xml:space="preserve"> (Gráfico </w:t>
      </w:r>
      <w:proofErr w:type="spellStart"/>
      <w:r w:rsidRPr="001A15AF">
        <w:rPr>
          <w:rFonts w:ascii="Century Gothic" w:eastAsia="Century Gothic" w:hAnsi="Century Gothic" w:cs="Century Gothic"/>
          <w:sz w:val="24"/>
          <w:lang w:val="es-BO"/>
          <w:szCs w:val="24"/>
        </w:rPr>
        <w:t>N°</w:t>
      </w:r>
      <w:proofErr w:type="spellEnd"/>
      <w:r w:rsidRPr="001A15AF">
        <w:rPr>
          <w:rFonts w:ascii="Century Gothic" w:eastAsia="Century Gothic" w:hAnsi="Century Gothic" w:cs="Century Gothic"/>
          <w:sz w:val="24"/>
          <w:lang w:val="es-BO"/>
          <w:szCs w:val="24"/>
        </w:rPr>
        <w:t xml:space="preserve"> 1).</w:t>
      </w:r>
    </w:p>
    <w:p w14:paraId="4A9345A0" w14:textId="77777777" w:rsidR="00485B3A" w:rsidRDefault="00D030A2">
      <w:pPr>
        <w:keepNext/>
        <w:spacing w:after="0" w:line="288" w:lineRule="auto"/>
        <w:jc w:val="center"/>
        <w:rPr>
          <w:rFonts w:ascii="Century Gothic" w:eastAsia="Century Gothic" w:hAnsi="Century Gothic" w:cs="Century Gothic"/>
          <w:b/>
          <w:sz w:val="24"/>
          <w:lang w:val="es-BO"/>
          <w:szCs w:val="24"/>
        </w:rPr>
      </w:pPr>
      <w:r w:rsidRPr="001A15AF">
        <w:rPr>
          <w:rFonts w:ascii="Century Gothic" w:eastAsia="Century Gothic" w:hAnsi="Century Gothic" w:cs="Century Gothic"/>
          <w:b/>
          <w:sz w:val="24"/>
          <w:lang w:val="es-BO"/>
          <w:szCs w:val="24"/>
        </w:rPr>
        <w:lastRenderedPageBreak/>
        <w:t xml:space="preserve">Gráfico </w:t>
      </w:r>
      <w:proofErr w:type="spellStart"/>
      <w:r w:rsidRPr="001A15AF">
        <w:rPr>
          <w:rFonts w:ascii="Century Gothic" w:eastAsia="Century Gothic" w:hAnsi="Century Gothic" w:cs="Century Gothic"/>
          <w:b/>
          <w:sz w:val="24"/>
          <w:lang w:val="es-BO"/>
          <w:szCs w:val="24"/>
        </w:rPr>
        <w:t>N°</w:t>
      </w:r>
      <w:proofErr w:type="spellEnd"/>
      <w:r w:rsidRPr="001A15AF">
        <w:rPr>
          <w:rFonts w:ascii="Century Gothic" w:eastAsia="Century Gothic" w:hAnsi="Century Gothic" w:cs="Century Gothic"/>
          <w:b/>
          <w:sz w:val="24"/>
          <w:lang w:val="es-BO"/>
          <w:szCs w:val="24"/>
        </w:rPr>
        <w:t xml:space="preserve"> 1: </w:t>
      </w:r>
      <w:r w:rsidR="00A423C4">
        <w:rPr>
          <w:rFonts w:ascii="Century Gothic" w:eastAsia="Century Gothic" w:hAnsi="Century Gothic" w:cs="Century Gothic"/>
          <w:b/>
          <w:sz w:val="24"/>
          <w:lang w:val="es-BO"/>
          <w:szCs w:val="24"/>
        </w:rPr>
        <w:t>C</w:t>
      </w:r>
      <w:r w:rsidRPr="001A15AF">
        <w:rPr>
          <w:rFonts w:ascii="Century Gothic" w:eastAsia="Century Gothic" w:hAnsi="Century Gothic" w:cs="Century Gothic"/>
          <w:b/>
          <w:sz w:val="24"/>
          <w:lang w:val="es-BO"/>
          <w:szCs w:val="24"/>
        </w:rPr>
        <w:t>recimiento económico mundial</w:t>
      </w:r>
    </w:p>
    <w:p w14:paraId="24BC067E" w14:textId="79D3B9FE" w:rsidR="000D5962" w:rsidRPr="001A15AF" w:rsidRDefault="00D030A2">
      <w:pPr>
        <w:keepNext/>
        <w:spacing w:after="0" w:line="288" w:lineRule="auto"/>
        <w:jc w:val="center"/>
        <w:rPr>
          <w:lang w:val="es-BO"/>
          <w:sz w:val="24"/>
          <w:szCs w:val="24"/>
        </w:rPr>
      </w:pPr>
      <w:r w:rsidRPr="001A15AF">
        <w:rPr>
          <w:rFonts w:ascii="Century Gothic" w:eastAsia="Century Gothic" w:hAnsi="Century Gothic" w:cs="Century Gothic"/>
          <w:b/>
          <w:sz w:val="24"/>
          <w:lang w:val="es-BO"/>
          <w:szCs w:val="24"/>
        </w:rPr>
        <w:t>2024 – 2027(</w:t>
      </w:r>
      <w:r w:rsidR="00765695">
        <w:rPr>
          <w:rFonts w:ascii="Century Gothic" w:eastAsia="Century Gothic" w:hAnsi="Century Gothic" w:cs="Century Gothic"/>
          <w:b/>
          <w:sz w:val="24"/>
          <w:lang w:val="es-BO"/>
          <w:szCs w:val="24"/>
        </w:rPr>
        <w:t>p</w:t>
      </w:r>
      <w:r w:rsidRPr="001A15AF">
        <w:rPr>
          <w:rFonts w:ascii="Century Gothic" w:eastAsia="Century Gothic" w:hAnsi="Century Gothic" w:cs="Century Gothic"/>
          <w:b/>
          <w:sz w:val="24"/>
          <w:lang w:val="es-BO"/>
          <w:szCs w:val="24"/>
        </w:rPr>
        <w:t>)</w:t>
      </w:r>
    </w:p>
    <w:p w14:paraId="5C51CE0A" w14:textId="77777777" w:rsidR="000D5962" w:rsidRPr="00765695" w:rsidRDefault="00D030A2">
      <w:pPr>
        <w:keepNext/>
        <w:spacing w:after="40" w:line="288" w:lineRule="auto"/>
        <w:jc w:val="center"/>
        <w:rPr>
          <w:lang w:val="es-BO"/>
          <w:sz w:val="24"/>
          <w:szCs w:val="24"/>
        </w:rPr>
      </w:pPr>
      <w:r w:rsidRPr="00765695">
        <w:rPr>
          <w:rFonts w:ascii="Century Gothic" w:eastAsia="Century Gothic" w:hAnsi="Century Gothic" w:cs="Century Gothic"/>
          <w:i/>
          <w:sz w:val="24"/>
          <w:lang w:val="es-BO"/>
          <w:szCs w:val="24"/>
        </w:rPr>
        <w:t>(En porcentaje)</w:t>
      </w:r>
    </w:p>
    <w:p w14:paraId="495A2D4C" w14:textId="19B57C1C" w:rsidR="000D5962" w:rsidRPr="00765695" w:rsidRDefault="00765695">
      <w:pPr>
        <w:keepNext/>
        <w:jc w:val="center"/>
        <w:rPr>
          <w:lang w:val="es-BO"/>
          <w:sz w:val="24"/>
          <w:szCs w:val="24"/>
        </w:rPr>
      </w:pPr>
      <w:r w:rsidRPr="00765695">
        <w:rPr>
          <w:noProof/>
        </w:rPr>
        <w:drawing>
          <wp:inline distT="0" distB="0" distL="0" distR="0" wp14:anchorId="3866E085" wp14:editId="4FED96F2">
            <wp:extent cx="5238750" cy="362199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41974" cy="3624224"/>
                    </a:xfrm>
                    <a:prstGeom prst="rect">
                      <a:avLst/>
                    </a:prstGeom>
                    <a:noFill/>
                    <a:ln>
                      <a:noFill/>
                    </a:ln>
                  </pic:spPr>
                </pic:pic>
              </a:graphicData>
            </a:graphic>
          </wp:inline>
        </w:drawing>
      </w:r>
    </w:p>
    <w:p w14:paraId="2388AA62" w14:textId="1249168B" w:rsidR="000D5962" w:rsidRPr="00765695" w:rsidRDefault="00D030A2">
      <w:pPr>
        <w:spacing w:after="0" w:line="240" w:lineRule="auto" w:before="0"/>
        <w:rPr>
          <w:bCs/>
          <w:lang w:val="es-BO"/>
          <w:sz w:val="16"/>
          <w:szCs w:val="16"/>
        </w:rPr>
      </w:pPr>
      <w:r w:rsidRPr="001A15AF">
        <w:rPr>
          <w:rFonts w:ascii="Century Gothic" w:eastAsia="Century Gothic" w:hAnsi="Century Gothic" w:cs="Century Gothic"/>
          <w:b/>
          <w:sz w:val="16"/>
          <w:szCs w:val="16"/>
          <w:lang w:val="es-BO"/>
        </w:rPr>
        <w:t>Fuente:</w:t>
      </w:r>
      <w:r w:rsidRPr="00765695">
        <w:rPr>
          <w:rFonts w:ascii="Century Gothic" w:eastAsia="Century Gothic" w:hAnsi="Century Gothic" w:cs="Century Gothic"/>
          <w:sz w:val="16"/>
          <w:szCs w:val="16"/>
          <w:lang w:val="es-BO"/>
        </w:rPr>
        <w:t xml:space="preserve"> </w:t>
      </w:r>
      <w:r w:rsidR="00765695">
        <w:rPr>
          <w:rFonts w:ascii="Century Gothic" w:eastAsia="Century Gothic" w:hAnsi="Century Gothic" w:cs="Century Gothic"/>
          <w:sz w:val="16"/>
          <w:szCs w:val="16"/>
          <w:lang w:val="es-BO"/>
        </w:rPr>
        <w:t xml:space="preserve">Banco Mundial, </w:t>
      </w:r>
      <w:r w:rsidR="00765695" w:rsidRPr="00765695">
        <w:rPr>
          <w:rFonts w:ascii="Century Gothic" w:eastAsia="Century Gothic" w:hAnsi="Century Gothic" w:cs="Century Gothic"/>
          <w:sz w:val="16"/>
          <w:szCs w:val="16"/>
          <w:lang w:val="es-BO"/>
        </w:rPr>
        <w:t>Fondo Monetario Internacional</w:t>
      </w:r>
    </w:p>
    <w:p w14:paraId="4CFD290C" w14:textId="77777777" w:rsidR="000D5962" w:rsidRPr="001A15AF" w:rsidRDefault="00D030A2">
      <w:pPr>
        <w:spacing w:after="0" w:line="240" w:lineRule="auto" w:before="0"/>
        <w:rPr>
          <w:lang w:val="es-BO"/>
          <w:sz w:val="16"/>
          <w:szCs w:val="16"/>
        </w:rPr>
      </w:pPr>
      <w:r w:rsidRPr="001A15AF">
        <w:rPr>
          <w:rFonts w:ascii="Century Gothic" w:eastAsia="Century Gothic" w:hAnsi="Century Gothic" w:cs="Century Gothic"/>
          <w:b/>
          <w:sz w:val="16"/>
          <w:szCs w:val="16"/>
          <w:lang w:val="es-BO"/>
        </w:rPr>
        <w:t xml:space="preserve">Elaboración: </w:t>
      </w:r>
      <w:r w:rsidRPr="001A15AF">
        <w:rPr>
          <w:rFonts w:ascii="Century Gothic" w:eastAsia="Century Gothic" w:hAnsi="Century Gothic" w:cs="Century Gothic"/>
          <w:sz w:val="16"/>
          <w:szCs w:val="16"/>
          <w:lang w:val="es-BO"/>
        </w:rPr>
        <w:t>MEFP-VPCF-DGPGP-UGPPP</w:t>
      </w:r>
    </w:p>
    <w:p w14:paraId="271C9B16" w14:textId="1EE9CA60" w:rsidR="000D5962" w:rsidRDefault="00D030A2">
      <w:pPr>
        <w:spacing w:after="0" w:line="240" w:lineRule="auto" w:before="0"/>
        <w:rPr>
          <w:rFonts w:ascii="Century Gothic" w:eastAsia="Century Gothic" w:hAnsi="Century Gothic" w:cs="Century Gothic"/>
          <w:sz w:val="16"/>
          <w:szCs w:val="16"/>
          <w:lang w:val="es-BO"/>
        </w:rPr>
      </w:pPr>
      <w:r w:rsidRPr="001A15AF">
        <w:rPr>
          <w:rFonts w:ascii="Century Gothic" w:eastAsia="Century Gothic" w:hAnsi="Century Gothic" w:cs="Century Gothic"/>
          <w:sz w:val="16"/>
          <w:szCs w:val="16"/>
          <w:lang w:val="es-BO"/>
        </w:rPr>
        <w:t>(e) Estimado</w:t>
      </w:r>
    </w:p>
    <w:p w14:paraId="79C46709" w14:textId="09766ABF" w:rsidR="00765695" w:rsidRPr="001A15AF" w:rsidRDefault="00765695">
      <w:pPr>
        <w:spacing w:after="0" w:line="240" w:lineRule="auto" w:before="0"/>
        <w:rPr>
          <w:lang w:val="es-BO"/>
          <w:sz w:val="16"/>
          <w:szCs w:val="16"/>
        </w:rPr>
      </w:pPr>
      <w:r>
        <w:rPr>
          <w:rFonts w:ascii="Century Gothic" w:eastAsia="Century Gothic" w:hAnsi="Century Gothic" w:cs="Century Gothic"/>
          <w:sz w:val="16"/>
          <w:szCs w:val="16"/>
          <w:lang w:val="es-BO"/>
        </w:rPr>
        <w:t>(p) Proyectado</w:t>
      </w:r>
    </w:p>
    <w:bookmarkEnd w:id="1"/>
    <w:p w14:paraId="0F7659C9" w14:textId="77777777" w:rsidR="000D5962" w:rsidRDefault="000D5962">
      <w:pPr>
        <w:spacing w:after="40"/>
        <w:rPr>
          <w:sz w:val="24"/>
          <w:szCs w:val="24"/>
        </w:rPr>
      </w:pPr>
    </w:p>
    <w:p w14:paraId="4A5F2FBD" w14:textId="77777777" w:rsidR="000D5962" w:rsidRDefault="00D030A2">
      <w:pPr>
        <w:pStyle w:val="Ttulo2"/>
        <w:spacing w:line="288" w:lineRule="auto"/>
        <w:rPr>
          <w:sz w:val="24"/>
          <w:szCs w:val="24"/>
        </w:rPr>
      </w:pPr>
      <w:r>
        <w:rPr>
          <w:rFonts w:ascii="Century Gothic" w:eastAsia="Century Gothic" w:hAnsi="Century Gothic" w:cs="Century Gothic"/>
          <w:szCs w:val="24"/>
          <w:sz w:val="24"/>
        </w:rPr>
        <w:t>2.2. Contexto en América Latina y el Caribe (MARCO)</w:t>
      </w:r>
    </w:p>
    <w:p w14:paraId="40B73695" w14:textId="064E0F11" w:rsidR="000D5962" w:rsidRDefault="00D030A2">
      <w:pPr>
        <w:spacing w:line="288" w:lineRule="auto"/>
        <w:jc w:val="both"/>
        <w:rPr>
          <w:rFonts w:ascii="Century Gothic" w:eastAsia="Century Gothic" w:hAnsi="Century Gothic" w:cs="Century Gothic"/>
          <w:sz w:val="24"/>
          <w:lang w:val="es-BO"/>
          <w:szCs w:val="24"/>
        </w:rPr>
      </w:pPr>
      <w:r w:rsidRPr="001A15AF">
        <w:rPr>
          <w:rFonts w:ascii="Century Gothic" w:eastAsia="Century Gothic" w:hAnsi="Century Gothic" w:cs="Century Gothic"/>
          <w:sz w:val="24"/>
          <w:lang w:val="es-BO"/>
          <w:szCs w:val="24"/>
        </w:rPr>
        <w:t>América Latina y el Caribe mantendría un crecimiento moderado en 202</w:t>
      </w:r>
      <w:r w:rsidR="00765695">
        <w:rPr>
          <w:rFonts w:ascii="Century Gothic" w:eastAsia="Century Gothic" w:hAnsi="Century Gothic" w:cs="Century Gothic"/>
          <w:sz w:val="24"/>
          <w:lang w:val="es-BO"/>
          <w:szCs w:val="24"/>
        </w:rPr>
        <w:t>7</w:t>
      </w:r>
      <w:r w:rsidRPr="001A15AF">
        <w:rPr>
          <w:rFonts w:ascii="Century Gothic" w:eastAsia="Century Gothic" w:hAnsi="Century Gothic" w:cs="Century Gothic"/>
          <w:sz w:val="24"/>
          <w:lang w:val="es-BO"/>
          <w:szCs w:val="24"/>
        </w:rPr>
        <w:t>, de 2,</w:t>
      </w:r>
      <w:r w:rsidR="00765695">
        <w:rPr>
          <w:rFonts w:ascii="Century Gothic" w:eastAsia="Century Gothic" w:hAnsi="Century Gothic" w:cs="Century Gothic"/>
          <w:sz w:val="24"/>
          <w:lang w:val="es-BO"/>
          <w:szCs w:val="24"/>
        </w:rPr>
        <w:t>5</w:t>
      </w:r>
      <w:r w:rsidRPr="001A15AF">
        <w:rPr>
          <w:rFonts w:ascii="Century Gothic" w:eastAsia="Century Gothic" w:hAnsi="Century Gothic" w:cs="Century Gothic"/>
          <w:sz w:val="24"/>
          <w:lang w:val="es-BO"/>
          <w:szCs w:val="24"/>
        </w:rPr>
        <w:t xml:space="preserve">% según el FMI, el BM y la Comisión Económica para América Latina y el Caribe (CEPAL), </w:t>
      </w:r>
      <w:r w:rsidR="00765695">
        <w:rPr>
          <w:rFonts w:ascii="Century Gothic" w:eastAsia="Century Gothic" w:hAnsi="Century Gothic" w:cs="Century Gothic"/>
          <w:sz w:val="24"/>
          <w:lang w:val="es-BO"/>
          <w:szCs w:val="24"/>
        </w:rPr>
        <w:t xml:space="preserve">a causa del </w:t>
      </w:r>
      <w:r w:rsidR="00765695" w:rsidRPr="00765695">
        <w:rPr>
          <w:rFonts w:ascii="Century Gothic" w:eastAsia="Century Gothic" w:hAnsi="Century Gothic" w:cs="Century Gothic"/>
          <w:sz w:val="24"/>
          <w:lang w:val="es-BO"/>
          <w:szCs w:val="24"/>
        </w:rPr>
        <w:t>deterioro del entorno internacional</w:t>
      </w:r>
      <w:r w:rsidR="00765695">
        <w:rPr>
          <w:rFonts w:ascii="Century Gothic" w:eastAsia="Century Gothic" w:hAnsi="Century Gothic" w:cs="Century Gothic"/>
          <w:sz w:val="24"/>
          <w:lang w:val="es-BO"/>
          <w:szCs w:val="24"/>
        </w:rPr>
        <w:t xml:space="preserve">, </w:t>
      </w:r>
      <w:r w:rsidR="00765695" w:rsidRPr="00765695">
        <w:rPr>
          <w:rFonts w:ascii="Century Gothic" w:eastAsia="Century Gothic" w:hAnsi="Century Gothic" w:cs="Century Gothic"/>
          <w:sz w:val="24"/>
          <w:lang w:val="es-BO"/>
          <w:szCs w:val="24"/>
        </w:rPr>
        <w:t xml:space="preserve">pero </w:t>
      </w:r>
      <w:r w:rsidR="00765695">
        <w:rPr>
          <w:rFonts w:ascii="Century Gothic" w:eastAsia="Century Gothic" w:hAnsi="Century Gothic" w:cs="Century Gothic"/>
          <w:sz w:val="24"/>
          <w:lang w:val="es-BO"/>
          <w:szCs w:val="24"/>
        </w:rPr>
        <w:t xml:space="preserve">que </w:t>
      </w:r>
      <w:r w:rsidR="00765695" w:rsidRPr="00765695">
        <w:rPr>
          <w:rFonts w:ascii="Century Gothic" w:eastAsia="Century Gothic" w:hAnsi="Century Gothic" w:cs="Century Gothic"/>
          <w:sz w:val="24"/>
          <w:lang w:val="es-BO"/>
          <w:szCs w:val="24"/>
        </w:rPr>
        <w:t>no constituye la principal limitación estructural: la baja inversión, el escaso crecimiento de la productividad y la elevada informalidad</w:t>
      </w:r>
      <w:r w:rsidR="00765695">
        <w:rPr>
          <w:rFonts w:ascii="Century Gothic" w:eastAsia="Century Gothic" w:hAnsi="Century Gothic" w:cs="Century Gothic"/>
          <w:sz w:val="24"/>
          <w:lang w:val="es-BO"/>
          <w:szCs w:val="24"/>
        </w:rPr>
        <w:t xml:space="preserve">, que </w:t>
      </w:r>
      <w:r w:rsidR="00765695" w:rsidRPr="00765695">
        <w:rPr>
          <w:rFonts w:ascii="Century Gothic" w:eastAsia="Century Gothic" w:hAnsi="Century Gothic" w:cs="Century Gothic"/>
          <w:sz w:val="24"/>
          <w:lang w:val="es-BO"/>
          <w:szCs w:val="24"/>
        </w:rPr>
        <w:t>continúan restringiendo la capacidad de crecimiento.</w:t>
      </w:r>
      <w:r w:rsidR="00765695">
        <w:rPr>
          <w:rFonts w:ascii="Century Gothic" w:eastAsia="Century Gothic" w:hAnsi="Century Gothic" w:cs="Century Gothic"/>
          <w:sz w:val="24"/>
          <w:lang w:val="es-BO"/>
          <w:szCs w:val="24"/>
        </w:rPr>
        <w:t xml:space="preserve"> No obstante, se debe tener en cuenta que el</w:t>
      </w:r>
      <w:r w:rsidR="00765695" w:rsidRPr="00765695">
        <w:rPr>
          <w:rFonts w:ascii="Century Gothic" w:eastAsia="Century Gothic" w:hAnsi="Century Gothic" w:cs="Century Gothic"/>
          <w:sz w:val="24"/>
          <w:lang w:val="es-BO"/>
          <w:szCs w:val="24"/>
        </w:rPr>
        <w:t xml:space="preserve"> desempeño regional es heterogéneo debido a las diferencias en exposición a las materias primas, estructura de deuda, condiciones monetarias y posición energética. Así, el efecto de la guerra en Oriente Medio era considerado heterogéneo, con impactos particularmente negativos sobre las economías más pequeñas </w:t>
      </w:r>
      <w:r w:rsidRPr="001A15AF">
        <w:rPr>
          <w:rFonts w:ascii="Century Gothic" w:eastAsia="Century Gothic" w:hAnsi="Century Gothic" w:cs="Century Gothic"/>
          <w:sz w:val="24"/>
          <w:lang w:val="es-BO"/>
          <w:szCs w:val="24"/>
        </w:rPr>
        <w:t xml:space="preserve">(Gráfico </w:t>
      </w:r>
      <w:proofErr w:type="spellStart"/>
      <w:r w:rsidRPr="001A15AF">
        <w:rPr>
          <w:rFonts w:ascii="Century Gothic" w:eastAsia="Century Gothic" w:hAnsi="Century Gothic" w:cs="Century Gothic"/>
          <w:sz w:val="24"/>
          <w:lang w:val="es-BO"/>
          <w:szCs w:val="24"/>
        </w:rPr>
        <w:t>N°</w:t>
      </w:r>
      <w:proofErr w:type="spellEnd"/>
      <w:r w:rsidRPr="001A15AF">
        <w:rPr>
          <w:rFonts w:ascii="Century Gothic" w:eastAsia="Century Gothic" w:hAnsi="Century Gothic" w:cs="Century Gothic"/>
          <w:sz w:val="24"/>
          <w:lang w:val="es-BO"/>
          <w:szCs w:val="24"/>
        </w:rPr>
        <w:t xml:space="preserve"> 2).</w:t>
      </w:r>
    </w:p>
    <w:p w14:paraId="3256DF51" w14:textId="77777777" w:rsidR="00485B3A" w:rsidRDefault="00485B3A">
      <w:pPr>
        <w:spacing w:line="288" w:lineRule="auto"/>
        <w:jc w:val="both"/>
        <w:rPr>
          <w:rFonts w:ascii="Century Gothic" w:eastAsia="Century Gothic" w:hAnsi="Century Gothic" w:cs="Century Gothic"/>
          <w:sz w:val="24"/>
          <w:lang w:val="es-BO"/>
          <w:szCs w:val="24"/>
        </w:rPr>
      </w:pPr>
    </w:p>
    <w:p w14:paraId="699F6D40" w14:textId="77777777" w:rsidR="00485B3A" w:rsidRDefault="00D030A2">
      <w:pPr>
        <w:keepNext/>
        <w:spacing w:after="0" w:line="288" w:lineRule="auto"/>
        <w:jc w:val="center"/>
        <w:rPr>
          <w:rFonts w:ascii="Century Gothic" w:eastAsia="Century Gothic" w:hAnsi="Century Gothic" w:cs="Century Gothic"/>
          <w:b/>
          <w:sz w:val="24"/>
          <w:lang w:val="es-BO"/>
          <w:szCs w:val="24"/>
        </w:rPr>
      </w:pPr>
      <w:r w:rsidRPr="001A15AF">
        <w:rPr>
          <w:rFonts w:ascii="Century Gothic" w:eastAsia="Century Gothic" w:hAnsi="Century Gothic" w:cs="Century Gothic"/>
          <w:b/>
          <w:sz w:val="24"/>
          <w:lang w:val="es-BO"/>
          <w:szCs w:val="24"/>
        </w:rPr>
        <w:t xml:space="preserve">Gráfico </w:t>
      </w:r>
      <w:proofErr w:type="spellStart"/>
      <w:r w:rsidRPr="001A15AF">
        <w:rPr>
          <w:rFonts w:ascii="Century Gothic" w:eastAsia="Century Gothic" w:hAnsi="Century Gothic" w:cs="Century Gothic"/>
          <w:b/>
          <w:sz w:val="24"/>
          <w:lang w:val="es-BO"/>
          <w:szCs w:val="24"/>
        </w:rPr>
        <w:t>N°</w:t>
      </w:r>
      <w:proofErr w:type="spellEnd"/>
      <w:r w:rsidRPr="001A15AF">
        <w:rPr>
          <w:rFonts w:ascii="Century Gothic" w:eastAsia="Century Gothic" w:hAnsi="Century Gothic" w:cs="Century Gothic"/>
          <w:b/>
          <w:sz w:val="24"/>
          <w:lang w:val="es-BO"/>
          <w:szCs w:val="24"/>
        </w:rPr>
        <w:t xml:space="preserve"> 2: </w:t>
      </w:r>
      <w:r w:rsidR="00A423C4">
        <w:rPr>
          <w:rFonts w:ascii="Century Gothic" w:eastAsia="Century Gothic" w:hAnsi="Century Gothic" w:cs="Century Gothic"/>
          <w:b/>
          <w:sz w:val="24"/>
          <w:lang w:val="es-BO"/>
          <w:szCs w:val="24"/>
        </w:rPr>
        <w:t>C</w:t>
      </w:r>
      <w:r w:rsidRPr="001A15AF">
        <w:rPr>
          <w:rFonts w:ascii="Century Gothic" w:eastAsia="Century Gothic" w:hAnsi="Century Gothic" w:cs="Century Gothic"/>
          <w:b/>
          <w:sz w:val="24"/>
          <w:lang w:val="es-BO"/>
          <w:szCs w:val="24"/>
        </w:rPr>
        <w:t>recimiento económico de América Latina y el Caribe</w:t>
      </w:r>
    </w:p>
    <w:p w14:paraId="4FB5D290" w14:textId="5598CA0A" w:rsidR="000D5962" w:rsidRPr="001A15AF" w:rsidRDefault="00D030A2">
      <w:pPr>
        <w:keepNext/>
        <w:spacing w:after="0" w:line="288" w:lineRule="auto"/>
        <w:jc w:val="center"/>
        <w:rPr>
          <w:lang w:val="es-BO"/>
          <w:sz w:val="24"/>
          <w:szCs w:val="24"/>
        </w:rPr>
      </w:pPr>
      <w:r w:rsidRPr="001A15AF">
        <w:rPr>
          <w:rFonts w:ascii="Century Gothic" w:eastAsia="Century Gothic" w:hAnsi="Century Gothic" w:cs="Century Gothic"/>
          <w:b/>
          <w:sz w:val="24"/>
          <w:lang w:val="es-BO"/>
          <w:szCs w:val="24"/>
        </w:rPr>
        <w:t>202</w:t>
      </w:r>
      <w:r w:rsidR="00485B3A">
        <w:rPr>
          <w:rFonts w:ascii="Century Gothic" w:eastAsia="Century Gothic" w:hAnsi="Century Gothic" w:cs="Century Gothic"/>
          <w:b/>
          <w:sz w:val="24"/>
          <w:lang w:val="es-BO"/>
          <w:szCs w:val="24"/>
        </w:rPr>
        <w:t>4</w:t>
      </w:r>
      <w:r w:rsidRPr="001A15AF">
        <w:rPr>
          <w:rFonts w:ascii="Century Gothic" w:eastAsia="Century Gothic" w:hAnsi="Century Gothic" w:cs="Century Gothic"/>
          <w:b/>
          <w:sz w:val="24"/>
          <w:lang w:val="es-BO"/>
          <w:szCs w:val="24"/>
        </w:rPr>
        <w:t xml:space="preserve"> – 2027(</w:t>
      </w:r>
      <w:r w:rsidR="00A423C4">
        <w:rPr>
          <w:rFonts w:ascii="Century Gothic" w:eastAsia="Century Gothic" w:hAnsi="Century Gothic" w:cs="Century Gothic"/>
          <w:b/>
          <w:sz w:val="24"/>
          <w:lang w:val="es-BO"/>
          <w:szCs w:val="24"/>
        </w:rPr>
        <w:t>p</w:t>
      </w:r>
      <w:r w:rsidRPr="001A15AF">
        <w:rPr>
          <w:rFonts w:ascii="Century Gothic" w:eastAsia="Century Gothic" w:hAnsi="Century Gothic" w:cs="Century Gothic"/>
          <w:b/>
          <w:sz w:val="24"/>
          <w:lang w:val="es-BO"/>
          <w:szCs w:val="24"/>
        </w:rPr>
        <w:t>)</w:t>
      </w:r>
    </w:p>
    <w:p w14:paraId="0D5BAF63" w14:textId="77777777" w:rsidR="000D5962" w:rsidRDefault="00D030A2">
      <w:pPr>
        <w:keepNext/>
        <w:spacing w:after="40" w:line="288" w:lineRule="auto"/>
        <w:jc w:val="center"/>
        <w:rPr>
          <w:sz w:val="24"/>
          <w:szCs w:val="24"/>
        </w:rPr>
      </w:pPr>
      <w:r>
        <w:rPr>
          <w:rFonts w:ascii="Century Gothic" w:eastAsia="Century Gothic" w:hAnsi="Century Gothic" w:cs="Century Gothic"/>
          <w:i/>
          <w:sz w:val="24"/>
          <w:szCs w:val="24"/>
        </w:rPr>
        <w:t>(</w:t>
      </w:r>
      <w:r w:rsidRPr="00765695">
        <w:rPr>
          <w:rFonts w:ascii="Century Gothic" w:eastAsia="Century Gothic" w:hAnsi="Century Gothic" w:cs="Century Gothic"/>
          <w:i/>
          <w:sz w:val="24"/>
          <w:lang w:val="es-BO"/>
          <w:szCs w:val="24"/>
        </w:rPr>
        <w:t>En porcentaje</w:t>
      </w:r>
      <w:r>
        <w:rPr>
          <w:rFonts w:ascii="Century Gothic" w:eastAsia="Century Gothic" w:hAnsi="Century Gothic" w:cs="Century Gothic"/>
          <w:i/>
          <w:sz w:val="24"/>
          <w:szCs w:val="24"/>
        </w:rPr>
        <w:t>)</w:t>
      </w:r>
    </w:p>
    <w:p w14:paraId="116430F9" w14:textId="73CFAA4F" w:rsidR="000D5962" w:rsidRDefault="00765695">
      <w:pPr>
        <w:keepNext/>
        <w:jc w:val="center"/>
        <w:rPr>
          <w:sz w:val="24"/>
          <w:szCs w:val="24"/>
        </w:rPr>
      </w:pPr>
      <w:r w:rsidRPr="00765695">
        <w:rPr>
          <w:noProof/>
        </w:rPr>
        <w:drawing>
          <wp:inline distT="0" distB="0" distL="0" distR="0" wp14:anchorId="16AF9051" wp14:editId="46524F3D">
            <wp:extent cx="5219700" cy="3162067"/>
            <wp:effectExtent l="0" t="0" r="0" b="635"/>
            <wp:docPr id="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25768" cy="3165743"/>
                    </a:xfrm>
                    <a:prstGeom prst="rect">
                      <a:avLst/>
                    </a:prstGeom>
                    <a:noFill/>
                    <a:ln>
                      <a:noFill/>
                    </a:ln>
                  </pic:spPr>
                </pic:pic>
              </a:graphicData>
            </a:graphic>
          </wp:inline>
        </w:drawing>
      </w:r>
    </w:p>
    <w:p w14:paraId="4BB78949" w14:textId="010B4347" w:rsidR="000D5962" w:rsidRPr="001A15AF" w:rsidRDefault="00D030A2">
      <w:pPr>
        <w:spacing w:after="0" w:line="240" w:lineRule="auto" w:before="0"/>
        <w:rPr>
          <w:lang w:val="es-BO"/>
          <w:sz w:val="16"/>
          <w:szCs w:val="16"/>
        </w:rPr>
      </w:pPr>
      <w:r w:rsidRPr="001A15AF">
        <w:rPr>
          <w:rFonts w:ascii="Century Gothic" w:eastAsia="Century Gothic" w:hAnsi="Century Gothic" w:cs="Century Gothic"/>
          <w:b/>
          <w:sz w:val="16"/>
          <w:szCs w:val="16"/>
          <w:lang w:val="es-BO"/>
        </w:rPr>
        <w:t xml:space="preserve">Fuente: </w:t>
      </w:r>
      <w:r w:rsidR="00765695" w:rsidRPr="00765695">
        <w:rPr>
          <w:rFonts w:ascii="Century Gothic" w:eastAsia="Century Gothic" w:hAnsi="Century Gothic" w:cs="Century Gothic"/>
          <w:sz w:val="16"/>
          <w:szCs w:val="16"/>
          <w:lang w:val="es-BO"/>
        </w:rPr>
        <w:t>Banco Mundial, Comisión Económica para América Latina y el Caribe, Fondo Monetario Internacional</w:t>
      </w:r>
    </w:p>
    <w:p w14:paraId="5B1AA4A3" w14:textId="77777777" w:rsidR="000D5962" w:rsidRPr="001A15AF" w:rsidRDefault="00D030A2">
      <w:pPr>
        <w:spacing w:after="0" w:line="240" w:lineRule="auto" w:before="0"/>
        <w:rPr>
          <w:lang w:val="es-BO"/>
          <w:sz w:val="16"/>
          <w:szCs w:val="16"/>
        </w:rPr>
      </w:pPr>
      <w:r w:rsidRPr="001A15AF">
        <w:rPr>
          <w:rFonts w:ascii="Century Gothic" w:eastAsia="Century Gothic" w:hAnsi="Century Gothic" w:cs="Century Gothic"/>
          <w:b/>
          <w:sz w:val="16"/>
          <w:szCs w:val="16"/>
          <w:lang w:val="es-BO"/>
        </w:rPr>
        <w:t xml:space="preserve">Elaboración: </w:t>
      </w:r>
      <w:r w:rsidRPr="001A15AF">
        <w:rPr>
          <w:rFonts w:ascii="Century Gothic" w:eastAsia="Century Gothic" w:hAnsi="Century Gothic" w:cs="Century Gothic"/>
          <w:sz w:val="16"/>
          <w:szCs w:val="16"/>
          <w:lang w:val="es-BO"/>
        </w:rPr>
        <w:t>MEFP-VPCF-DGPGP-UGPPP</w:t>
      </w:r>
    </w:p>
    <w:p w14:paraId="282AE95E" w14:textId="18DA860C" w:rsidR="000D5962" w:rsidRDefault="00D030A2">
      <w:pPr>
        <w:spacing w:after="0" w:line="240" w:lineRule="auto" w:before="0"/>
        <w:rPr>
          <w:rFonts w:ascii="Century Gothic" w:eastAsia="Century Gothic" w:hAnsi="Century Gothic" w:cs="Century Gothic"/>
          <w:sz w:val="16"/>
          <w:szCs w:val="16"/>
          <w:lang w:val="es-BO"/>
        </w:rPr>
      </w:pPr>
      <w:r w:rsidRPr="001A15AF">
        <w:rPr>
          <w:rFonts w:ascii="Century Gothic" w:eastAsia="Century Gothic" w:hAnsi="Century Gothic" w:cs="Century Gothic"/>
          <w:sz w:val="16"/>
          <w:szCs w:val="16"/>
          <w:lang w:val="es-BO"/>
        </w:rPr>
        <w:t>(e) Estimado</w:t>
      </w:r>
    </w:p>
    <w:p w14:paraId="3865725B" w14:textId="6879846F" w:rsidR="00765695" w:rsidRPr="001A15AF" w:rsidRDefault="00765695">
      <w:pPr>
        <w:spacing w:after="0" w:line="240" w:lineRule="auto" w:before="0"/>
        <w:rPr>
          <w:lang w:val="es-BO"/>
          <w:sz w:val="16"/>
          <w:szCs w:val="16"/>
        </w:rPr>
      </w:pPr>
      <w:r>
        <w:rPr>
          <w:rFonts w:ascii="Century Gothic" w:eastAsia="Century Gothic" w:hAnsi="Century Gothic" w:cs="Century Gothic"/>
          <w:sz w:val="16"/>
          <w:szCs w:val="16"/>
          <w:lang w:val="es-BO"/>
        </w:rPr>
        <w:t>(p) Proyectado</w:t>
      </w:r>
    </w:p>
    <w:bookmarkEnd w:id="2"/>
    <w:p w14:paraId="1147810F" w14:textId="77777777" w:rsidR="000D5962" w:rsidRDefault="000D5962">
      <w:pPr>
        <w:spacing w:after="40"/>
        <w:rPr>
          <w:sz w:val="24"/>
          <w:szCs w:val="24"/>
        </w:rPr>
      </w:pPr>
    </w:p>
    <w:p w14:paraId="7F2EE1FB" w14:textId="77777777" w:rsidR="000D5962" w:rsidRDefault="00D030A2">
      <w:pPr>
        <w:pStyle w:val="Ttulo2"/>
        <w:spacing w:line="288" w:lineRule="auto"/>
        <w:rPr>
          <w:sz w:val="24"/>
          <w:szCs w:val="24"/>
        </w:rPr>
      </w:pPr>
      <w:r>
        <w:rPr>
          <w:rFonts w:ascii="Century Gothic" w:eastAsia="Century Gothic" w:hAnsi="Century Gothic" w:cs="Century Gothic"/>
          <w:szCs w:val="24"/>
          <w:sz w:val="24"/>
        </w:rPr>
        <w:t>2.3. Contexto Nacional (MARCO)</w:t>
      </w:r>
    </w:p>
    <w:p w14:paraId="4FA76FA7" w14:textId="0D9DD15E" w:rsidR="00485B3A" w:rsidRPr="00485B3A" w:rsidRDefault="00485B3A" w:rsidP="00485B3A">
      <w:pPr>
        <w:spacing w:line="288" w:lineRule="auto"/>
        <w:jc w:val="both"/>
        <w:rPr>
          <w:rFonts w:ascii="Century Gothic" w:eastAsia="Century Gothic" w:hAnsi="Century Gothic" w:cs="Century Gothic"/>
          <w:sz w:val="24"/>
          <w:lang w:val="es-BO"/>
          <w:szCs w:val="24"/>
        </w:rPr>
      </w:pPr>
      <w:r w:rsidRPr="00485B3A">
        <w:rPr>
          <w:rFonts w:ascii="Century Gothic" w:eastAsia="Century Gothic" w:hAnsi="Century Gothic" w:cs="Century Gothic"/>
          <w:sz w:val="24"/>
          <w:lang w:val="es-BO"/>
          <w:szCs w:val="24"/>
        </w:rPr>
        <w:t xml:space="preserve">En 2025, la economía boliviana se contrajo en un contexto de desequilibrios fiscales y externos, escasez de divisas y combustibles y deterioro de las expectativas. </w:t>
      </w:r>
      <w:r>
        <w:rPr>
          <w:rFonts w:ascii="Century Gothic" w:eastAsia="Century Gothic" w:hAnsi="Century Gothic" w:cs="Century Gothic"/>
          <w:sz w:val="24"/>
          <w:lang w:val="es-BO"/>
          <w:szCs w:val="24"/>
        </w:rPr>
        <w:t xml:space="preserve">Se evidenció </w:t>
      </w:r>
      <w:r w:rsidRPr="00485B3A">
        <w:rPr>
          <w:rFonts w:ascii="Century Gothic" w:eastAsia="Century Gothic" w:hAnsi="Century Gothic" w:cs="Century Gothic"/>
          <w:sz w:val="24"/>
          <w:lang w:val="es-BO"/>
          <w:szCs w:val="24"/>
        </w:rPr>
        <w:t xml:space="preserve">una desaceleración generalizada, con contracciones en sectores relevantes y una pérdida de capacidad de pago de los hogares y las empresas. En su evaluación de 2026, el FMI señaló que el país atravesaba su tercer año de recesión, lo que evidenciaba que las dificultades económicas no respondían únicamente a perturbaciones coyunturales, sino también a vulnerabilidades estructurales relacionadas con las finanzas públicas, el sector externo y la </w:t>
      </w:r>
      <w:r w:rsidRPr="00485B3A">
        <w:rPr>
          <w:rFonts w:ascii="Century Gothic" w:eastAsia="Century Gothic" w:hAnsi="Century Gothic" w:cs="Century Gothic"/>
          <w:sz w:val="24"/>
          <w:lang w:val="es-BO"/>
          <w:szCs w:val="24"/>
        </w:rPr>
        <w:lastRenderedPageBreak/>
        <w:t>capacidad de generación de divisas. Así, el FMI estimó una contracción de 1,6% en 2025, 3% para el 2026 y 1,5% para el 2027.</w:t>
      </w:r>
    </w:p>
    <w:p w14:paraId="418AE4F5" w14:textId="77777777" w:rsidR="006A7E24" w:rsidRDefault="00485B3A" w:rsidP="00485B3A">
      <w:pPr>
        <w:spacing w:line="288" w:lineRule="auto"/>
        <w:jc w:val="both"/>
        <w:rPr>
          <w:rFonts w:ascii="Century Gothic" w:eastAsia="Century Gothic" w:hAnsi="Century Gothic" w:cs="Century Gothic"/>
          <w:sz w:val="24"/>
          <w:lang w:val="es-BO"/>
          <w:szCs w:val="24"/>
        </w:rPr>
      </w:pPr>
      <w:r w:rsidRPr="00485B3A">
        <w:rPr>
          <w:rFonts w:ascii="Century Gothic" w:eastAsia="Century Gothic" w:hAnsi="Century Gothic" w:cs="Century Gothic"/>
          <w:sz w:val="24"/>
          <w:lang w:val="es-BO"/>
          <w:szCs w:val="24"/>
        </w:rPr>
        <w:t>Por su parte, el Banco Mundial estimó que la economía boliviana tuvo una contracción real del PIB del 2,1 % en 2025, 2.8% en 2026 y 1,4% para el 2027, que reflejaba la interacción de restricciones de oferta —particularmente las relacionadas con combustibles e insumos importados—, desequilibrios financieros y pérdida de poder adquisitivo, factores que limitan tanto la producción como el consumo interno</w:t>
      </w:r>
      <w:r w:rsidR="006A7E24">
        <w:rPr>
          <w:rFonts w:ascii="Century Gothic" w:eastAsia="Century Gothic" w:hAnsi="Century Gothic" w:cs="Century Gothic"/>
          <w:sz w:val="24"/>
          <w:lang w:val="es-BO"/>
          <w:szCs w:val="24"/>
        </w:rPr>
        <w:t>.</w:t>
      </w:r>
    </w:p>
    <w:p w14:paraId="44A0499A" w14:textId="5BB3C88B" w:rsidR="000D5962" w:rsidRDefault="006A7E24" w:rsidP="00485B3A">
      <w:pPr>
        <w:spacing w:line="288" w:lineRule="auto"/>
        <w:jc w:val="both"/>
        <w:rPr>
          <w:rFonts w:ascii="Century Gothic" w:eastAsia="Century Gothic" w:hAnsi="Century Gothic" w:cs="Century Gothic"/>
          <w:sz w:val="24"/>
          <w:lang w:val="es-BO"/>
          <w:szCs w:val="24"/>
        </w:rPr>
      </w:pPr>
      <w:r>
        <w:rPr>
          <w:rFonts w:ascii="Century Gothic" w:eastAsia="Century Gothic" w:hAnsi="Century Gothic" w:cs="Century Gothic"/>
          <w:sz w:val="24"/>
          <w:lang w:val="es-BO"/>
          <w:szCs w:val="24"/>
        </w:rPr>
        <w:t xml:space="preserve">La CEPAL por su parte </w:t>
      </w:r>
      <w:r w:rsidR="004551A9">
        <w:rPr>
          <w:rFonts w:ascii="Century Gothic" w:eastAsia="Century Gothic" w:hAnsi="Century Gothic" w:cs="Century Gothic"/>
          <w:sz w:val="24"/>
          <w:lang w:val="es-BO"/>
          <w:szCs w:val="24"/>
        </w:rPr>
        <w:t>ha estimado un c</w:t>
      </w:r>
      <w:r w:rsidR="002C2013">
        <w:rPr>
          <w:rFonts w:ascii="Century Gothic" w:eastAsia="Century Gothic" w:hAnsi="Century Gothic" w:cs="Century Gothic"/>
          <w:sz w:val="24"/>
          <w:lang w:val="es-BO"/>
          <w:szCs w:val="24"/>
        </w:rPr>
        <w:t>r</w:t>
      </w:r>
      <w:r w:rsidR="004551A9">
        <w:rPr>
          <w:rFonts w:ascii="Century Gothic" w:eastAsia="Century Gothic" w:hAnsi="Century Gothic" w:cs="Century Gothic"/>
          <w:sz w:val="24"/>
          <w:lang w:val="es-BO"/>
          <w:szCs w:val="24"/>
        </w:rPr>
        <w:t>ecimiento positivo de 0,5% para el 2026 y 0,8% para el 2027</w:t>
      </w:r>
      <w:r w:rsidR="002C2013">
        <w:rPr>
          <w:rFonts w:ascii="Century Gothic" w:eastAsia="Century Gothic" w:hAnsi="Century Gothic" w:cs="Century Gothic"/>
          <w:sz w:val="24"/>
          <w:lang w:val="es-BO"/>
          <w:szCs w:val="24"/>
        </w:rPr>
        <w:t xml:space="preserve"> que </w:t>
      </w:r>
      <w:r w:rsidR="002C2013" w:rsidRPr="002C2013">
        <w:rPr>
          <w:rFonts w:ascii="Century Gothic" w:eastAsia="Century Gothic" w:hAnsi="Century Gothic" w:cs="Century Gothic"/>
          <w:sz w:val="24"/>
          <w:lang w:val="es-BO"/>
          <w:szCs w:val="24"/>
        </w:rPr>
        <w:t>responde a una menor demanda externa, conflictos internos en el primer semestre que paralizaron la actividad productiva, escasez de divisas y problemas estructurales de informalidad</w:t>
      </w:r>
      <w:r w:rsidR="002C2013">
        <w:rPr>
          <w:rFonts w:ascii="Century Gothic" w:eastAsia="Century Gothic" w:hAnsi="Century Gothic" w:cs="Century Gothic"/>
          <w:sz w:val="24"/>
          <w:lang w:val="es-BO"/>
          <w:szCs w:val="24"/>
        </w:rPr>
        <w:t>, entre los más importantes</w:t>
      </w:r>
      <w:r w:rsidR="00D030A2" w:rsidRPr="001A15AF">
        <w:rPr>
          <w:rFonts w:ascii="Century Gothic" w:eastAsia="Century Gothic" w:hAnsi="Century Gothic" w:cs="Century Gothic"/>
          <w:sz w:val="24"/>
          <w:lang w:val="es-BO"/>
          <w:szCs w:val="24"/>
        </w:rPr>
        <w:t xml:space="preserve"> (Gráfico </w:t>
      </w:r>
      <w:proofErr w:type="spellStart"/>
      <w:r w:rsidR="00D030A2" w:rsidRPr="001A15AF">
        <w:rPr>
          <w:rFonts w:ascii="Century Gothic" w:eastAsia="Century Gothic" w:hAnsi="Century Gothic" w:cs="Century Gothic"/>
          <w:sz w:val="24"/>
          <w:lang w:val="es-BO"/>
          <w:szCs w:val="24"/>
        </w:rPr>
        <w:t>N°</w:t>
      </w:r>
      <w:proofErr w:type="spellEnd"/>
      <w:r w:rsidR="00D030A2" w:rsidRPr="001A15AF">
        <w:rPr>
          <w:rFonts w:ascii="Century Gothic" w:eastAsia="Century Gothic" w:hAnsi="Century Gothic" w:cs="Century Gothic"/>
          <w:sz w:val="24"/>
          <w:lang w:val="es-BO"/>
          <w:szCs w:val="24"/>
        </w:rPr>
        <w:t xml:space="preserve"> 3).</w:t>
      </w:r>
    </w:p>
    <w:p w14:paraId="4B3AC2E9" w14:textId="77777777" w:rsidR="00485B3A" w:rsidRPr="001A15AF" w:rsidRDefault="00485B3A" w:rsidP="00485B3A">
      <w:pPr>
        <w:spacing w:line="288" w:lineRule="auto"/>
        <w:jc w:val="both"/>
        <w:rPr>
          <w:lang w:val="es-BO"/>
          <w:sz w:val="24"/>
          <w:szCs w:val="24"/>
        </w:rPr>
      </w:pPr>
    </w:p>
    <w:p w14:paraId="543476AE" w14:textId="2304C91F" w:rsidR="000D5962" w:rsidRPr="001A15AF" w:rsidRDefault="00D030A2">
      <w:pPr>
        <w:keepNext/>
        <w:spacing w:after="0" w:line="288" w:lineRule="auto"/>
        <w:jc w:val="center"/>
        <w:rPr>
          <w:lang w:val="es-BO"/>
          <w:sz w:val="24"/>
          <w:szCs w:val="24"/>
        </w:rPr>
      </w:pPr>
      <w:r w:rsidRPr="001A15AF">
        <w:rPr>
          <w:rFonts w:ascii="Century Gothic" w:eastAsia="Century Gothic" w:hAnsi="Century Gothic" w:cs="Century Gothic"/>
          <w:b/>
          <w:sz w:val="24"/>
          <w:lang w:val="es-BO"/>
          <w:szCs w:val="24"/>
        </w:rPr>
        <w:t xml:space="preserve">Gráfico </w:t>
      </w:r>
      <w:proofErr w:type="spellStart"/>
      <w:r w:rsidRPr="001A15AF">
        <w:rPr>
          <w:rFonts w:ascii="Century Gothic" w:eastAsia="Century Gothic" w:hAnsi="Century Gothic" w:cs="Century Gothic"/>
          <w:b/>
          <w:sz w:val="24"/>
          <w:lang w:val="es-BO"/>
          <w:szCs w:val="24"/>
        </w:rPr>
        <w:t>N°</w:t>
      </w:r>
      <w:proofErr w:type="spellEnd"/>
      <w:r w:rsidRPr="001A15AF">
        <w:rPr>
          <w:rFonts w:ascii="Century Gothic" w:eastAsia="Century Gothic" w:hAnsi="Century Gothic" w:cs="Century Gothic"/>
          <w:b/>
          <w:sz w:val="24"/>
          <w:lang w:val="es-BO"/>
          <w:szCs w:val="24"/>
        </w:rPr>
        <w:t xml:space="preserve"> 3: </w:t>
      </w:r>
      <w:r w:rsidR="0095681D">
        <w:rPr>
          <w:rFonts w:ascii="Century Gothic" w:eastAsia="Century Gothic" w:hAnsi="Century Gothic" w:cs="Century Gothic"/>
          <w:b/>
          <w:sz w:val="24"/>
          <w:lang w:val="es-BO"/>
          <w:szCs w:val="24"/>
        </w:rPr>
        <w:t>Crecimiento Económico 202</w:t>
      </w:r>
      <w:r w:rsidR="00000BF4">
        <w:rPr>
          <w:rFonts w:ascii="Century Gothic" w:eastAsia="Century Gothic" w:hAnsi="Century Gothic" w:cs="Century Gothic"/>
          <w:b/>
          <w:sz w:val="24"/>
          <w:lang w:val="es-BO"/>
          <w:szCs w:val="24"/>
        </w:rPr>
        <w:t>5-2027(p)</w:t>
      </w:r>
    </w:p>
    <w:p w14:paraId="7BB9D3F7" w14:textId="77777777" w:rsidR="000D5962" w:rsidRPr="0095681D" w:rsidRDefault="00D030A2">
      <w:pPr>
        <w:keepNext/>
        <w:spacing w:after="40" w:line="288" w:lineRule="auto"/>
        <w:jc w:val="center"/>
        <w:rPr>
          <w:lang w:val="es-BO"/>
          <w:sz w:val="24"/>
          <w:szCs w:val="24"/>
        </w:rPr>
      </w:pPr>
      <w:r w:rsidRPr="0095681D">
        <w:rPr>
          <w:rFonts w:ascii="Century Gothic" w:eastAsia="Century Gothic" w:hAnsi="Century Gothic" w:cs="Century Gothic"/>
          <w:i/>
          <w:sz w:val="24"/>
          <w:lang w:val="es-BO"/>
          <w:szCs w:val="24"/>
        </w:rPr>
        <w:t>(En porcentaje)</w:t>
      </w:r>
    </w:p>
    <w:p w14:paraId="23059402" w14:textId="642A1B7E" w:rsidR="000D5962" w:rsidRPr="0095681D" w:rsidRDefault="004551A9">
      <w:pPr>
        <w:keepNext/>
        <w:jc w:val="center"/>
        <w:rPr>
          <w:lang w:val="es-BO"/>
          <w:sz w:val="24"/>
          <w:szCs w:val="24"/>
        </w:rPr>
      </w:pPr>
      <w:r w:rsidRPr="004551A9">
        <w:rPr>
          <w:noProof/>
        </w:rPr>
        <w:drawing>
          <wp:inline distT="0" distB="0" distL="0" distR="0" wp14:anchorId="6635CE7F" wp14:editId="520C4674">
            <wp:extent cx="4924425" cy="2943284"/>
            <wp:effectExtent l="0" t="0" r="0" b="9525"/>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37238" cy="2950942"/>
                    </a:xfrm>
                    <a:prstGeom prst="rect">
                      <a:avLst/>
                    </a:prstGeom>
                    <a:noFill/>
                    <a:ln>
                      <a:noFill/>
                    </a:ln>
                  </pic:spPr>
                </pic:pic>
              </a:graphicData>
            </a:graphic>
          </wp:inline>
        </w:drawing>
      </w:r>
    </w:p>
    <w:p w14:paraId="280BCC26" w14:textId="568B90CE" w:rsidR="000D5962" w:rsidRPr="001A15AF" w:rsidRDefault="00D030A2">
      <w:pPr>
        <w:spacing w:after="0" w:line="240" w:lineRule="auto" w:before="0"/>
        <w:rPr>
          <w:lang w:val="es-BO"/>
          <w:sz w:val="16"/>
          <w:szCs w:val="16"/>
        </w:rPr>
      </w:pPr>
      <w:r w:rsidRPr="001A15AF">
        <w:rPr>
          <w:rFonts w:ascii="Century Gothic" w:eastAsia="Century Gothic" w:hAnsi="Century Gothic" w:cs="Century Gothic"/>
          <w:b/>
          <w:sz w:val="16"/>
          <w:szCs w:val="16"/>
          <w:lang w:val="es-BO"/>
        </w:rPr>
        <w:t xml:space="preserve">Fuente: </w:t>
      </w:r>
      <w:r w:rsidR="004551A9" w:rsidRPr="00765695">
        <w:rPr>
          <w:rFonts w:ascii="Century Gothic" w:eastAsia="Century Gothic" w:hAnsi="Century Gothic" w:cs="Century Gothic"/>
          <w:sz w:val="16"/>
          <w:szCs w:val="16"/>
          <w:lang w:val="es-BO"/>
        </w:rPr>
        <w:t>Banco Mundial, Comisión Económica para América Latina y el Caribe, Fondo Monetario Internacional</w:t>
      </w:r>
    </w:p>
    <w:p w14:paraId="5425E61C" w14:textId="1BC573CE" w:rsidR="000D5962" w:rsidRPr="001A15AF" w:rsidRDefault="00D030A2" w:rsidP="002C2013">
      <w:pPr>
        <w:spacing w:after="0" w:line="240" w:lineRule="auto" w:before="0"/>
        <w:rPr>
          <w:lang w:val="es-BO"/>
          <w:sz w:val="16"/>
          <w:szCs w:val="16"/>
        </w:rPr>
      </w:pPr>
      <w:r w:rsidRPr="001A15AF">
        <w:rPr>
          <w:rFonts w:ascii="Century Gothic" w:eastAsia="Century Gothic" w:hAnsi="Century Gothic" w:cs="Century Gothic"/>
          <w:b/>
          <w:sz w:val="16"/>
          <w:szCs w:val="16"/>
          <w:lang w:val="es-BO"/>
        </w:rPr>
        <w:t xml:space="preserve">Elaboración: </w:t>
      </w:r>
      <w:r w:rsidRPr="001A15AF">
        <w:rPr>
          <w:rFonts w:ascii="Century Gothic" w:eastAsia="Century Gothic" w:hAnsi="Century Gothic" w:cs="Century Gothic"/>
          <w:sz w:val="16"/>
          <w:szCs w:val="16"/>
          <w:lang w:val="es-BO"/>
        </w:rPr>
        <w:t>MEFP-VPCF-DGPGP-UGPPP</w:t>
      </w:r>
    </w:p>
    <w:p w14:paraId="715AD058" w14:textId="77777777" w:rsidR="00661395" w:rsidRDefault="00661395">
      <w:pPr>
        <w:spacing w:line="288" w:lineRule="auto"/>
        <w:jc w:val="both"/>
        <w:rPr>
          <w:rFonts w:ascii="Century Gothic" w:eastAsia="Century Gothic" w:hAnsi="Century Gothic" w:cs="Century Gothic"/>
          <w:sz w:val="24"/>
          <w:lang w:val="es-BO"/>
          <w:szCs w:val="24"/>
        </w:rPr>
      </w:pPr>
    </w:p>
    <w:p w14:paraId="6D13ECA9" w14:textId="6919F6DD" w:rsidR="00330042" w:rsidRDefault="00330042">
      <w:pPr>
        <w:spacing w:line="288" w:lineRule="auto"/>
        <w:jc w:val="both"/>
        <w:rPr>
          <w:rFonts w:ascii="Century Gothic" w:eastAsia="Century Gothic" w:hAnsi="Century Gothic" w:cs="Century Gothic"/>
          <w:sz w:val="24"/>
          <w:lang w:val="es-BO"/>
          <w:szCs w:val="24"/>
        </w:rPr>
      </w:pPr>
      <w:r w:rsidRPr="00330042">
        <w:rPr>
          <w:rFonts w:ascii="Century Gothic" w:eastAsia="Century Gothic" w:hAnsi="Century Gothic" w:cs="Century Gothic"/>
          <w:sz w:val="24"/>
          <w:lang w:val="es-BO"/>
          <w:szCs w:val="24"/>
        </w:rPr>
        <w:t xml:space="preserve">La inflación fue uno de los principales factores de deterioro del bienestar económico durante 2025. </w:t>
      </w:r>
      <w:r>
        <w:rPr>
          <w:rFonts w:ascii="Century Gothic" w:eastAsia="Century Gothic" w:hAnsi="Century Gothic" w:cs="Century Gothic"/>
          <w:sz w:val="24"/>
          <w:lang w:val="es-BO"/>
          <w:szCs w:val="24"/>
        </w:rPr>
        <w:t>L</w:t>
      </w:r>
      <w:r w:rsidRPr="00330042">
        <w:rPr>
          <w:rFonts w:ascii="Century Gothic" w:eastAsia="Century Gothic" w:hAnsi="Century Gothic" w:cs="Century Gothic"/>
          <w:sz w:val="24"/>
          <w:lang w:val="es-BO"/>
          <w:szCs w:val="24"/>
        </w:rPr>
        <w:t xml:space="preserve">a variación interanual del índice de precios al consumidor alcanzó el 20,4 % en diciembre de ese año, frente al 9,97 % registrado en diciembre de 2024 y al 2,12 % de diciembre de 2023. Esta aceleración evidencia </w:t>
      </w:r>
      <w:r w:rsidRPr="00330042">
        <w:rPr>
          <w:rFonts w:ascii="Century Gothic" w:eastAsia="Century Gothic" w:hAnsi="Century Gothic" w:cs="Century Gothic"/>
          <w:sz w:val="24"/>
          <w:lang w:val="es-BO"/>
          <w:szCs w:val="24"/>
        </w:rPr>
        <w:lastRenderedPageBreak/>
        <w:t>una intensificación de las presiones sobre los precios en un periodo relativamente corto</w:t>
      </w:r>
      <w:r>
        <w:rPr>
          <w:rFonts w:ascii="Century Gothic" w:eastAsia="Century Gothic" w:hAnsi="Century Gothic" w:cs="Century Gothic"/>
          <w:sz w:val="24"/>
          <w:lang w:val="es-BO"/>
          <w:szCs w:val="24"/>
        </w:rPr>
        <w:t xml:space="preserve">, relacionado con </w:t>
      </w:r>
      <w:r w:rsidRPr="00330042">
        <w:rPr>
          <w:rFonts w:ascii="Century Gothic" w:eastAsia="Century Gothic" w:hAnsi="Century Gothic" w:cs="Century Gothic"/>
          <w:sz w:val="24"/>
          <w:lang w:val="es-BO"/>
          <w:szCs w:val="24"/>
        </w:rPr>
        <w:t>los desequilibrios monetarios acumulados, las tensiones de oferta, los mayores costos de reposición y el encarecimiento de bienes importados en un contexto de restricciones cambiarias</w:t>
      </w:r>
      <w:r w:rsidR="0029792B">
        <w:rPr>
          <w:rFonts w:ascii="Century Gothic" w:eastAsia="Century Gothic" w:hAnsi="Century Gothic" w:cs="Century Gothic"/>
          <w:sz w:val="24"/>
          <w:lang w:val="es-BO"/>
          <w:szCs w:val="24"/>
        </w:rPr>
        <w:t xml:space="preserve"> </w:t>
      </w:r>
      <w:r w:rsidR="0029792B" w:rsidRPr="001A15AF">
        <w:rPr>
          <w:rFonts w:ascii="Century Gothic" w:eastAsia="Century Gothic" w:hAnsi="Century Gothic" w:cs="Century Gothic"/>
          <w:sz w:val="24"/>
          <w:lang w:val="es-BO"/>
          <w:szCs w:val="24"/>
        </w:rPr>
        <w:t xml:space="preserve">(Gráfico </w:t>
      </w:r>
      <w:proofErr w:type="spellStart"/>
      <w:r w:rsidR="0029792B" w:rsidRPr="001A15AF">
        <w:rPr>
          <w:rFonts w:ascii="Century Gothic" w:eastAsia="Century Gothic" w:hAnsi="Century Gothic" w:cs="Century Gothic"/>
          <w:sz w:val="24"/>
          <w:lang w:val="es-BO"/>
          <w:szCs w:val="24"/>
        </w:rPr>
        <w:t>N°</w:t>
      </w:r>
      <w:proofErr w:type="spellEnd"/>
      <w:r w:rsidR="0029792B" w:rsidRPr="001A15AF">
        <w:rPr>
          <w:rFonts w:ascii="Century Gothic" w:eastAsia="Century Gothic" w:hAnsi="Century Gothic" w:cs="Century Gothic"/>
          <w:sz w:val="24"/>
          <w:lang w:val="es-BO"/>
          <w:szCs w:val="24"/>
        </w:rPr>
        <w:t xml:space="preserve"> </w:t>
      </w:r>
      <w:r w:rsidR="0029792B">
        <w:rPr>
          <w:rFonts w:ascii="Century Gothic" w:eastAsia="Century Gothic" w:hAnsi="Century Gothic" w:cs="Century Gothic"/>
          <w:sz w:val="24"/>
          <w:lang w:val="es-BO"/>
          <w:szCs w:val="24"/>
        </w:rPr>
        <w:t>4</w:t>
      </w:r>
      <w:r w:rsidR="0029792B" w:rsidRPr="001A15AF">
        <w:rPr>
          <w:rFonts w:ascii="Century Gothic" w:eastAsia="Century Gothic" w:hAnsi="Century Gothic" w:cs="Century Gothic"/>
          <w:sz w:val="24"/>
          <w:lang w:val="es-BO"/>
          <w:szCs w:val="24"/>
        </w:rPr>
        <w:t>)</w:t>
      </w:r>
    </w:p>
    <w:p w14:paraId="7036A2A8" w14:textId="77777777" w:rsidR="00E61859" w:rsidRDefault="008B0716" w:rsidP="008B0716">
      <w:pPr>
        <w:keepNext/>
        <w:spacing w:after="0" w:line="288" w:lineRule="auto"/>
        <w:jc w:val="center"/>
        <w:rPr>
          <w:rFonts w:ascii="Century Gothic" w:eastAsia="Century Gothic" w:hAnsi="Century Gothic" w:cs="Century Gothic"/>
          <w:b/>
          <w:sz w:val="24"/>
          <w:lang w:val="es-BO"/>
          <w:szCs w:val="24"/>
        </w:rPr>
      </w:pPr>
      <w:r w:rsidRPr="001A15AF">
        <w:rPr>
          <w:rFonts w:ascii="Century Gothic" w:eastAsia="Century Gothic" w:hAnsi="Century Gothic" w:cs="Century Gothic"/>
          <w:b/>
          <w:sz w:val="24"/>
          <w:lang w:val="es-BO"/>
          <w:szCs w:val="24"/>
        </w:rPr>
        <w:t xml:space="preserve">Gráfico </w:t>
      </w:r>
      <w:proofErr w:type="spellStart"/>
      <w:r w:rsidRPr="001A15AF">
        <w:rPr>
          <w:rFonts w:ascii="Century Gothic" w:eastAsia="Century Gothic" w:hAnsi="Century Gothic" w:cs="Century Gothic"/>
          <w:b/>
          <w:sz w:val="24"/>
          <w:lang w:val="es-BO"/>
          <w:szCs w:val="24"/>
        </w:rPr>
        <w:t>N°</w:t>
      </w:r>
      <w:proofErr w:type="spellEnd"/>
      <w:r w:rsidRPr="001A15AF">
        <w:rPr>
          <w:rFonts w:ascii="Century Gothic" w:eastAsia="Century Gothic" w:hAnsi="Century Gothic" w:cs="Century Gothic"/>
          <w:b/>
          <w:sz w:val="24"/>
          <w:lang w:val="es-BO"/>
          <w:szCs w:val="24"/>
        </w:rPr>
        <w:t xml:space="preserve"> </w:t>
      </w:r>
      <w:r>
        <w:rPr>
          <w:rFonts w:ascii="Century Gothic" w:eastAsia="Century Gothic" w:hAnsi="Century Gothic" w:cs="Century Gothic"/>
          <w:b/>
          <w:sz w:val="24"/>
          <w:lang w:val="es-BO"/>
          <w:szCs w:val="24"/>
        </w:rPr>
        <w:t>4</w:t>
      </w:r>
      <w:r w:rsidRPr="001A15AF">
        <w:rPr>
          <w:rFonts w:ascii="Century Gothic" w:eastAsia="Century Gothic" w:hAnsi="Century Gothic" w:cs="Century Gothic"/>
          <w:b/>
          <w:sz w:val="24"/>
          <w:lang w:val="es-BO"/>
          <w:szCs w:val="24"/>
        </w:rPr>
        <w:t xml:space="preserve">: </w:t>
      </w:r>
      <w:r>
        <w:rPr>
          <w:rFonts w:ascii="Century Gothic" w:eastAsia="Century Gothic" w:hAnsi="Century Gothic" w:cs="Century Gothic"/>
          <w:b/>
          <w:sz w:val="24"/>
          <w:lang w:val="es-BO"/>
          <w:szCs w:val="24"/>
        </w:rPr>
        <w:t>Inflación</w:t>
      </w:r>
    </w:p>
    <w:p w14:paraId="514B9E05" w14:textId="584CEB71" w:rsidR="008B0716" w:rsidRPr="001A15AF" w:rsidRDefault="008B0716" w:rsidP="008B0716">
      <w:pPr>
        <w:keepNext/>
        <w:spacing w:after="0" w:line="288" w:lineRule="auto"/>
        <w:jc w:val="center"/>
        <w:rPr>
          <w:lang w:val="es-BO"/>
          <w:sz w:val="24"/>
          <w:szCs w:val="24"/>
        </w:rPr>
      </w:pPr>
      <w:r>
        <w:rPr>
          <w:rFonts w:ascii="Century Gothic" w:eastAsia="Century Gothic" w:hAnsi="Century Gothic" w:cs="Century Gothic"/>
          <w:b/>
          <w:sz w:val="24"/>
          <w:lang w:val="es-BO"/>
          <w:szCs w:val="24"/>
        </w:rPr>
        <w:t>2020</w:t>
      </w:r>
      <w:r w:rsidR="00E61859">
        <w:rPr>
          <w:rFonts w:ascii="Century Gothic" w:eastAsia="Century Gothic" w:hAnsi="Century Gothic" w:cs="Century Gothic"/>
          <w:b/>
          <w:sz w:val="24"/>
          <w:lang w:val="es-BO"/>
          <w:szCs w:val="24"/>
        </w:rPr>
        <w:t xml:space="preserve"> </w:t>
      </w:r>
      <w:r>
        <w:rPr>
          <w:rFonts w:ascii="Century Gothic" w:eastAsia="Century Gothic" w:hAnsi="Century Gothic" w:cs="Century Gothic"/>
          <w:b/>
          <w:sz w:val="24"/>
          <w:lang w:val="es-BO"/>
          <w:szCs w:val="24"/>
        </w:rPr>
        <w:t>-</w:t>
      </w:r>
      <w:r w:rsidR="00E61859">
        <w:rPr>
          <w:rFonts w:ascii="Century Gothic" w:eastAsia="Century Gothic" w:hAnsi="Century Gothic" w:cs="Century Gothic"/>
          <w:b/>
          <w:sz w:val="24"/>
          <w:lang w:val="es-BO"/>
          <w:szCs w:val="24"/>
        </w:rPr>
        <w:t xml:space="preserve"> </w:t>
      </w:r>
      <w:r>
        <w:rPr>
          <w:rFonts w:ascii="Century Gothic" w:eastAsia="Century Gothic" w:hAnsi="Century Gothic" w:cs="Century Gothic"/>
          <w:b/>
          <w:sz w:val="24"/>
          <w:lang w:val="es-BO"/>
          <w:szCs w:val="24"/>
        </w:rPr>
        <w:t>2026</w:t>
      </w:r>
      <w:r w:rsidR="00E61859">
        <w:rPr>
          <w:rFonts w:ascii="Century Gothic" w:eastAsia="Century Gothic" w:hAnsi="Century Gothic" w:cs="Century Gothic"/>
          <w:b/>
          <w:sz w:val="24"/>
          <w:lang w:val="es-BO"/>
          <w:szCs w:val="24"/>
        </w:rPr>
        <w:t xml:space="preserve"> (</w:t>
      </w:r>
      <w:r w:rsidR="005C0F59">
        <w:rPr>
          <w:rFonts w:ascii="Century Gothic" w:eastAsia="Century Gothic" w:hAnsi="Century Gothic" w:cs="Century Gothic"/>
          <w:b/>
          <w:sz w:val="24"/>
          <w:lang w:val="es-BO"/>
          <w:szCs w:val="24"/>
        </w:rPr>
        <w:t>septiembre</w:t>
      </w:r>
      <w:r w:rsidR="00E61859">
        <w:rPr>
          <w:rFonts w:ascii="Century Gothic" w:eastAsia="Century Gothic" w:hAnsi="Century Gothic" w:cs="Century Gothic"/>
          <w:b/>
          <w:sz w:val="24"/>
          <w:lang w:val="es-BO"/>
          <w:szCs w:val="24"/>
        </w:rPr>
        <w:t>)</w:t>
      </w:r>
    </w:p>
    <w:p w14:paraId="5CFA177B" w14:textId="77777777" w:rsidR="008B0716" w:rsidRPr="0095681D" w:rsidRDefault="008B0716" w:rsidP="008B0716">
      <w:pPr>
        <w:keepNext/>
        <w:spacing w:after="40" w:line="288" w:lineRule="auto"/>
        <w:jc w:val="center"/>
        <w:rPr>
          <w:lang w:val="es-BO"/>
          <w:sz w:val="24"/>
          <w:szCs w:val="24"/>
        </w:rPr>
      </w:pPr>
      <w:r w:rsidRPr="0095681D">
        <w:rPr>
          <w:rFonts w:ascii="Century Gothic" w:eastAsia="Century Gothic" w:hAnsi="Century Gothic" w:cs="Century Gothic"/>
          <w:i/>
          <w:sz w:val="24"/>
          <w:lang w:val="es-BO"/>
          <w:szCs w:val="24"/>
        </w:rPr>
        <w:t>(En porcentaje)</w:t>
      </w:r>
    </w:p>
    <w:p w14:paraId="2DD84E4D" w14:textId="11B2CADC" w:rsidR="00330042" w:rsidRDefault="004450E9">
      <w:pPr>
        <w:spacing w:line="288" w:lineRule="auto"/>
        <w:jc w:val="both"/>
        <w:rPr>
          <w:rFonts w:ascii="Century Gothic" w:eastAsia="Century Gothic" w:hAnsi="Century Gothic" w:cs="Century Gothic"/>
          <w:sz w:val="24"/>
          <w:lang w:val="es-BO"/>
          <w:szCs w:val="24"/>
        </w:rPr>
      </w:pPr>
      <w:r w:rsidRPr="004450E9">
        <w:rPr>
          <w:noProof/>
        </w:rPr>
        <w:drawing>
          <wp:inline distT="0" distB="0" distL="0" distR="0" wp14:anchorId="0F160A4E" wp14:editId="06135C66">
            <wp:extent cx="5720080" cy="3753485"/>
            <wp:effectExtent l="0" t="0" r="0" b="0"/>
            <wp:docPr id="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20080" cy="3753485"/>
                    </a:xfrm>
                    <a:prstGeom prst="rect">
                      <a:avLst/>
                    </a:prstGeom>
                    <a:noFill/>
                    <a:ln>
                      <a:noFill/>
                    </a:ln>
                  </pic:spPr>
                </pic:pic>
              </a:graphicData>
            </a:graphic>
          </wp:inline>
        </w:drawing>
      </w:r>
    </w:p>
    <w:p w14:paraId="32F44333" w14:textId="550FFEDB" w:rsidR="008B0716" w:rsidRPr="001A15AF" w:rsidRDefault="008B0716" w:rsidP="008B0716">
      <w:pPr>
        <w:spacing w:after="0" w:line="240" w:lineRule="auto" w:before="0"/>
        <w:rPr>
          <w:lang w:val="es-BO"/>
          <w:sz w:val="16"/>
          <w:szCs w:val="16"/>
        </w:rPr>
      </w:pPr>
      <w:r w:rsidRPr="001A15AF">
        <w:rPr>
          <w:rFonts w:ascii="Century Gothic" w:eastAsia="Century Gothic" w:hAnsi="Century Gothic" w:cs="Century Gothic"/>
          <w:b/>
          <w:sz w:val="16"/>
          <w:szCs w:val="16"/>
          <w:lang w:val="es-BO"/>
        </w:rPr>
        <w:t xml:space="preserve">Fuente: </w:t>
      </w:r>
      <w:r>
        <w:rPr>
          <w:rFonts w:ascii="Century Gothic" w:eastAsia="Century Gothic" w:hAnsi="Century Gothic" w:cs="Century Gothic"/>
          <w:sz w:val="16"/>
          <w:szCs w:val="16"/>
          <w:lang w:val="es-BO"/>
        </w:rPr>
        <w:t>Banco Central de Bolivia</w:t>
      </w:r>
    </w:p>
    <w:p w14:paraId="5FC2CB10" w14:textId="77777777" w:rsidR="008B0716" w:rsidRPr="001A15AF" w:rsidRDefault="008B0716" w:rsidP="008B0716">
      <w:pPr>
        <w:spacing w:after="0" w:line="240" w:lineRule="auto" w:before="0"/>
        <w:rPr>
          <w:lang w:val="es-BO"/>
          <w:sz w:val="16"/>
          <w:szCs w:val="16"/>
        </w:rPr>
      </w:pPr>
      <w:r w:rsidRPr="001A15AF">
        <w:rPr>
          <w:rFonts w:ascii="Century Gothic" w:eastAsia="Century Gothic" w:hAnsi="Century Gothic" w:cs="Century Gothic"/>
          <w:b/>
          <w:sz w:val="16"/>
          <w:szCs w:val="16"/>
          <w:lang w:val="es-BO"/>
        </w:rPr>
        <w:t xml:space="preserve">Elaboración: </w:t>
      </w:r>
      <w:r w:rsidRPr="001A15AF">
        <w:rPr>
          <w:rFonts w:ascii="Century Gothic" w:eastAsia="Century Gothic" w:hAnsi="Century Gothic" w:cs="Century Gothic"/>
          <w:sz w:val="16"/>
          <w:szCs w:val="16"/>
          <w:lang w:val="es-BO"/>
        </w:rPr>
        <w:t>MEFP-VPCF-DGPGP-UGPPP</w:t>
      </w:r>
    </w:p>
    <w:p w14:paraId="66C3C938" w14:textId="111A4E68" w:rsidR="008B0716" w:rsidRDefault="008B0716">
      <w:pPr>
        <w:spacing w:line="288" w:lineRule="auto"/>
        <w:jc w:val="both"/>
        <w:rPr>
          <w:rFonts w:ascii="Century Gothic" w:eastAsia="Century Gothic" w:hAnsi="Century Gothic" w:cs="Century Gothic"/>
          <w:sz w:val="24"/>
          <w:lang w:val="es-BO"/>
          <w:szCs w:val="24"/>
        </w:rPr>
      </w:pPr>
    </w:p>
    <w:p w14:paraId="4CF99644" w14:textId="3450B673" w:rsidR="000D5962" w:rsidRPr="001A15AF" w:rsidRDefault="00D030A2">
      <w:pPr>
        <w:spacing w:line="288" w:lineRule="auto"/>
        <w:jc w:val="both"/>
        <w:rPr>
          <w:lang w:val="es-BO"/>
          <w:sz w:val="24"/>
          <w:szCs w:val="24"/>
        </w:rPr>
      </w:pPr>
      <w:r w:rsidRPr="001A15AF">
        <w:rPr>
          <w:rFonts w:ascii="Century Gothic" w:eastAsia="Century Gothic" w:hAnsi="Century Gothic" w:cs="Century Gothic"/>
          <w:sz w:val="24"/>
          <w:lang w:val="es-BO"/>
          <w:szCs w:val="24"/>
        </w:rPr>
        <w:t xml:space="preserve">En el sector externo, entre enero y agosto de 2026 las exportaciones sumaron USD8.987 millones y las importaciones USD6.958 millones, con un saldo comercial positivo de USD2.029 millones y superávit en siete de los ocho meses (ver Gráfico </w:t>
      </w:r>
      <w:proofErr w:type="spellStart"/>
      <w:r w:rsidRPr="001A15AF">
        <w:rPr>
          <w:rFonts w:ascii="Century Gothic" w:eastAsia="Century Gothic" w:hAnsi="Century Gothic" w:cs="Century Gothic"/>
          <w:sz w:val="24"/>
          <w:lang w:val="es-BO"/>
          <w:szCs w:val="24"/>
        </w:rPr>
        <w:t>N°</w:t>
      </w:r>
      <w:proofErr w:type="spellEnd"/>
      <w:r w:rsidRPr="001A15AF">
        <w:rPr>
          <w:rFonts w:ascii="Century Gothic" w:eastAsia="Century Gothic" w:hAnsi="Century Gothic" w:cs="Century Gothic"/>
          <w:sz w:val="24"/>
          <w:lang w:val="es-BO"/>
          <w:szCs w:val="24"/>
        </w:rPr>
        <w:t xml:space="preserve"> </w:t>
      </w:r>
      <w:r w:rsidR="00F72169">
        <w:rPr>
          <w:rFonts w:ascii="Century Gothic" w:eastAsia="Century Gothic" w:hAnsi="Century Gothic" w:cs="Century Gothic"/>
          <w:sz w:val="24"/>
          <w:lang w:val="es-BO"/>
          <w:szCs w:val="24"/>
        </w:rPr>
        <w:t>5</w:t>
      </w:r>
      <w:r w:rsidRPr="001A15AF">
        <w:rPr>
          <w:rFonts w:ascii="Century Gothic" w:eastAsia="Century Gothic" w:hAnsi="Century Gothic" w:cs="Century Gothic"/>
          <w:sz w:val="24"/>
          <w:lang w:val="es-BO"/>
          <w:szCs w:val="24"/>
        </w:rPr>
        <w:t>).</w:t>
      </w:r>
    </w:p>
    <w:p w14:paraId="39FD8560" w14:textId="77777777" w:rsidR="00E61859" w:rsidRDefault="00D030A2">
      <w:pPr>
        <w:keepNext/>
        <w:spacing w:after="0" w:line="288" w:lineRule="auto"/>
        <w:jc w:val="center"/>
        <w:rPr>
          <w:rFonts w:ascii="Century Gothic" w:eastAsia="Century Gothic" w:hAnsi="Century Gothic" w:cs="Century Gothic"/>
          <w:b/>
          <w:sz w:val="24"/>
          <w:lang w:val="es-BO"/>
          <w:szCs w:val="24"/>
        </w:rPr>
      </w:pPr>
      <w:r w:rsidRPr="001A15AF">
        <w:rPr>
          <w:rFonts w:ascii="Century Gothic" w:eastAsia="Century Gothic" w:hAnsi="Century Gothic" w:cs="Century Gothic"/>
          <w:b/>
          <w:sz w:val="24"/>
          <w:lang w:val="es-BO"/>
          <w:szCs w:val="24"/>
        </w:rPr>
        <w:lastRenderedPageBreak/>
        <w:t xml:space="preserve">Gráfico </w:t>
      </w:r>
      <w:proofErr w:type="spellStart"/>
      <w:r w:rsidRPr="001A15AF">
        <w:rPr>
          <w:rFonts w:ascii="Century Gothic" w:eastAsia="Century Gothic" w:hAnsi="Century Gothic" w:cs="Century Gothic"/>
          <w:b/>
          <w:sz w:val="24"/>
          <w:lang w:val="es-BO"/>
          <w:szCs w:val="24"/>
        </w:rPr>
        <w:t>N°</w:t>
      </w:r>
      <w:proofErr w:type="spellEnd"/>
      <w:r w:rsidRPr="001A15AF">
        <w:rPr>
          <w:rFonts w:ascii="Century Gothic" w:eastAsia="Century Gothic" w:hAnsi="Century Gothic" w:cs="Century Gothic"/>
          <w:b/>
          <w:sz w:val="24"/>
          <w:lang w:val="es-BO"/>
          <w:szCs w:val="24"/>
        </w:rPr>
        <w:t xml:space="preserve"> </w:t>
      </w:r>
      <w:r w:rsidR="00E61859">
        <w:rPr>
          <w:rFonts w:ascii="Century Gothic" w:eastAsia="Century Gothic" w:hAnsi="Century Gothic" w:cs="Century Gothic"/>
          <w:b/>
          <w:sz w:val="24"/>
          <w:lang w:val="es-BO"/>
          <w:szCs w:val="24"/>
        </w:rPr>
        <w:t>5</w:t>
      </w:r>
      <w:r w:rsidRPr="001A15AF">
        <w:rPr>
          <w:rFonts w:ascii="Century Gothic" w:eastAsia="Century Gothic" w:hAnsi="Century Gothic" w:cs="Century Gothic"/>
          <w:b/>
          <w:sz w:val="24"/>
          <w:lang w:val="es-BO"/>
          <w:szCs w:val="24"/>
        </w:rPr>
        <w:t>: Balanza comercial</w:t>
      </w:r>
    </w:p>
    <w:p w14:paraId="1E067D3B" w14:textId="60F5929A" w:rsidR="000D5962" w:rsidRPr="001A15AF" w:rsidRDefault="00E61859">
      <w:pPr>
        <w:keepNext/>
        <w:spacing w:after="0" w:line="288" w:lineRule="auto"/>
        <w:jc w:val="center"/>
        <w:rPr>
          <w:lang w:val="es-BO"/>
          <w:sz w:val="24"/>
          <w:szCs w:val="24"/>
        </w:rPr>
      </w:pPr>
      <w:r>
        <w:rPr>
          <w:rFonts w:ascii="Century Gothic" w:eastAsia="Century Gothic" w:hAnsi="Century Gothic" w:cs="Century Gothic"/>
          <w:b/>
          <w:sz w:val="24"/>
          <w:lang w:val="es-BO"/>
          <w:szCs w:val="24"/>
        </w:rPr>
        <w:t xml:space="preserve">2020 – </w:t>
      </w:r>
      <w:r w:rsidR="00D030A2" w:rsidRPr="001A15AF">
        <w:rPr>
          <w:rFonts w:ascii="Century Gothic" w:eastAsia="Century Gothic" w:hAnsi="Century Gothic" w:cs="Century Gothic"/>
          <w:b/>
          <w:sz w:val="24"/>
          <w:lang w:val="es-BO"/>
          <w:szCs w:val="24"/>
        </w:rPr>
        <w:t>2026</w:t>
      </w:r>
      <w:r>
        <w:rPr>
          <w:rFonts w:ascii="Century Gothic" w:eastAsia="Century Gothic" w:hAnsi="Century Gothic" w:cs="Century Gothic"/>
          <w:b/>
          <w:sz w:val="24"/>
          <w:lang w:val="es-BO"/>
          <w:szCs w:val="24"/>
        </w:rPr>
        <w:t xml:space="preserve"> (septiembre)</w:t>
      </w:r>
    </w:p>
    <w:p w14:paraId="79FF01B1" w14:textId="77777777" w:rsidR="000D5962" w:rsidRPr="00E61859" w:rsidRDefault="00D030A2">
      <w:pPr>
        <w:keepNext/>
        <w:spacing w:after="40" w:line="288" w:lineRule="auto"/>
        <w:jc w:val="center"/>
        <w:rPr>
          <w:lang w:val="es-ES"/>
          <w:sz w:val="24"/>
          <w:szCs w:val="24"/>
        </w:rPr>
      </w:pPr>
      <w:r w:rsidRPr="00E61859">
        <w:rPr>
          <w:rFonts w:ascii="Century Gothic" w:eastAsia="Century Gothic" w:hAnsi="Century Gothic" w:cs="Century Gothic"/>
          <w:i/>
          <w:sz w:val="24"/>
          <w:lang w:val="es-ES"/>
          <w:szCs w:val="24"/>
        </w:rPr>
        <w:t>(En millones de USD)</w:t>
      </w:r>
    </w:p>
    <w:p w14:paraId="46F0EB85" w14:textId="4518649B" w:rsidR="000D5962" w:rsidRDefault="002C6BFA">
      <w:pPr>
        <w:keepNext/>
        <w:jc w:val="center"/>
        <w:rPr>
          <w:sz w:val="24"/>
          <w:szCs w:val="24"/>
        </w:rPr>
      </w:pPr>
      <w:r w:rsidRPr="002C6BFA">
        <w:rPr>
          <w:noProof/>
        </w:rPr>
        <w:drawing>
          <wp:inline distT="0" distB="0" distL="0" distR="0" wp14:anchorId="7FBD6E3C" wp14:editId="4E1DAC52">
            <wp:extent cx="5720080" cy="3549015"/>
            <wp:effectExtent l="0" t="0" r="0" b="0"/>
            <wp:docPr id="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20080" cy="3549015"/>
                    </a:xfrm>
                    <a:prstGeom prst="rect">
                      <a:avLst/>
                    </a:prstGeom>
                    <a:noFill/>
                    <a:ln>
                      <a:noFill/>
                    </a:ln>
                  </pic:spPr>
                </pic:pic>
              </a:graphicData>
            </a:graphic>
          </wp:inline>
        </w:drawing>
      </w:r>
    </w:p>
    <w:p w14:paraId="23882FD9" w14:textId="7E426775" w:rsidR="000D5962" w:rsidRPr="001A15AF" w:rsidRDefault="00D030A2">
      <w:pPr>
        <w:spacing w:after="0" w:line="240" w:lineRule="auto" w:before="0"/>
        <w:rPr>
          <w:lang w:val="es-BO"/>
          <w:sz w:val="16"/>
          <w:szCs w:val="16"/>
        </w:rPr>
      </w:pPr>
      <w:r w:rsidRPr="001A15AF">
        <w:rPr>
          <w:rFonts w:ascii="Century Gothic" w:eastAsia="Century Gothic" w:hAnsi="Century Gothic" w:cs="Century Gothic"/>
          <w:b/>
          <w:sz w:val="16"/>
          <w:szCs w:val="16"/>
          <w:lang w:val="es-BO"/>
        </w:rPr>
        <w:t xml:space="preserve">Fuente: </w:t>
      </w:r>
      <w:r w:rsidRPr="001A15AF">
        <w:rPr>
          <w:rFonts w:ascii="Century Gothic" w:eastAsia="Century Gothic" w:hAnsi="Century Gothic" w:cs="Century Gothic"/>
          <w:sz w:val="16"/>
          <w:szCs w:val="16"/>
          <w:lang w:val="es-BO"/>
        </w:rPr>
        <w:t>I</w:t>
      </w:r>
      <w:r w:rsidR="00E61859">
        <w:rPr>
          <w:rFonts w:ascii="Century Gothic" w:eastAsia="Century Gothic" w:hAnsi="Century Gothic" w:cs="Century Gothic"/>
          <w:sz w:val="16"/>
          <w:szCs w:val="16"/>
          <w:lang w:val="es-BO"/>
        </w:rPr>
        <w:t>nstituto Nacional de Estadística</w:t>
      </w:r>
    </w:p>
    <w:p w14:paraId="3AA06C34" w14:textId="77777777" w:rsidR="000D5962" w:rsidRPr="001A15AF" w:rsidRDefault="00D030A2">
      <w:pPr>
        <w:spacing w:after="0" w:line="240" w:lineRule="auto" w:before="0"/>
        <w:rPr>
          <w:lang w:val="es-BO"/>
          <w:sz w:val="16"/>
          <w:szCs w:val="16"/>
        </w:rPr>
      </w:pPr>
      <w:r w:rsidRPr="001A15AF">
        <w:rPr>
          <w:rFonts w:ascii="Century Gothic" w:eastAsia="Century Gothic" w:hAnsi="Century Gothic" w:cs="Century Gothic"/>
          <w:b/>
          <w:sz w:val="16"/>
          <w:szCs w:val="16"/>
          <w:lang w:val="es-BO"/>
        </w:rPr>
        <w:t xml:space="preserve">Elaboración: </w:t>
      </w:r>
      <w:r w:rsidRPr="001A15AF">
        <w:rPr>
          <w:rFonts w:ascii="Century Gothic" w:eastAsia="Century Gothic" w:hAnsi="Century Gothic" w:cs="Century Gothic"/>
          <w:sz w:val="16"/>
          <w:szCs w:val="16"/>
          <w:lang w:val="es-BO"/>
        </w:rPr>
        <w:t>MEFP-VPCF-DGPGP-UGPPP</w:t>
      </w:r>
    </w:p>
    <w:p w14:paraId="241EF529" w14:textId="77777777" w:rsidR="000D5962" w:rsidRPr="001A15AF" w:rsidRDefault="000D5962">
      <w:pPr>
        <w:spacing w:after="40"/>
        <w:rPr>
          <w:lang w:val="es-BO"/>
          <w:sz w:val="24"/>
          <w:szCs w:val="24"/>
        </w:rPr>
      </w:pPr>
    </w:p>
    <w:p w14:paraId="271F20AD" w14:textId="25D1E811" w:rsidR="000D5962" w:rsidRPr="001A15AF" w:rsidRDefault="00D030A2">
      <w:pPr>
        <w:spacing w:line="288" w:lineRule="auto"/>
        <w:jc w:val="both"/>
        <w:rPr>
          <w:lang w:val="es-BO"/>
          <w:sz w:val="24"/>
          <w:szCs w:val="24"/>
        </w:rPr>
      </w:pPr>
      <w:r w:rsidRPr="001A15AF">
        <w:rPr>
          <w:rFonts w:ascii="Century Gothic" w:eastAsia="Century Gothic" w:hAnsi="Century Gothic" w:cs="Century Gothic"/>
          <w:sz w:val="24"/>
          <w:lang w:val="es-BO"/>
          <w:szCs w:val="24"/>
        </w:rPr>
        <w:t>La recaudación tributaria sin el Impuesto Directo a los Hidrocarburos (IDH) ni el Impuesto Especial a los Hidrocarburos y sus Derivados (IEHD) alcanzó Bs</w:t>
      </w:r>
      <w:r w:rsidR="002C6BFA">
        <w:rPr>
          <w:rFonts w:ascii="Century Gothic" w:eastAsia="Century Gothic" w:hAnsi="Century Gothic" w:cs="Century Gothic"/>
          <w:sz w:val="24"/>
          <w:lang w:val="es-BO"/>
          <w:szCs w:val="24"/>
        </w:rPr>
        <w:t>45.851</w:t>
      </w:r>
      <w:r w:rsidRPr="001A15AF">
        <w:rPr>
          <w:rFonts w:ascii="Century Gothic" w:eastAsia="Century Gothic" w:hAnsi="Century Gothic" w:cs="Century Gothic"/>
          <w:sz w:val="24"/>
          <w:lang w:val="es-BO"/>
          <w:szCs w:val="24"/>
        </w:rPr>
        <w:t xml:space="preserve"> millones </w:t>
      </w:r>
      <w:r w:rsidR="002C6BFA">
        <w:rPr>
          <w:rFonts w:ascii="Century Gothic" w:eastAsia="Century Gothic" w:hAnsi="Century Gothic" w:cs="Century Gothic"/>
          <w:sz w:val="24"/>
          <w:lang w:val="es-BO"/>
          <w:szCs w:val="24"/>
        </w:rPr>
        <w:t>a septiembre 2026</w:t>
      </w:r>
      <w:r w:rsidRPr="001A15AF">
        <w:rPr>
          <w:rFonts w:ascii="Century Gothic" w:eastAsia="Century Gothic" w:hAnsi="Century Gothic" w:cs="Century Gothic"/>
          <w:sz w:val="24"/>
          <w:lang w:val="es-BO"/>
          <w:szCs w:val="24"/>
        </w:rPr>
        <w:t xml:space="preserve">, el IDH </w:t>
      </w:r>
      <w:r w:rsidR="002C6BFA">
        <w:rPr>
          <w:rFonts w:ascii="Century Gothic" w:eastAsia="Century Gothic" w:hAnsi="Century Gothic" w:cs="Century Gothic"/>
          <w:sz w:val="24"/>
          <w:lang w:val="es-BO"/>
          <w:szCs w:val="24"/>
        </w:rPr>
        <w:t xml:space="preserve">a </w:t>
      </w:r>
      <w:r w:rsidRPr="001A15AF">
        <w:rPr>
          <w:rFonts w:ascii="Century Gothic" w:eastAsia="Century Gothic" w:hAnsi="Century Gothic" w:cs="Century Gothic"/>
          <w:sz w:val="24"/>
          <w:lang w:val="es-BO"/>
          <w:szCs w:val="24"/>
        </w:rPr>
        <w:t>Bs</w:t>
      </w:r>
      <w:r w:rsidR="002C6BFA">
        <w:rPr>
          <w:rFonts w:ascii="Century Gothic" w:eastAsia="Century Gothic" w:hAnsi="Century Gothic" w:cs="Century Gothic"/>
          <w:sz w:val="24"/>
          <w:lang w:val="es-BO"/>
          <w:szCs w:val="24"/>
        </w:rPr>
        <w:t>3.109</w:t>
      </w:r>
      <w:r w:rsidRPr="001A15AF">
        <w:rPr>
          <w:rFonts w:ascii="Century Gothic" w:eastAsia="Century Gothic" w:hAnsi="Century Gothic" w:cs="Century Gothic"/>
          <w:sz w:val="24"/>
          <w:lang w:val="es-BO"/>
          <w:szCs w:val="24"/>
        </w:rPr>
        <w:t xml:space="preserve"> millones </w:t>
      </w:r>
      <w:r w:rsidR="002C6BFA">
        <w:rPr>
          <w:rFonts w:ascii="Century Gothic" w:eastAsia="Century Gothic" w:hAnsi="Century Gothic" w:cs="Century Gothic"/>
          <w:sz w:val="24"/>
          <w:lang w:val="es-BO"/>
          <w:szCs w:val="24"/>
        </w:rPr>
        <w:t xml:space="preserve">y el IEHD a Bs1.428 millones, totalizando a septiembre 2026 Bs50.389 millones </w:t>
      </w:r>
      <w:r w:rsidRPr="001A15AF">
        <w:rPr>
          <w:rFonts w:ascii="Century Gothic" w:eastAsia="Century Gothic" w:hAnsi="Century Gothic" w:cs="Century Gothic"/>
          <w:sz w:val="24"/>
          <w:lang w:val="es-BO"/>
          <w:szCs w:val="24"/>
        </w:rPr>
        <w:t xml:space="preserve">(ver Gráfico </w:t>
      </w:r>
      <w:proofErr w:type="spellStart"/>
      <w:r w:rsidRPr="001A15AF">
        <w:rPr>
          <w:rFonts w:ascii="Century Gothic" w:eastAsia="Century Gothic" w:hAnsi="Century Gothic" w:cs="Century Gothic"/>
          <w:sz w:val="24"/>
          <w:lang w:val="es-BO"/>
          <w:szCs w:val="24"/>
        </w:rPr>
        <w:t>N°</w:t>
      </w:r>
      <w:proofErr w:type="spellEnd"/>
      <w:r w:rsidRPr="001A15AF">
        <w:rPr>
          <w:rFonts w:ascii="Century Gothic" w:eastAsia="Century Gothic" w:hAnsi="Century Gothic" w:cs="Century Gothic"/>
          <w:sz w:val="24"/>
          <w:lang w:val="es-BO"/>
          <w:szCs w:val="24"/>
        </w:rPr>
        <w:t xml:space="preserve"> 6).</w:t>
      </w:r>
    </w:p>
    <w:p w14:paraId="7035554D" w14:textId="73F3404D" w:rsidR="000D5962" w:rsidRPr="001A15AF" w:rsidRDefault="00D030A2">
      <w:pPr>
        <w:keepNext/>
        <w:spacing w:after="0" w:line="288" w:lineRule="auto"/>
        <w:jc w:val="center"/>
        <w:rPr>
          <w:lang w:val="es-BO"/>
          <w:sz w:val="24"/>
          <w:szCs w:val="24"/>
        </w:rPr>
      </w:pPr>
      <w:r w:rsidRPr="001A15AF">
        <w:rPr>
          <w:rFonts w:ascii="Century Gothic" w:eastAsia="Century Gothic" w:hAnsi="Century Gothic" w:cs="Century Gothic"/>
          <w:b/>
          <w:sz w:val="24"/>
          <w:lang w:val="es-BO"/>
          <w:szCs w:val="24"/>
        </w:rPr>
        <w:lastRenderedPageBreak/>
        <w:t xml:space="preserve">Gráfico </w:t>
      </w:r>
      <w:proofErr w:type="spellStart"/>
      <w:r w:rsidRPr="001A15AF">
        <w:rPr>
          <w:rFonts w:ascii="Century Gothic" w:eastAsia="Century Gothic" w:hAnsi="Century Gothic" w:cs="Century Gothic"/>
          <w:b/>
          <w:sz w:val="24"/>
          <w:lang w:val="es-BO"/>
          <w:szCs w:val="24"/>
        </w:rPr>
        <w:t>N°</w:t>
      </w:r>
      <w:proofErr w:type="spellEnd"/>
      <w:r w:rsidRPr="001A15AF">
        <w:rPr>
          <w:rFonts w:ascii="Century Gothic" w:eastAsia="Century Gothic" w:hAnsi="Century Gothic" w:cs="Century Gothic"/>
          <w:b/>
          <w:sz w:val="24"/>
          <w:lang w:val="es-BO"/>
          <w:szCs w:val="24"/>
        </w:rPr>
        <w:t xml:space="preserve"> 6: Recaudación tributaria, 20</w:t>
      </w:r>
      <w:r w:rsidR="005C0F59">
        <w:rPr>
          <w:rFonts w:ascii="Century Gothic" w:eastAsia="Century Gothic" w:hAnsi="Century Gothic" w:cs="Century Gothic"/>
          <w:b/>
          <w:sz w:val="24"/>
          <w:lang w:val="es-BO"/>
          <w:szCs w:val="24"/>
        </w:rPr>
        <w:t>20</w:t>
      </w:r>
      <w:r w:rsidRPr="001A15AF">
        <w:rPr>
          <w:rFonts w:ascii="Century Gothic" w:eastAsia="Century Gothic" w:hAnsi="Century Gothic" w:cs="Century Gothic"/>
          <w:b/>
          <w:sz w:val="24"/>
          <w:lang w:val="es-BO"/>
          <w:szCs w:val="24"/>
        </w:rPr>
        <w:t xml:space="preserve"> – 2025</w:t>
      </w:r>
    </w:p>
    <w:p w14:paraId="49165D9D" w14:textId="77777777" w:rsidR="000D5962" w:rsidRPr="001A15AF" w:rsidRDefault="00D030A2">
      <w:pPr>
        <w:keepNext/>
        <w:spacing w:after="40" w:line="288" w:lineRule="auto"/>
        <w:jc w:val="center"/>
        <w:rPr>
          <w:lang w:val="es-BO"/>
          <w:sz w:val="24"/>
          <w:szCs w:val="24"/>
        </w:rPr>
      </w:pPr>
      <w:r w:rsidRPr="001A15AF">
        <w:rPr>
          <w:rFonts w:ascii="Century Gothic" w:eastAsia="Century Gothic" w:hAnsi="Century Gothic" w:cs="Century Gothic"/>
          <w:i/>
          <w:sz w:val="24"/>
          <w:lang w:val="es-BO"/>
          <w:szCs w:val="24"/>
        </w:rPr>
        <w:t>(En millones de bolivianos)</w:t>
      </w:r>
    </w:p>
    <w:p w14:paraId="7A122693" w14:textId="0D11C90A" w:rsidR="000D5962" w:rsidRDefault="002C6BFA">
      <w:pPr>
        <w:keepNext/>
        <w:jc w:val="center"/>
        <w:rPr>
          <w:sz w:val="24"/>
          <w:szCs w:val="24"/>
        </w:rPr>
      </w:pPr>
      <w:r w:rsidRPr="002C6BFA">
        <w:rPr>
          <w:noProof/>
        </w:rPr>
        <w:drawing>
          <wp:inline distT="0" distB="0" distL="0" distR="0" wp14:anchorId="5239056B" wp14:editId="4814EE92">
            <wp:extent cx="5720080" cy="3851275"/>
            <wp:effectExtent l="0" t="0" r="0" b="0"/>
            <wp:docPr id="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20080" cy="3851275"/>
                    </a:xfrm>
                    <a:prstGeom prst="rect">
                      <a:avLst/>
                    </a:prstGeom>
                    <a:noFill/>
                    <a:ln>
                      <a:noFill/>
                    </a:ln>
                  </pic:spPr>
                </pic:pic>
              </a:graphicData>
            </a:graphic>
          </wp:inline>
        </w:drawing>
      </w:r>
    </w:p>
    <w:p w14:paraId="255ECDBD" w14:textId="77777777" w:rsidR="000D5962" w:rsidRPr="001A15AF" w:rsidRDefault="00D030A2">
      <w:pPr>
        <w:spacing w:after="0" w:line="240" w:lineRule="auto" w:before="0"/>
        <w:rPr>
          <w:lang w:val="es-BO"/>
          <w:sz w:val="16"/>
          <w:szCs w:val="16"/>
        </w:rPr>
      </w:pPr>
      <w:r w:rsidRPr="001A15AF">
        <w:rPr>
          <w:rFonts w:ascii="Century Gothic" w:eastAsia="Century Gothic" w:hAnsi="Century Gothic" w:cs="Century Gothic"/>
          <w:b/>
          <w:sz w:val="16"/>
          <w:szCs w:val="16"/>
          <w:lang w:val="es-BO"/>
        </w:rPr>
        <w:t xml:space="preserve">Fuente: </w:t>
      </w:r>
      <w:r w:rsidRPr="001A15AF">
        <w:rPr>
          <w:rFonts w:ascii="Century Gothic" w:eastAsia="Century Gothic" w:hAnsi="Century Gothic" w:cs="Century Gothic"/>
          <w:sz w:val="16"/>
          <w:szCs w:val="16"/>
          <w:lang w:val="es-BO"/>
        </w:rPr>
        <w:t>Viceministerio de Política Tributaria (VPT)</w:t>
      </w:r>
    </w:p>
    <w:p w14:paraId="41079AB6" w14:textId="77777777" w:rsidR="000D5962" w:rsidRPr="001A15AF" w:rsidRDefault="00D030A2">
      <w:pPr>
        <w:spacing w:after="0" w:line="240" w:lineRule="auto" w:before="0"/>
        <w:rPr>
          <w:lang w:val="es-BO"/>
          <w:sz w:val="16"/>
          <w:szCs w:val="16"/>
        </w:rPr>
      </w:pPr>
      <w:r w:rsidRPr="001A15AF">
        <w:rPr>
          <w:rFonts w:ascii="Century Gothic" w:eastAsia="Century Gothic" w:hAnsi="Century Gothic" w:cs="Century Gothic"/>
          <w:b/>
          <w:sz w:val="16"/>
          <w:szCs w:val="16"/>
          <w:lang w:val="es-BO"/>
        </w:rPr>
        <w:t xml:space="preserve">Elaboración: </w:t>
      </w:r>
      <w:r w:rsidRPr="001A15AF">
        <w:rPr>
          <w:rFonts w:ascii="Century Gothic" w:eastAsia="Century Gothic" w:hAnsi="Century Gothic" w:cs="Century Gothic"/>
          <w:sz w:val="16"/>
          <w:szCs w:val="16"/>
          <w:lang w:val="es-BO"/>
        </w:rPr>
        <w:t>MEFP-VPCF-DGPGP-UGPPP</w:t>
      </w:r>
    </w:p>
    <w:bookmarkEnd w:id="3"/>
    <w:p w14:paraId="5BC703CB" w14:textId="77777777" w:rsidR="000D5962" w:rsidRDefault="000D5962">
      <w:pPr>
        <w:spacing w:after="40"/>
        <w:rPr>
          <w:sz w:val="24"/>
          <w:szCs w:val="24"/>
        </w:rPr>
      </w:pPr>
    </w:p>
    <w:p w14:paraId="7CE96E1D" w14:textId="77777777" w:rsidR="000D5962" w:rsidRDefault="00D030A2">
      <w:pPr>
        <w:pStyle w:val="Ttulo2"/>
        <w:spacing w:line="288" w:lineRule="auto"/>
        <w:rPr>
          <w:sz w:val="24"/>
          <w:szCs w:val="24"/>
        </w:rPr>
      </w:pPr>
      <w:r>
        <w:rPr>
          <w:rFonts w:ascii="Century Gothic" w:eastAsia="Century Gothic" w:hAnsi="Century Gothic" w:cs="Century Gothic"/>
          <w:szCs w:val="24"/>
          <w:sz w:val="24"/>
        </w:rPr>
        <w:t xml:space="preserve">2.4. Medidas Implementadas (MARCO)</w:t>
      </w:r>
    </w:p>
    <w:p w14:paraId="6CC81A68" w14:textId="77777777" w:rsidR="00760751" w:rsidRDefault="00760751">
      <w:pPr>
        <w:spacing w:line="288" w:lineRule="auto"/>
        <w:jc w:val="both"/>
        <w:rPr>
          <w:rFonts w:ascii="Century Gothic" w:eastAsia="Century Gothic" w:hAnsi="Century Gothic" w:cs="Century Gothic"/>
          <w:sz w:val="24"/>
          <w:lang w:val="es-BO"/>
          <w:szCs w:val="24"/>
        </w:rPr>
      </w:pPr>
      <w:r>
        <w:rPr>
          <w:rFonts w:ascii="Century Gothic" w:eastAsia="Century Gothic" w:hAnsi="Century Gothic" w:cs="Century Gothic"/>
          <w:sz w:val="24"/>
          <w:lang w:val="es-BO"/>
          <w:szCs w:val="24"/>
        </w:rPr>
        <w:t xml:space="preserve">Desde noviembre 2026, el gobierno del presidente Rodrigo Paz Pereira </w:t>
      </w:r>
      <w:r w:rsidRPr="00760751">
        <w:rPr>
          <w:rFonts w:ascii="Century Gothic" w:eastAsia="Century Gothic" w:hAnsi="Century Gothic" w:cs="Century Gothic"/>
          <w:sz w:val="24"/>
          <w:lang w:val="es-BO"/>
          <w:szCs w:val="24"/>
        </w:rPr>
        <w:t>se orient</w:t>
      </w:r>
      <w:r>
        <w:rPr>
          <w:rFonts w:ascii="Century Gothic" w:eastAsia="Century Gothic" w:hAnsi="Century Gothic" w:cs="Century Gothic"/>
          <w:sz w:val="24"/>
          <w:lang w:val="es-BO"/>
          <w:szCs w:val="24"/>
        </w:rPr>
        <w:t>ó</w:t>
      </w:r>
      <w:r w:rsidRPr="00760751">
        <w:rPr>
          <w:rFonts w:ascii="Century Gothic" w:eastAsia="Century Gothic" w:hAnsi="Century Gothic" w:cs="Century Gothic"/>
          <w:sz w:val="24"/>
          <w:lang w:val="es-BO"/>
          <w:szCs w:val="24"/>
        </w:rPr>
        <w:t xml:space="preserve"> a corregir los desequilibrios fiscales y externos, recuperar la estabilidad de precios, reconstruir las reservas internacionales y restablecer las condiciones para la reactivación productiva. Las medidas anunciadas en la gestión 2026 combinan el ordenamiento de los recursos públicos, la modificación del marco monetario y cambiario, la movilización de financiamiento externo y la ampliación de los mecanismos de protección social</w:t>
      </w:r>
      <w:r>
        <w:rPr>
          <w:rFonts w:ascii="Century Gothic" w:eastAsia="Century Gothic" w:hAnsi="Century Gothic" w:cs="Century Gothic"/>
          <w:sz w:val="24"/>
          <w:lang w:val="es-BO"/>
          <w:szCs w:val="24"/>
        </w:rPr>
        <w:t xml:space="preserve">. </w:t>
      </w:r>
    </w:p>
    <w:p w14:paraId="223259E7" w14:textId="45B93236" w:rsidR="000D5962" w:rsidRDefault="00D030A2">
      <w:pPr>
        <w:spacing w:line="288" w:lineRule="auto"/>
        <w:jc w:val="both"/>
        <w:rPr>
          <w:rFonts w:ascii="Century Gothic" w:eastAsia="Century Gothic" w:hAnsi="Century Gothic" w:cs="Century Gothic"/>
          <w:sz w:val="24"/>
          <w:lang w:val="es-BO"/>
          <w:szCs w:val="24"/>
        </w:rPr>
      </w:pPr>
      <w:r w:rsidRPr="00EA20E7">
        <w:rPr>
          <w:rFonts w:ascii="Century Gothic" w:eastAsia="Century Gothic" w:hAnsi="Century Gothic" w:cs="Century Gothic"/>
          <w:sz w:val="24"/>
          <w:lang w:val="es-BO"/>
          <w:szCs w:val="24"/>
        </w:rPr>
        <w:t>Entre las principales medidas se encuentran:</w:t>
      </w:r>
    </w:p>
    <w:p w14:paraId="4C5418E3" w14:textId="77777777" w:rsidR="0017583F" w:rsidRDefault="0017583F">
      <w:pPr>
        <w:spacing w:line="288" w:lineRule="auto"/>
        <w:jc w:val="both"/>
        <w:rPr>
          <w:rFonts w:ascii="Century Gothic" w:eastAsia="Century Gothic" w:hAnsi="Century Gothic" w:cs="Century Gothic"/>
          <w:sz w:val="24"/>
          <w:lang w:val="es-BO"/>
          <w:szCs w:val="24"/>
        </w:rPr>
      </w:pPr>
    </w:p>
    <w:p w14:paraId="5BDD7F7D" w14:textId="77777777" w:rsidR="0017583F" w:rsidRDefault="0017583F">
      <w:pPr>
        <w:spacing w:line="288" w:lineRule="auto"/>
        <w:jc w:val="both"/>
        <w:rPr>
          <w:rFonts w:ascii="Century Gothic" w:eastAsia="Century Gothic" w:hAnsi="Century Gothic" w:cs="Century Gothic"/>
          <w:sz w:val="24"/>
          <w:lang w:val="es-BO"/>
          <w:szCs w:val="24"/>
        </w:rPr>
      </w:pPr>
    </w:p>
    <w:p w14:paraId="118F5BF0" w14:textId="77777777" w:rsidR="0017583F" w:rsidRPr="00EA20E7" w:rsidRDefault="0017583F">
      <w:pPr>
        <w:spacing w:line="288" w:lineRule="auto"/>
        <w:jc w:val="both"/>
        <w:rPr>
          <w:lang w:val="es-BO"/>
          <w:sz w:val="24"/>
          <w:szCs w:val="24"/>
        </w:rPr>
      </w:pPr>
    </w:p>
    <w:p w14:paraId="222FFB9F" w14:textId="77777777" w:rsidR="0017583F" w:rsidRPr="00270F9D" w:rsidRDefault="0017583F" w:rsidP="00270F9D">
      <w:pPr>
        <w:pStyle w:val="Prrafodelista"/>
        <w:spacing w:after="160"/>
        <w:jc w:val="both"/>
        <w:rPr>
          <w:rFonts w:ascii="Century Gothic" w:hAnsi="Century Gothic"/>
          <w:b/>
          <w:bCs/>
          <w:sz w:val="24"/>
          <w:szCs w:val="24"/>
        </w:rPr>
      </w:pPr>
      <w:r w:rsidRPr="00270F9D">
        <w:rPr>
          <w:rFonts w:ascii="Century Gothic" w:hAnsi="Century Gothic"/>
          <w:b/>
          <w:bCs/>
          <w:sz w:val="24"/>
          <w:szCs w:val="24"/>
        </w:rPr>
        <w:lastRenderedPageBreak/>
        <w:t>MEDIDAS ECONOMICAS</w:t>
      </w:r>
    </w:p>
    <w:p w14:paraId="25D4BEA2" w14:textId="77777777" w:rsidR="0017583F" w:rsidRPr="00270F9D" w:rsidRDefault="0017583F" w:rsidP="00270F9D">
      <w:pPr>
        <w:pStyle w:val="Prrafodelista"/>
        <w:spacing w:after="160"/>
        <w:jc w:val="both"/>
        <w:rPr>
          <w:rFonts w:ascii="Century Gothic" w:hAnsi="Century Gothic"/>
          <w:b/>
          <w:bCs/>
          <w:sz w:val="24"/>
          <w:szCs w:val="24"/>
        </w:rPr>
      </w:pPr>
    </w:p>
    <w:p w14:paraId="6DA20558" w14:textId="77777777" w:rsidR="0017583F" w:rsidRPr="00270F9D" w:rsidRDefault="0017583F" w:rsidP="00270F9D">
      <w:pPr>
        <w:pStyle w:val="Prrafodelista"/>
        <w:numPr>
          <w:ilvl w:val="0"/>
          <w:numId w:val="10"/>
        </w:numPr>
        <w:spacing w:after="160"/>
        <w:jc w:val="both"/>
        <w:rPr>
          <w:rFonts w:ascii="Century Gothic" w:hAnsi="Century Gothic"/>
          <w:b/>
          <w:bCs/>
          <w:sz w:val="24"/>
          <w:lang w:val="es-BO"/>
          <w:szCs w:val="24"/>
        </w:rPr>
      </w:pPr>
      <w:r w:rsidRPr="00270F9D">
        <w:rPr>
          <w:rFonts w:ascii="Century Gothic" w:hAnsi="Century Gothic"/>
          <w:b/>
          <w:bCs/>
          <w:sz w:val="24"/>
          <w:lang w:val="es-BO"/>
          <w:szCs w:val="24"/>
        </w:rPr>
        <w:t xml:space="preserve">Diferimiento arancelario para la importación de gasolina, </w:t>
      </w:r>
      <w:r w:rsidRPr="00270F9D">
        <w:rPr>
          <w:rFonts w:ascii="Century Gothic" w:hAnsi="Century Gothic"/>
          <w:sz w:val="24"/>
          <w:lang w:val="es-BO"/>
          <w:szCs w:val="24"/>
        </w:rPr>
        <w:t>con Decreto Supremo Nº 5512 de 29 de diciembre de 2025, se amplió hasta el 31 de diciembre de 2026 el diferimiento del gravamen arancelario para la importación de gasolina destinada a vehículos automotores, facilitando el abastecimiento importado.</w:t>
      </w:r>
    </w:p>
    <w:p w14:paraId="7BB3FF85" w14:textId="77777777" w:rsidR="0017583F" w:rsidRPr="00270F9D" w:rsidRDefault="0017583F" w:rsidP="00270F9D">
      <w:pPr>
        <w:pStyle w:val="Prrafodelista"/>
        <w:spacing w:after="160"/>
        <w:jc w:val="both"/>
        <w:rPr>
          <w:rFonts w:ascii="Century Gothic" w:hAnsi="Century Gothic"/>
          <w:b/>
          <w:bCs/>
          <w:sz w:val="24"/>
          <w:lang w:val="es-BO"/>
          <w:szCs w:val="24"/>
        </w:rPr>
      </w:pPr>
    </w:p>
    <w:p w14:paraId="435E8994" w14:textId="77777777" w:rsidR="0017583F" w:rsidRPr="00270F9D" w:rsidRDefault="0017583F" w:rsidP="00270F9D">
      <w:pPr>
        <w:pStyle w:val="Prrafodelista"/>
        <w:numPr>
          <w:ilvl w:val="0"/>
          <w:numId w:val="10"/>
        </w:numPr>
        <w:spacing w:after="160"/>
        <w:jc w:val="both"/>
        <w:rPr>
          <w:rFonts w:ascii="Century Gothic" w:hAnsi="Century Gothic"/>
          <w:b/>
          <w:bCs/>
          <w:sz w:val="24"/>
          <w:lang w:val="es-BO"/>
          <w:szCs w:val="24"/>
        </w:rPr>
      </w:pPr>
      <w:r w:rsidRPr="00270F9D">
        <w:rPr>
          <w:rFonts w:ascii="Century Gothic" w:hAnsi="Century Gothic"/>
          <w:b/>
          <w:bCs/>
          <w:sz w:val="24"/>
          <w:lang w:val="es-BO"/>
          <w:szCs w:val="24"/>
        </w:rPr>
        <w:t xml:space="preserve">Precios de combustibles líquidos, </w:t>
      </w:r>
      <w:r w:rsidRPr="00270F9D">
        <w:rPr>
          <w:rFonts w:ascii="Century Gothic" w:hAnsi="Century Gothic"/>
          <w:sz w:val="24"/>
          <w:lang w:val="es-BO"/>
          <w:szCs w:val="24"/>
        </w:rPr>
        <w:t>mediante</w:t>
      </w:r>
      <w:r w:rsidRPr="00270F9D">
        <w:rPr>
          <w:rFonts w:ascii="Century Gothic" w:hAnsi="Century Gothic"/>
          <w:b/>
          <w:bCs/>
          <w:sz w:val="24"/>
          <w:lang w:val="es-BO"/>
          <w:szCs w:val="24"/>
        </w:rPr>
        <w:t xml:space="preserve"> </w:t>
      </w:r>
      <w:r w:rsidRPr="00270F9D">
        <w:rPr>
          <w:rFonts w:ascii="Century Gothic" w:hAnsi="Century Gothic"/>
          <w:sz w:val="24"/>
          <w:lang w:val="es-BO"/>
          <w:szCs w:val="24"/>
        </w:rPr>
        <w:t>Decreto Supremo (D.S.) Nº 5516 de 13 de enero de 2026, se establece un esquema de precios internos para productos derivados del petróleo (con excepción del GLP), junto con medidas sociales y fiscales. En septiembre de 2026 el Gobierno anunció que el precio del diésel se vincularía al costo internacional de importación, con el argumento de asegurar abastecimiento y redirigir recursos antes destinados a subvención.</w:t>
      </w:r>
    </w:p>
    <w:p w14:paraId="1CD0BAC6" w14:textId="77777777" w:rsidR="0017583F" w:rsidRPr="00270F9D" w:rsidRDefault="0017583F" w:rsidP="00270F9D">
      <w:pPr>
        <w:pStyle w:val="Prrafodelista"/>
        <w:jc w:val="both"/>
        <w:rPr>
          <w:rFonts w:ascii="Century Gothic" w:hAnsi="Century Gothic"/>
          <w:b/>
          <w:bCs/>
          <w:sz w:val="24"/>
          <w:lang w:val="es-BO"/>
          <w:szCs w:val="24"/>
        </w:rPr>
      </w:pPr>
    </w:p>
    <w:p w14:paraId="0E9A06C3" w14:textId="77777777" w:rsidR="0017583F" w:rsidRPr="00270F9D" w:rsidRDefault="0017583F" w:rsidP="00270F9D">
      <w:pPr>
        <w:pStyle w:val="Prrafodelista"/>
        <w:numPr>
          <w:ilvl w:val="0"/>
          <w:numId w:val="10"/>
        </w:numPr>
        <w:spacing w:after="160"/>
        <w:jc w:val="both"/>
        <w:rPr>
          <w:rFonts w:ascii="Century Gothic" w:hAnsi="Century Gothic"/>
          <w:sz w:val="24"/>
          <w:lang w:val="es-BO"/>
          <w:szCs w:val="24"/>
        </w:rPr>
      </w:pPr>
      <w:r w:rsidRPr="00270F9D">
        <w:rPr>
          <w:rFonts w:ascii="Century Gothic" w:hAnsi="Century Gothic"/>
          <w:b/>
          <w:bCs/>
          <w:sz w:val="24"/>
          <w:lang w:val="es-BO"/>
          <w:szCs w:val="24"/>
        </w:rPr>
        <w:t xml:space="preserve">Arancel cero para determinados bienes, </w:t>
      </w:r>
      <w:r w:rsidRPr="00270F9D">
        <w:rPr>
          <w:rFonts w:ascii="Century Gothic" w:hAnsi="Century Gothic"/>
          <w:sz w:val="24"/>
          <w:lang w:val="es-BO"/>
          <w:szCs w:val="24"/>
        </w:rPr>
        <w:t xml:space="preserve">mediante D.S. Nº 5516 antes citado, se modificó a 0% el gravamen arancelario de productos incluidos en sus anexos 3 y 4, entre ellos determinados bienes de capital, equipos, repuestos e insumos. </w:t>
      </w:r>
    </w:p>
    <w:p w14:paraId="46022F98" w14:textId="77777777" w:rsidR="0017583F" w:rsidRPr="00270F9D" w:rsidRDefault="0017583F" w:rsidP="00270F9D">
      <w:pPr>
        <w:pStyle w:val="Prrafodelista"/>
        <w:rPr>
          <w:rFonts w:ascii="Century Gothic" w:hAnsi="Century Gothic"/>
          <w:sz w:val="24"/>
          <w:lang w:val="es-BO"/>
          <w:szCs w:val="24"/>
        </w:rPr>
      </w:pPr>
    </w:p>
    <w:p w14:paraId="5CE8C25E" w14:textId="77777777" w:rsidR="0017583F" w:rsidRPr="00270F9D" w:rsidRDefault="0017583F" w:rsidP="00270F9D">
      <w:pPr>
        <w:pStyle w:val="Prrafodelista"/>
        <w:numPr>
          <w:ilvl w:val="0"/>
          <w:numId w:val="10"/>
        </w:numPr>
        <w:spacing w:after="160"/>
        <w:jc w:val="both"/>
        <w:rPr>
          <w:rFonts w:ascii="Century Gothic" w:hAnsi="Century Gothic"/>
          <w:sz w:val="24"/>
          <w:lang w:val="es-BO"/>
          <w:szCs w:val="24"/>
        </w:rPr>
      </w:pPr>
      <w:r w:rsidRPr="00270F9D">
        <w:rPr>
          <w:rFonts w:ascii="Century Gothic" w:hAnsi="Century Gothic"/>
          <w:b/>
          <w:bCs/>
          <w:sz w:val="24"/>
          <w:lang w:val="es-BO"/>
          <w:szCs w:val="24"/>
        </w:rPr>
        <w:t xml:space="preserve">Arancel cero para determinados dispositivos electrónicos, </w:t>
      </w:r>
      <w:r w:rsidRPr="00270F9D">
        <w:rPr>
          <w:rFonts w:ascii="Century Gothic" w:hAnsi="Century Gothic"/>
          <w:sz w:val="24"/>
          <w:lang w:val="es-BO"/>
          <w:szCs w:val="24"/>
        </w:rPr>
        <w:t>con D.S. Nº 5518 13 de enero de 2026 se fijó gravamen arancelario del 0 % hasta el 31 de diciembre de 2026 para dispositivos electrónicos determinados en los anexos, con la finalidad de reducir costos de importación de esos bienes.</w:t>
      </w:r>
    </w:p>
    <w:p w14:paraId="68757C6B" w14:textId="77777777" w:rsidR="0017583F" w:rsidRPr="00270F9D" w:rsidRDefault="0017583F" w:rsidP="00270F9D">
      <w:pPr>
        <w:pStyle w:val="Prrafodelista"/>
        <w:jc w:val="both"/>
        <w:rPr>
          <w:rFonts w:ascii="Century Gothic" w:hAnsi="Century Gothic"/>
          <w:sz w:val="24"/>
          <w:lang w:val="es-BO"/>
          <w:szCs w:val="24"/>
        </w:rPr>
      </w:pPr>
    </w:p>
    <w:p w14:paraId="7E3300C4" w14:textId="77777777" w:rsidR="0017583F" w:rsidRPr="00270F9D" w:rsidRDefault="0017583F" w:rsidP="00270F9D">
      <w:pPr>
        <w:pStyle w:val="Prrafodelista"/>
        <w:numPr>
          <w:ilvl w:val="0"/>
          <w:numId w:val="10"/>
        </w:numPr>
        <w:spacing w:after="0"/>
        <w:jc w:val="both"/>
        <w:rPr>
          <w:rFonts w:ascii="Century Gothic" w:hAnsi="Century Gothic"/>
          <w:sz w:val="24"/>
          <w:lang w:val="es-BO"/>
          <w:szCs w:val="24"/>
        </w:rPr>
      </w:pPr>
      <w:r w:rsidRPr="00270F9D">
        <w:rPr>
          <w:rFonts w:ascii="Century Gothic" w:hAnsi="Century Gothic"/>
          <w:b/>
          <w:bCs/>
          <w:sz w:val="24"/>
          <w:lang w:val="es-BO"/>
          <w:szCs w:val="24"/>
        </w:rPr>
        <w:t xml:space="preserve">Emergencia energética y abastecimiento, </w:t>
      </w:r>
      <w:r w:rsidRPr="00270F9D">
        <w:rPr>
          <w:rFonts w:ascii="Century Gothic" w:hAnsi="Century Gothic"/>
          <w:sz w:val="24"/>
          <w:lang w:val="es-BO"/>
          <w:szCs w:val="24"/>
        </w:rPr>
        <w:t>con D.S. Nº</w:t>
      </w:r>
      <w:r w:rsidRPr="00270F9D">
        <w:rPr>
          <w:rFonts w:ascii="Century Gothic" w:eastAsiaTheme="minorEastAsia" w:hAnsi="Century Gothic"/>
          <w:sz w:val="24"/>
          <w:lang w:val="es-BO"/>
          <w:szCs w:val="24"/>
        </w:rPr>
        <w:t xml:space="preserve"> </w:t>
      </w:r>
      <w:r w:rsidRPr="00270F9D">
        <w:rPr>
          <w:rFonts w:ascii="Century Gothic" w:hAnsi="Century Gothic"/>
          <w:sz w:val="24"/>
          <w:lang w:val="es-BO"/>
          <w:szCs w:val="24"/>
        </w:rPr>
        <w:t>5517 de 13 de enero de 2026, se ha establecido medidas excepcionales para asegurar el abastecimiento de combustibles y energía, misma que sirvió de marco para disposiciones posteriores sobre importación de petróleo crudo y derivados.</w:t>
      </w:r>
    </w:p>
    <w:p w14:paraId="05B14EA0" w14:textId="77777777" w:rsidR="0017583F" w:rsidRPr="00270F9D" w:rsidRDefault="0017583F" w:rsidP="00270F9D">
      <w:pPr>
        <w:pStyle w:val="Prrafodelista"/>
        <w:spacing w:after="160"/>
        <w:jc w:val="both"/>
        <w:rPr>
          <w:rFonts w:ascii="Century Gothic" w:hAnsi="Century Gothic"/>
          <w:b/>
          <w:bCs/>
          <w:sz w:val="24"/>
          <w:lang w:val="es-BO"/>
          <w:szCs w:val="24"/>
        </w:rPr>
      </w:pPr>
    </w:p>
    <w:p w14:paraId="7E22077E" w14:textId="77777777" w:rsidR="0017583F" w:rsidRPr="00270F9D" w:rsidRDefault="0017583F" w:rsidP="00270F9D">
      <w:pPr>
        <w:pStyle w:val="Prrafodelista"/>
        <w:numPr>
          <w:ilvl w:val="0"/>
          <w:numId w:val="10"/>
        </w:numPr>
        <w:spacing w:after="0"/>
        <w:jc w:val="both"/>
        <w:rPr>
          <w:rFonts w:ascii="Century Gothic" w:hAnsi="Century Gothic"/>
          <w:sz w:val="24"/>
          <w:lang w:val="es-BO"/>
          <w:szCs w:val="24"/>
        </w:rPr>
      </w:pPr>
      <w:r w:rsidRPr="00270F9D">
        <w:rPr>
          <w:rFonts w:ascii="Century Gothic" w:hAnsi="Century Gothic"/>
          <w:b/>
          <w:bCs/>
          <w:sz w:val="24"/>
          <w:lang w:val="es-BO"/>
          <w:szCs w:val="24"/>
        </w:rPr>
        <w:t>Compensación para mantener el precio del GLP</w:t>
      </w:r>
      <w:r w:rsidRPr="00270F9D">
        <w:rPr>
          <w:rFonts w:ascii="Century Gothic" w:hAnsi="Century Gothic"/>
          <w:sz w:val="24"/>
          <w:lang w:val="es-BO"/>
          <w:szCs w:val="24"/>
        </w:rPr>
        <w:t xml:space="preserve">, con D.S. </w:t>
      </w:r>
      <w:proofErr w:type="spellStart"/>
      <w:r w:rsidRPr="00270F9D">
        <w:rPr>
          <w:rFonts w:ascii="Century Gothic" w:hAnsi="Century Gothic"/>
          <w:sz w:val="24"/>
          <w:lang w:val="es-BO"/>
          <w:szCs w:val="24"/>
        </w:rPr>
        <w:t>N°</w:t>
      </w:r>
      <w:proofErr w:type="spellEnd"/>
      <w:r w:rsidRPr="00270F9D">
        <w:rPr>
          <w:rFonts w:ascii="Century Gothic" w:hAnsi="Century Gothic"/>
          <w:sz w:val="24"/>
          <w:lang w:val="es-BO"/>
          <w:szCs w:val="24"/>
        </w:rPr>
        <w:t xml:space="preserve"> 5534 de 31 de enero de 2026, se reguló la estructura de precios del GLP producido en plantas y refinerías y autorizó Notas de Crédito Fiscal endosables a favor de YPFB para compensar la subvención durante un periodo de hasta seis meses.</w:t>
      </w:r>
    </w:p>
    <w:p w14:paraId="7A8675E4" w14:textId="77777777" w:rsidR="0017583F" w:rsidRPr="00270F9D" w:rsidRDefault="0017583F" w:rsidP="00270F9D">
      <w:pPr>
        <w:pStyle w:val="Prrafodelista"/>
        <w:jc w:val="both"/>
        <w:rPr>
          <w:rFonts w:ascii="Century Gothic" w:hAnsi="Century Gothic"/>
          <w:sz w:val="24"/>
          <w:lang w:val="es-BO"/>
          <w:szCs w:val="24"/>
        </w:rPr>
      </w:pPr>
    </w:p>
    <w:p w14:paraId="13659541" w14:textId="77777777" w:rsidR="0017583F" w:rsidRPr="00270F9D" w:rsidRDefault="0017583F" w:rsidP="00270F9D">
      <w:pPr>
        <w:pStyle w:val="Prrafodelista"/>
        <w:numPr>
          <w:ilvl w:val="0"/>
          <w:numId w:val="10"/>
        </w:numPr>
        <w:spacing w:after="0"/>
        <w:jc w:val="both"/>
        <w:rPr>
          <w:rFonts w:ascii="Century Gothic" w:hAnsi="Century Gothic"/>
          <w:sz w:val="24"/>
          <w:lang w:val="es-BO"/>
          <w:szCs w:val="24"/>
        </w:rPr>
      </w:pPr>
      <w:r w:rsidRPr="00270F9D">
        <w:rPr>
          <w:rFonts w:ascii="Century Gothic" w:hAnsi="Century Gothic"/>
          <w:b/>
          <w:bCs/>
          <w:sz w:val="24"/>
          <w:lang w:val="es-BO"/>
          <w:szCs w:val="24"/>
        </w:rPr>
        <w:t xml:space="preserve">Tratamiento tributario del Jet Fuel A-1, </w:t>
      </w:r>
      <w:r w:rsidRPr="00270F9D">
        <w:rPr>
          <w:rFonts w:ascii="Century Gothic" w:hAnsi="Century Gothic"/>
          <w:sz w:val="24"/>
          <w:lang w:val="es-BO"/>
          <w:szCs w:val="24"/>
        </w:rPr>
        <w:t xml:space="preserve">mediante Decreto Supremo Nº 5543 de 9 de febrero de 2026 se modificó el gravamen arancelario y estableció una alícuota específica del Impuesto Especial a los Hidrocarburos y sus </w:t>
      </w:r>
      <w:r w:rsidRPr="00270F9D">
        <w:rPr>
          <w:rFonts w:ascii="Century Gothic" w:hAnsi="Century Gothic"/>
          <w:sz w:val="24"/>
          <w:lang w:val="es-BO"/>
          <w:szCs w:val="24"/>
        </w:rPr>
        <w:lastRenderedPageBreak/>
        <w:t>Derivados para la importación de combustible de aviación Jet Fuel A-1, hasta el 31 de diciembre de 2026.</w:t>
      </w:r>
    </w:p>
    <w:p w14:paraId="3B1BA7F8" w14:textId="77777777" w:rsidR="0017583F" w:rsidRPr="00270F9D" w:rsidRDefault="0017583F" w:rsidP="00270F9D">
      <w:pPr>
        <w:pStyle w:val="Prrafodelista"/>
        <w:rPr>
          <w:rFonts w:ascii="Century Gothic" w:hAnsi="Century Gothic"/>
          <w:sz w:val="24"/>
          <w:lang w:val="es-BO"/>
          <w:szCs w:val="24"/>
        </w:rPr>
      </w:pPr>
    </w:p>
    <w:p w14:paraId="2F07A844" w14:textId="77777777" w:rsidR="0017583F" w:rsidRPr="00270F9D" w:rsidRDefault="0017583F" w:rsidP="00270F9D">
      <w:pPr>
        <w:pStyle w:val="Prrafodelista"/>
        <w:numPr>
          <w:ilvl w:val="0"/>
          <w:numId w:val="10"/>
        </w:numPr>
        <w:spacing w:after="0"/>
        <w:jc w:val="both"/>
        <w:rPr>
          <w:rFonts w:ascii="Century Gothic" w:hAnsi="Century Gothic"/>
          <w:sz w:val="24"/>
          <w:lang w:val="es-BO"/>
          <w:szCs w:val="24"/>
        </w:rPr>
      </w:pPr>
      <w:r w:rsidRPr="00270F9D">
        <w:rPr>
          <w:rFonts w:ascii="Century Gothic" w:hAnsi="Century Gothic"/>
          <w:b/>
          <w:bCs/>
          <w:sz w:val="24"/>
          <w:lang w:val="es-BO"/>
          <w:szCs w:val="24"/>
        </w:rPr>
        <w:t>Importación excepcional de petróleo crudo</w:t>
      </w:r>
      <w:r w:rsidRPr="00270F9D">
        <w:rPr>
          <w:rFonts w:ascii="Century Gothic" w:hAnsi="Century Gothic"/>
          <w:sz w:val="24"/>
          <w:lang w:val="es-BO"/>
          <w:szCs w:val="24"/>
        </w:rPr>
        <w:t xml:space="preserve">, mediante D.S. </w:t>
      </w:r>
      <w:proofErr w:type="spellStart"/>
      <w:r w:rsidRPr="00270F9D">
        <w:rPr>
          <w:rFonts w:ascii="Century Gothic" w:hAnsi="Century Gothic"/>
          <w:sz w:val="24"/>
          <w:lang w:val="es-BO"/>
          <w:szCs w:val="24"/>
        </w:rPr>
        <w:t>N°</w:t>
      </w:r>
      <w:proofErr w:type="spellEnd"/>
      <w:r w:rsidRPr="00270F9D">
        <w:rPr>
          <w:rFonts w:ascii="Century Gothic" w:hAnsi="Century Gothic"/>
          <w:sz w:val="24"/>
          <w:lang w:val="es-BO"/>
          <w:szCs w:val="24"/>
        </w:rPr>
        <w:t xml:space="preserve"> 5548 de 18 de febrero de 2026, se autorizó excepcionalmente a YPFB y a refinerías la importación de petróleo crudo para ampliar las fuentes de abastecimiento y contribuir a la disponibilidad de combustibles en el mercado interno.</w:t>
      </w:r>
    </w:p>
    <w:p w14:paraId="53CF0401" w14:textId="77777777" w:rsidR="0017583F" w:rsidRPr="00270F9D" w:rsidRDefault="0017583F" w:rsidP="00270F9D">
      <w:pPr>
        <w:pStyle w:val="Prrafodelista"/>
        <w:jc w:val="both"/>
        <w:rPr>
          <w:rFonts w:ascii="Century Gothic" w:hAnsi="Century Gothic"/>
          <w:sz w:val="24"/>
          <w:lang w:val="es-BO"/>
          <w:szCs w:val="24"/>
        </w:rPr>
      </w:pPr>
    </w:p>
    <w:p w14:paraId="47D98942" w14:textId="77777777" w:rsidR="0017583F" w:rsidRPr="00270F9D" w:rsidRDefault="0017583F" w:rsidP="00270F9D">
      <w:pPr>
        <w:pStyle w:val="Prrafodelista"/>
        <w:numPr>
          <w:ilvl w:val="0"/>
          <w:numId w:val="10"/>
        </w:numPr>
        <w:spacing w:after="0"/>
        <w:jc w:val="both"/>
        <w:rPr>
          <w:rFonts w:ascii="Century Gothic" w:hAnsi="Century Gothic"/>
          <w:sz w:val="24"/>
          <w:lang w:val="es-BO"/>
          <w:szCs w:val="24"/>
        </w:rPr>
      </w:pPr>
      <w:r w:rsidRPr="00270F9D">
        <w:rPr>
          <w:rFonts w:ascii="Century Gothic" w:hAnsi="Century Gothic"/>
          <w:b/>
          <w:bCs/>
          <w:sz w:val="24"/>
          <w:lang w:val="es-BO"/>
          <w:szCs w:val="24"/>
        </w:rPr>
        <w:t>Ajuste excepcional de precios en contratos de obras públicas</w:t>
      </w:r>
      <w:r w:rsidRPr="00270F9D">
        <w:rPr>
          <w:rFonts w:ascii="Century Gothic" w:hAnsi="Century Gothic"/>
          <w:sz w:val="24"/>
          <w:lang w:val="es-BO"/>
          <w:szCs w:val="24"/>
        </w:rPr>
        <w:t>, con D.S. 5597 de 30 de marzo de 2026, se estableció mecanismos excepcionales para ajustar precios de materiales, maquinaria y equipos en contratos de obras públicas y contratos llave en mano, buscando preservar la continuidad de proyectos ante variaciones de costos.</w:t>
      </w:r>
    </w:p>
    <w:p w14:paraId="7F737C38" w14:textId="77777777" w:rsidR="0017583F" w:rsidRPr="00270F9D" w:rsidRDefault="0017583F" w:rsidP="00270F9D">
      <w:pPr>
        <w:pStyle w:val="Prrafodelista"/>
        <w:rPr>
          <w:rFonts w:ascii="Century Gothic" w:hAnsi="Century Gothic"/>
          <w:sz w:val="24"/>
          <w:lang w:val="es-BO"/>
          <w:szCs w:val="24"/>
        </w:rPr>
      </w:pPr>
    </w:p>
    <w:p w14:paraId="0C7168FB" w14:textId="77777777" w:rsidR="0017583F" w:rsidRPr="00270F9D" w:rsidRDefault="0017583F" w:rsidP="00270F9D">
      <w:pPr>
        <w:pStyle w:val="Prrafodelista"/>
        <w:numPr>
          <w:ilvl w:val="0"/>
          <w:numId w:val="10"/>
        </w:numPr>
        <w:spacing w:after="0"/>
        <w:jc w:val="both"/>
        <w:rPr>
          <w:rFonts w:ascii="Century Gothic" w:hAnsi="Century Gothic"/>
          <w:sz w:val="24"/>
          <w:lang w:val="es-BO"/>
          <w:szCs w:val="24"/>
        </w:rPr>
      </w:pPr>
      <w:r w:rsidRPr="00270F9D">
        <w:rPr>
          <w:rFonts w:ascii="Century Gothic" w:hAnsi="Century Gothic"/>
          <w:b/>
          <w:bCs/>
          <w:sz w:val="24"/>
          <w:lang w:val="es-BO"/>
          <w:szCs w:val="24"/>
        </w:rPr>
        <w:t>Ajustes al régimen de incentivos de hidrocarburos</w:t>
      </w:r>
      <w:r w:rsidRPr="00270F9D">
        <w:rPr>
          <w:rFonts w:ascii="Century Gothic" w:hAnsi="Century Gothic"/>
          <w:sz w:val="24"/>
          <w:lang w:val="es-BO"/>
          <w:szCs w:val="24"/>
        </w:rPr>
        <w:t xml:space="preserve">, con D.S. </w:t>
      </w:r>
      <w:proofErr w:type="spellStart"/>
      <w:r w:rsidRPr="00270F9D">
        <w:rPr>
          <w:rFonts w:ascii="Century Gothic" w:hAnsi="Century Gothic"/>
          <w:sz w:val="24"/>
          <w:lang w:val="es-BO"/>
          <w:szCs w:val="24"/>
        </w:rPr>
        <w:t>N°</w:t>
      </w:r>
      <w:proofErr w:type="spellEnd"/>
      <w:r w:rsidRPr="00270F9D">
        <w:rPr>
          <w:rFonts w:ascii="Century Gothic" w:hAnsi="Century Gothic"/>
          <w:sz w:val="24"/>
          <w:lang w:val="es-BO"/>
          <w:szCs w:val="24"/>
        </w:rPr>
        <w:t xml:space="preserve"> 5599 de 30 de marzo de 2026, se establece que cuando el precio del petróleo crudo para el mercado interno supere los 27,11 $</w:t>
      </w:r>
      <w:proofErr w:type="spellStart"/>
      <w:r w:rsidRPr="00270F9D">
        <w:rPr>
          <w:rFonts w:ascii="Century Gothic" w:hAnsi="Century Gothic"/>
          <w:sz w:val="24"/>
          <w:lang w:val="es-BO"/>
          <w:szCs w:val="24"/>
        </w:rPr>
        <w:t>us</w:t>
      </w:r>
      <w:proofErr w:type="spellEnd"/>
      <w:r w:rsidRPr="00270F9D">
        <w:rPr>
          <w:rFonts w:ascii="Century Gothic" w:hAnsi="Century Gothic"/>
          <w:sz w:val="24"/>
          <w:lang w:val="es-BO"/>
          <w:szCs w:val="24"/>
        </w:rPr>
        <w:t>/</w:t>
      </w:r>
      <w:proofErr w:type="spellStart"/>
      <w:r w:rsidRPr="00270F9D">
        <w:rPr>
          <w:rFonts w:ascii="Century Gothic" w:hAnsi="Century Gothic"/>
          <w:sz w:val="24"/>
          <w:lang w:val="es-BO"/>
          <w:szCs w:val="24"/>
        </w:rPr>
        <w:t>Bbl</w:t>
      </w:r>
      <w:proofErr w:type="spellEnd"/>
      <w:r w:rsidRPr="00270F9D">
        <w:rPr>
          <w:rFonts w:ascii="Century Gothic" w:hAnsi="Century Gothic"/>
          <w:sz w:val="24"/>
          <w:lang w:val="es-BO"/>
          <w:szCs w:val="24"/>
        </w:rPr>
        <w:t xml:space="preserve"> (dólares estadounidenses por barril), se procederá al ajuste del incentivo a la producción.</w:t>
      </w:r>
    </w:p>
    <w:p w14:paraId="75D529BD" w14:textId="77777777" w:rsidR="0017583F" w:rsidRPr="00270F9D" w:rsidRDefault="0017583F" w:rsidP="00270F9D">
      <w:pPr>
        <w:pStyle w:val="Prrafodelista"/>
        <w:rPr>
          <w:rFonts w:ascii="Century Gothic" w:hAnsi="Century Gothic"/>
          <w:sz w:val="24"/>
          <w:lang w:val="es-BO"/>
          <w:szCs w:val="24"/>
        </w:rPr>
      </w:pPr>
    </w:p>
    <w:p w14:paraId="0DAF3F95" w14:textId="77777777" w:rsidR="0017583F" w:rsidRPr="00270F9D" w:rsidRDefault="0017583F" w:rsidP="00270F9D">
      <w:pPr>
        <w:pStyle w:val="Prrafodelista"/>
        <w:numPr>
          <w:ilvl w:val="0"/>
          <w:numId w:val="10"/>
        </w:numPr>
        <w:spacing w:after="0"/>
        <w:jc w:val="both"/>
        <w:rPr>
          <w:rFonts w:ascii="Century Gothic" w:hAnsi="Century Gothic"/>
          <w:sz w:val="24"/>
          <w:lang w:val="es-BO"/>
          <w:szCs w:val="24"/>
        </w:rPr>
      </w:pPr>
      <w:r w:rsidRPr="00270F9D">
        <w:rPr>
          <w:rFonts w:ascii="Century Gothic" w:hAnsi="Century Gothic"/>
          <w:b/>
          <w:bCs/>
          <w:sz w:val="24"/>
          <w:lang w:val="es-BO"/>
          <w:szCs w:val="24"/>
        </w:rPr>
        <w:t>Ampliación del crédito fiscal del IVA por compra de combustibles</w:t>
      </w:r>
      <w:r w:rsidRPr="00270F9D">
        <w:rPr>
          <w:rFonts w:ascii="Century Gothic" w:hAnsi="Century Gothic"/>
          <w:sz w:val="24"/>
          <w:lang w:val="es-BO"/>
          <w:szCs w:val="24"/>
        </w:rPr>
        <w:t xml:space="preserve">, mediante Ley </w:t>
      </w:r>
      <w:proofErr w:type="spellStart"/>
      <w:r w:rsidRPr="00270F9D">
        <w:rPr>
          <w:rFonts w:ascii="Century Gothic" w:hAnsi="Century Gothic"/>
          <w:sz w:val="24"/>
          <w:lang w:val="es-BO"/>
          <w:szCs w:val="24"/>
        </w:rPr>
        <w:t>N°</w:t>
      </w:r>
      <w:proofErr w:type="spellEnd"/>
      <w:r w:rsidRPr="00270F9D">
        <w:rPr>
          <w:rFonts w:ascii="Century Gothic" w:hAnsi="Century Gothic"/>
          <w:sz w:val="24"/>
          <w:lang w:val="es-BO"/>
          <w:szCs w:val="24"/>
        </w:rPr>
        <w:t xml:space="preserve"> 1718 de 10 de abril de 2026, abroga el artículo 18 de la Ley 1356 (del Presupuesto General del Estado 2021), el cual limitaba el cómputo del crédito fiscal al 70% del valor en las facturas de gasolina y diésel. A partir de su vigencia, las facturas por compra de gasolina y diésel permiten utilizar el 100% del importe como base para el crédito fiscal del IVA y del RC-IVA.</w:t>
      </w:r>
    </w:p>
    <w:p w14:paraId="1726FDCA" w14:textId="77777777" w:rsidR="0017583F" w:rsidRPr="00270F9D" w:rsidRDefault="0017583F" w:rsidP="00270F9D">
      <w:pPr>
        <w:pStyle w:val="Prrafodelista"/>
        <w:jc w:val="both"/>
        <w:rPr>
          <w:rFonts w:ascii="Century Gothic" w:hAnsi="Century Gothic"/>
          <w:b/>
          <w:bCs/>
          <w:sz w:val="24"/>
          <w:lang w:val="es-BO"/>
          <w:szCs w:val="24"/>
        </w:rPr>
      </w:pPr>
    </w:p>
    <w:p w14:paraId="4DE2ECDF" w14:textId="77777777" w:rsidR="0017583F" w:rsidRPr="00270F9D" w:rsidRDefault="0017583F" w:rsidP="00270F9D">
      <w:pPr>
        <w:pStyle w:val="Prrafodelista"/>
        <w:numPr>
          <w:ilvl w:val="0"/>
          <w:numId w:val="10"/>
        </w:numPr>
        <w:spacing w:after="0"/>
        <w:jc w:val="both"/>
        <w:rPr>
          <w:rFonts w:ascii="Century Gothic" w:hAnsi="Century Gothic"/>
          <w:b/>
          <w:bCs/>
          <w:sz w:val="24"/>
          <w:lang w:val="es-BO"/>
          <w:szCs w:val="24"/>
        </w:rPr>
      </w:pPr>
      <w:r w:rsidRPr="00270F9D">
        <w:rPr>
          <w:rFonts w:ascii="Century Gothic" w:hAnsi="Century Gothic"/>
          <w:b/>
          <w:bCs/>
          <w:sz w:val="24"/>
          <w:lang w:val="es-BO"/>
          <w:szCs w:val="24"/>
        </w:rPr>
        <w:t>Facilitación de reprogramación de créditos</w:t>
      </w:r>
      <w:r w:rsidRPr="00270F9D">
        <w:rPr>
          <w:rFonts w:ascii="Century Gothic" w:hAnsi="Century Gothic"/>
          <w:sz w:val="24"/>
          <w:lang w:val="es-BO"/>
          <w:szCs w:val="24"/>
        </w:rPr>
        <w:t xml:space="preserve">, mediante D.S. </w:t>
      </w:r>
      <w:proofErr w:type="spellStart"/>
      <w:r w:rsidRPr="00270F9D">
        <w:rPr>
          <w:rFonts w:ascii="Century Gothic" w:hAnsi="Century Gothic"/>
          <w:sz w:val="24"/>
          <w:lang w:val="es-BO"/>
          <w:szCs w:val="24"/>
        </w:rPr>
        <w:t>N°</w:t>
      </w:r>
      <w:proofErr w:type="spellEnd"/>
      <w:r w:rsidRPr="00270F9D">
        <w:rPr>
          <w:rFonts w:ascii="Century Gothic" w:hAnsi="Century Gothic"/>
          <w:sz w:val="24"/>
          <w:lang w:val="es-BO"/>
          <w:szCs w:val="24"/>
        </w:rPr>
        <w:t xml:space="preserve"> 5630 de Bolivia, promulgado el 8 de junio de 2026, se otorga alivio financiero (refinanciamiento y reprogramación de créditos) a personas y sectores cuya capacidad de pago se vio afectada por conflictos sociales, bloqueos o eventos adversos.</w:t>
      </w:r>
    </w:p>
    <w:p w14:paraId="15A61396" w14:textId="77777777" w:rsidR="0017583F" w:rsidRPr="00270F9D" w:rsidRDefault="0017583F" w:rsidP="00270F9D">
      <w:pPr>
        <w:pStyle w:val="Prrafodelista"/>
        <w:rPr>
          <w:rFonts w:ascii="Century Gothic" w:hAnsi="Century Gothic"/>
          <w:b/>
          <w:bCs/>
          <w:sz w:val="24"/>
          <w:lang w:val="es-BO"/>
          <w:szCs w:val="24"/>
        </w:rPr>
      </w:pPr>
    </w:p>
    <w:p w14:paraId="1F4A1C8A" w14:textId="77777777" w:rsidR="0017583F" w:rsidRPr="00270F9D" w:rsidRDefault="0017583F" w:rsidP="00270F9D">
      <w:pPr>
        <w:pStyle w:val="Prrafodelista"/>
        <w:numPr>
          <w:ilvl w:val="0"/>
          <w:numId w:val="10"/>
        </w:numPr>
        <w:spacing w:after="0"/>
        <w:jc w:val="both"/>
        <w:rPr>
          <w:rFonts w:ascii="Century Gothic" w:hAnsi="Century Gothic"/>
          <w:sz w:val="24"/>
          <w:lang w:val="es-BO"/>
          <w:szCs w:val="24"/>
        </w:rPr>
      </w:pPr>
      <w:r w:rsidRPr="00270F9D">
        <w:rPr>
          <w:rFonts w:ascii="Century Gothic" w:hAnsi="Century Gothic"/>
          <w:b/>
          <w:bCs/>
          <w:sz w:val="24"/>
          <w:lang w:val="es-BO"/>
          <w:szCs w:val="24"/>
        </w:rPr>
        <w:t>Exenciones aduaneras para donaciones al sector salud y energía nuclear</w:t>
      </w:r>
      <w:r w:rsidRPr="00270F9D">
        <w:rPr>
          <w:rFonts w:ascii="Century Gothic" w:hAnsi="Century Gothic"/>
          <w:sz w:val="24"/>
          <w:lang w:val="es-BO"/>
          <w:szCs w:val="24"/>
        </w:rPr>
        <w:t>, mediante D.S.</w:t>
      </w:r>
      <w:r w:rsidRPr="00270F9D">
        <w:rPr>
          <w:rFonts w:ascii="Century Gothic" w:hAnsi="Century Gothic"/>
          <w:b/>
          <w:bCs/>
          <w:sz w:val="24"/>
          <w:lang w:val="es-BO"/>
          <w:szCs w:val="24"/>
        </w:rPr>
        <w:t xml:space="preserve"> </w:t>
      </w:r>
      <w:r w:rsidRPr="00270F9D">
        <w:rPr>
          <w:rFonts w:ascii="Century Gothic" w:hAnsi="Century Gothic"/>
          <w:sz w:val="24"/>
          <w:lang w:val="es-BO"/>
          <w:szCs w:val="24"/>
        </w:rPr>
        <w:t>5642 de 29 de junio de 2026, se autorizó exenciones tributarias para donaciones destinadas al Ministerio de Salud y Deportes y a la Agencia Boliviana de Energía Nuclear, incluyendo kits de pruebas, medicamentos y equipos relacionados con radioterapia.</w:t>
      </w:r>
    </w:p>
    <w:p w14:paraId="793592B3" w14:textId="77777777" w:rsidR="0017583F" w:rsidRPr="00270F9D" w:rsidRDefault="0017583F" w:rsidP="00270F9D">
      <w:pPr>
        <w:pStyle w:val="Prrafodelista"/>
        <w:rPr>
          <w:rFonts w:ascii="Century Gothic" w:hAnsi="Century Gothic"/>
          <w:sz w:val="24"/>
          <w:lang w:val="es-BO"/>
          <w:szCs w:val="24"/>
        </w:rPr>
      </w:pPr>
    </w:p>
    <w:p w14:paraId="1749E28D" w14:textId="77777777" w:rsidR="0017583F" w:rsidRPr="00270F9D" w:rsidRDefault="0017583F" w:rsidP="00270F9D">
      <w:pPr>
        <w:pStyle w:val="Prrafodelista"/>
        <w:numPr>
          <w:ilvl w:val="0"/>
          <w:numId w:val="10"/>
        </w:numPr>
        <w:spacing w:after="0"/>
        <w:jc w:val="both"/>
        <w:rPr>
          <w:rFonts w:ascii="Century Gothic" w:hAnsi="Century Gothic"/>
          <w:sz w:val="24"/>
          <w:lang w:val="es-BO"/>
          <w:szCs w:val="24"/>
        </w:rPr>
      </w:pPr>
      <w:r w:rsidRPr="00270F9D">
        <w:rPr>
          <w:rFonts w:ascii="Century Gothic" w:hAnsi="Century Gothic"/>
          <w:b/>
          <w:bCs/>
          <w:sz w:val="24"/>
          <w:lang w:val="es-BO"/>
          <w:szCs w:val="24"/>
        </w:rPr>
        <w:lastRenderedPageBreak/>
        <w:t>Importación privada de combustibles</w:t>
      </w:r>
      <w:r w:rsidRPr="00270F9D">
        <w:rPr>
          <w:rFonts w:ascii="Century Gothic" w:hAnsi="Century Gothic"/>
          <w:sz w:val="24"/>
          <w:lang w:val="es-BO"/>
          <w:szCs w:val="24"/>
        </w:rPr>
        <w:t>, con D.S. 5642 de 29 de junio de 2026, se autorizó excepcionalmente a personas y entidades públicas y privadas a importar diésel, gasolina y otros derivados del petróleo. Los combustibles importados por privados pueden comercializarse a precios de mercado, bajo requisitos de registro, calidad y control; la norma también prevé incentivos tributarios para importaciones bajo sus condiciones.</w:t>
      </w:r>
    </w:p>
    <w:p w14:paraId="08850914" w14:textId="77777777" w:rsidR="0017583F" w:rsidRPr="00270F9D" w:rsidRDefault="0017583F" w:rsidP="00270F9D">
      <w:pPr>
        <w:pStyle w:val="Prrafodelista"/>
        <w:rPr>
          <w:rFonts w:ascii="Century Gothic" w:hAnsi="Century Gothic"/>
          <w:sz w:val="24"/>
          <w:lang w:val="es-BO"/>
          <w:szCs w:val="24"/>
        </w:rPr>
      </w:pPr>
    </w:p>
    <w:p w14:paraId="72B9ED2C" w14:textId="77777777" w:rsidR="0017583F" w:rsidRPr="00270F9D" w:rsidRDefault="0017583F" w:rsidP="00270F9D">
      <w:pPr>
        <w:pStyle w:val="Prrafodelista"/>
        <w:numPr>
          <w:ilvl w:val="0"/>
          <w:numId w:val="10"/>
        </w:numPr>
        <w:spacing w:after="0"/>
        <w:jc w:val="both"/>
        <w:rPr>
          <w:rFonts w:ascii="Century Gothic" w:hAnsi="Century Gothic"/>
          <w:sz w:val="24"/>
          <w:lang w:val="es-BO"/>
          <w:szCs w:val="24"/>
        </w:rPr>
      </w:pPr>
      <w:r w:rsidRPr="00270F9D">
        <w:rPr>
          <w:rFonts w:ascii="Century Gothic" w:hAnsi="Century Gothic"/>
          <w:b/>
          <w:bCs/>
          <w:sz w:val="24"/>
          <w:lang w:val="es-BO"/>
          <w:szCs w:val="24"/>
        </w:rPr>
        <w:t>Exenciones aduaneras para donaciones a entidades públicas</w:t>
      </w:r>
      <w:r w:rsidRPr="00270F9D">
        <w:rPr>
          <w:rFonts w:ascii="Century Gothic" w:hAnsi="Century Gothic"/>
          <w:sz w:val="24"/>
          <w:lang w:val="es-BO"/>
          <w:szCs w:val="24"/>
        </w:rPr>
        <w:t xml:space="preserve">, con D.S. 5645 de 29 de junio de 2026 se autorizó exenciones de tributos aduaneros para donaciones a favor del Ministerio de Salud, la Agencia Boliviana de Energía Nuclear y la Autoridad de Fiscalización de Electricidad y Tecnología Nuclear. </w:t>
      </w:r>
    </w:p>
    <w:p w14:paraId="61CCB7EE" w14:textId="77777777" w:rsidR="0017583F" w:rsidRPr="00270F9D" w:rsidRDefault="0017583F" w:rsidP="00270F9D">
      <w:pPr>
        <w:pStyle w:val="Prrafodelista"/>
        <w:rPr>
          <w:rFonts w:ascii="Century Gothic" w:hAnsi="Century Gothic"/>
          <w:sz w:val="24"/>
          <w:lang w:val="es-BO"/>
          <w:szCs w:val="24"/>
        </w:rPr>
      </w:pPr>
    </w:p>
    <w:p w14:paraId="05B9048C" w14:textId="77777777" w:rsidR="0017583F" w:rsidRPr="00270F9D" w:rsidRDefault="0017583F" w:rsidP="00270F9D">
      <w:pPr>
        <w:pStyle w:val="Prrafodelista"/>
        <w:numPr>
          <w:ilvl w:val="0"/>
          <w:numId w:val="10"/>
        </w:numPr>
        <w:spacing w:after="0"/>
        <w:jc w:val="both"/>
        <w:rPr>
          <w:rFonts w:ascii="Century Gothic" w:hAnsi="Century Gothic"/>
          <w:sz w:val="24"/>
          <w:lang w:val="es-BO"/>
          <w:szCs w:val="24"/>
        </w:rPr>
      </w:pPr>
      <w:r w:rsidRPr="00270F9D">
        <w:rPr>
          <w:rFonts w:ascii="Century Gothic" w:hAnsi="Century Gothic"/>
          <w:b/>
          <w:bCs/>
          <w:sz w:val="24"/>
          <w:lang w:val="es-BO"/>
          <w:szCs w:val="24"/>
        </w:rPr>
        <w:t>Reducción general del gravamen arancelario</w:t>
      </w:r>
      <w:r w:rsidRPr="00270F9D">
        <w:rPr>
          <w:rFonts w:ascii="Century Gothic" w:hAnsi="Century Gothic"/>
          <w:sz w:val="24"/>
          <w:lang w:val="es-BO"/>
          <w:szCs w:val="24"/>
        </w:rPr>
        <w:t xml:space="preserve">, mediante D.S. </w:t>
      </w:r>
      <w:proofErr w:type="spellStart"/>
      <w:r w:rsidRPr="00270F9D">
        <w:rPr>
          <w:rFonts w:ascii="Century Gothic" w:hAnsi="Century Gothic"/>
          <w:sz w:val="24"/>
          <w:lang w:val="es-BO"/>
          <w:szCs w:val="24"/>
        </w:rPr>
        <w:t>N°</w:t>
      </w:r>
      <w:proofErr w:type="spellEnd"/>
      <w:r w:rsidRPr="00270F9D">
        <w:rPr>
          <w:rFonts w:ascii="Century Gothic" w:hAnsi="Century Gothic"/>
          <w:sz w:val="24"/>
          <w:lang w:val="es-BO"/>
          <w:szCs w:val="24"/>
        </w:rPr>
        <w:t xml:space="preserve"> 5646 se redujo en cinco puntos porcentuales las alícuotas del gravamen arancelario para mercancías del universo arancelario. La escala reduce, por ejemplo, una alícuota del 10 % al 5 % y una del 5 % al 0 %. Se planteó para compensar costos asociados al régimen cambiario flexible y facilitar importaciones productivas.</w:t>
      </w:r>
    </w:p>
    <w:p w14:paraId="25F03598" w14:textId="77777777" w:rsidR="0017583F" w:rsidRPr="00270F9D" w:rsidRDefault="0017583F" w:rsidP="00270F9D">
      <w:pPr>
        <w:jc w:val="both"/>
        <w:rPr>
          <w:rFonts w:ascii="Century Gothic" w:hAnsi="Century Gothic"/>
          <w:sz w:val="24"/>
          <w:lang w:val="es-BO"/>
          <w:szCs w:val="24"/>
        </w:rPr>
      </w:pPr>
    </w:p>
    <w:p w14:paraId="0B44CDAE" w14:textId="77777777" w:rsidR="0017583F" w:rsidRPr="00270F9D" w:rsidRDefault="0017583F" w:rsidP="00270F9D">
      <w:pPr>
        <w:pStyle w:val="Prrafodelista"/>
        <w:numPr>
          <w:ilvl w:val="0"/>
          <w:numId w:val="10"/>
        </w:numPr>
        <w:spacing w:after="0"/>
        <w:jc w:val="both"/>
        <w:rPr>
          <w:rFonts w:ascii="Century Gothic" w:hAnsi="Century Gothic"/>
          <w:sz w:val="24"/>
          <w:lang w:val="es-BO"/>
          <w:szCs w:val="24"/>
        </w:rPr>
      </w:pPr>
      <w:r w:rsidRPr="00270F9D">
        <w:rPr>
          <w:rFonts w:ascii="Century Gothic" w:hAnsi="Century Gothic"/>
          <w:b/>
          <w:bCs/>
          <w:sz w:val="24"/>
          <w:lang w:val="es-BO"/>
          <w:szCs w:val="24"/>
        </w:rPr>
        <w:t>Estabilización de tarifas eléctricas</w:t>
      </w:r>
      <w:r w:rsidRPr="00270F9D">
        <w:rPr>
          <w:rFonts w:ascii="Century Gothic" w:hAnsi="Century Gothic"/>
          <w:sz w:val="24"/>
          <w:lang w:val="es-BO"/>
          <w:szCs w:val="24"/>
        </w:rPr>
        <w:t xml:space="preserve">, mediante D.S. </w:t>
      </w:r>
      <w:proofErr w:type="spellStart"/>
      <w:r w:rsidRPr="00270F9D">
        <w:rPr>
          <w:rFonts w:ascii="Century Gothic" w:hAnsi="Century Gothic"/>
          <w:sz w:val="24"/>
          <w:lang w:val="es-BO"/>
          <w:szCs w:val="24"/>
        </w:rPr>
        <w:t>N°</w:t>
      </w:r>
      <w:proofErr w:type="spellEnd"/>
      <w:r w:rsidRPr="00270F9D">
        <w:rPr>
          <w:rFonts w:ascii="Century Gothic" w:hAnsi="Century Gothic"/>
          <w:sz w:val="24"/>
          <w:lang w:val="es-BO"/>
          <w:szCs w:val="24"/>
        </w:rPr>
        <w:t xml:space="preserve"> 5647 de 29 de junio de 2026 se elevó del 3 % al 5 % el límite máximo de variación mensual de las tarifas para consumidores regulados y creó mecanismos de estabilización del mercado eléctrico para compensar diferencias entre costos de generación y tarifas cobradas.</w:t>
      </w:r>
    </w:p>
    <w:p w14:paraId="69934E4C" w14:textId="77777777" w:rsidR="0017583F" w:rsidRPr="00270F9D" w:rsidRDefault="0017583F" w:rsidP="00270F9D">
      <w:pPr>
        <w:pStyle w:val="Prrafodelista"/>
        <w:rPr>
          <w:rFonts w:ascii="Century Gothic" w:hAnsi="Century Gothic"/>
          <w:sz w:val="24"/>
          <w:lang w:val="es-BO"/>
          <w:szCs w:val="24"/>
        </w:rPr>
      </w:pPr>
    </w:p>
    <w:p w14:paraId="532F9B64" w14:textId="77777777" w:rsidR="0017583F" w:rsidRPr="00270F9D" w:rsidRDefault="0017583F" w:rsidP="00270F9D">
      <w:pPr>
        <w:pStyle w:val="Prrafodelista"/>
        <w:numPr>
          <w:ilvl w:val="0"/>
          <w:numId w:val="10"/>
        </w:numPr>
        <w:spacing w:after="0"/>
        <w:jc w:val="both"/>
        <w:rPr>
          <w:rFonts w:ascii="Century Gothic" w:hAnsi="Century Gothic"/>
          <w:sz w:val="24"/>
          <w:lang w:val="es-BO"/>
          <w:szCs w:val="24"/>
        </w:rPr>
      </w:pPr>
      <w:r w:rsidRPr="00270F9D">
        <w:rPr>
          <w:rFonts w:ascii="Century Gothic" w:hAnsi="Century Gothic"/>
          <w:b/>
          <w:bCs/>
          <w:sz w:val="24"/>
          <w:lang w:val="es-BO"/>
          <w:szCs w:val="24"/>
        </w:rPr>
        <w:t>Modificación de reglas de precios de combustibles y GNV</w:t>
      </w:r>
      <w:r w:rsidRPr="00270F9D">
        <w:rPr>
          <w:rFonts w:ascii="Century Gothic" w:hAnsi="Century Gothic"/>
          <w:sz w:val="24"/>
          <w:lang w:val="es-BO"/>
          <w:szCs w:val="24"/>
        </w:rPr>
        <w:t>, con D.S. N°5652 de 9 de julio de 2026 se modificó reglamentos de precios de derivados del petróleo y gas natural vehicular aprobados por el DS N.º 5516, para ajustar el marco regulatorio a las condiciones del mercado y mantener el abastecimiento.</w:t>
      </w:r>
    </w:p>
    <w:p w14:paraId="646926BD" w14:textId="77777777" w:rsidR="0017583F" w:rsidRPr="00270F9D" w:rsidRDefault="0017583F" w:rsidP="00270F9D">
      <w:pPr>
        <w:pStyle w:val="Prrafodelista"/>
        <w:rPr>
          <w:rFonts w:ascii="Century Gothic" w:hAnsi="Century Gothic"/>
          <w:sz w:val="24"/>
          <w:lang w:val="es-BO"/>
          <w:szCs w:val="24"/>
        </w:rPr>
      </w:pPr>
    </w:p>
    <w:p w14:paraId="31001194" w14:textId="77777777" w:rsidR="0017583F" w:rsidRPr="00270F9D" w:rsidRDefault="0017583F" w:rsidP="00270F9D">
      <w:pPr>
        <w:pStyle w:val="Prrafodelista"/>
        <w:numPr>
          <w:ilvl w:val="0"/>
          <w:numId w:val="10"/>
        </w:numPr>
        <w:spacing w:after="0"/>
        <w:jc w:val="both"/>
        <w:rPr>
          <w:rFonts w:ascii="Century Gothic" w:hAnsi="Century Gothic"/>
          <w:sz w:val="24"/>
          <w:lang w:val="es-BO"/>
          <w:szCs w:val="24"/>
        </w:rPr>
      </w:pPr>
      <w:r w:rsidRPr="00270F9D">
        <w:rPr>
          <w:rFonts w:ascii="Century Gothic" w:hAnsi="Century Gothic"/>
          <w:b/>
          <w:bCs/>
          <w:sz w:val="24"/>
          <w:lang w:val="es-BO"/>
          <w:szCs w:val="24"/>
        </w:rPr>
        <w:t>Tratamiento tributario de vehículos eléctricos e híbridos</w:t>
      </w:r>
      <w:r w:rsidRPr="00270F9D">
        <w:rPr>
          <w:rFonts w:ascii="Century Gothic" w:hAnsi="Century Gothic"/>
          <w:sz w:val="24"/>
          <w:lang w:val="es-BO"/>
          <w:szCs w:val="24"/>
        </w:rPr>
        <w:t xml:space="preserve">, con D.S. </w:t>
      </w:r>
      <w:proofErr w:type="spellStart"/>
      <w:r w:rsidRPr="00270F9D">
        <w:rPr>
          <w:rFonts w:ascii="Century Gothic" w:hAnsi="Century Gothic"/>
          <w:sz w:val="24"/>
          <w:lang w:val="es-BO"/>
          <w:szCs w:val="24"/>
        </w:rPr>
        <w:t>N°</w:t>
      </w:r>
      <w:proofErr w:type="spellEnd"/>
      <w:r w:rsidRPr="00270F9D">
        <w:rPr>
          <w:rFonts w:ascii="Century Gothic" w:hAnsi="Century Gothic"/>
          <w:sz w:val="24"/>
          <w:lang w:val="es-BO"/>
          <w:szCs w:val="24"/>
        </w:rPr>
        <w:t xml:space="preserve"> 5653 de 9 de julio de 2026 se estableció alícuotas del Impuesto a los Consumos Específicos para importación de vehículos eléctricos e híbridos hasta el 31 de diciembre de 2026.</w:t>
      </w:r>
    </w:p>
    <w:p w14:paraId="6AAF2A56" w14:textId="77777777" w:rsidR="0017583F" w:rsidRPr="00270F9D" w:rsidRDefault="0017583F" w:rsidP="00270F9D">
      <w:pPr>
        <w:pStyle w:val="Prrafodelista"/>
        <w:rPr>
          <w:rFonts w:ascii="Century Gothic" w:hAnsi="Century Gothic"/>
          <w:sz w:val="24"/>
          <w:lang w:val="es-BO"/>
          <w:szCs w:val="24"/>
        </w:rPr>
      </w:pPr>
    </w:p>
    <w:p w14:paraId="5CF821B2" w14:textId="77777777" w:rsidR="0017583F" w:rsidRPr="00270F9D" w:rsidRDefault="0017583F" w:rsidP="00270F9D">
      <w:pPr>
        <w:pStyle w:val="Prrafodelista"/>
        <w:numPr>
          <w:ilvl w:val="0"/>
          <w:numId w:val="10"/>
        </w:numPr>
        <w:spacing w:after="0"/>
        <w:jc w:val="both"/>
        <w:rPr>
          <w:rFonts w:ascii="Century Gothic" w:hAnsi="Century Gothic"/>
          <w:sz w:val="24"/>
          <w:lang w:val="es-BO"/>
          <w:szCs w:val="24"/>
        </w:rPr>
      </w:pPr>
      <w:r w:rsidRPr="00270F9D">
        <w:rPr>
          <w:rFonts w:ascii="Century Gothic" w:hAnsi="Century Gothic"/>
          <w:b/>
          <w:bCs/>
          <w:sz w:val="24"/>
          <w:lang w:val="es-BO"/>
          <w:szCs w:val="24"/>
        </w:rPr>
        <w:t>Modificación del Presupuesto General del Estado</w:t>
      </w:r>
      <w:r w:rsidRPr="00270F9D">
        <w:rPr>
          <w:rFonts w:ascii="Century Gothic" w:hAnsi="Century Gothic"/>
          <w:sz w:val="24"/>
          <w:lang w:val="es-BO"/>
          <w:szCs w:val="24"/>
        </w:rPr>
        <w:t xml:space="preserve">, mediante D.S. </w:t>
      </w:r>
      <w:proofErr w:type="spellStart"/>
      <w:r w:rsidRPr="00270F9D">
        <w:rPr>
          <w:rFonts w:ascii="Century Gothic" w:hAnsi="Century Gothic"/>
          <w:sz w:val="24"/>
          <w:lang w:val="es-BO"/>
          <w:szCs w:val="24"/>
        </w:rPr>
        <w:t>N°</w:t>
      </w:r>
      <w:proofErr w:type="spellEnd"/>
      <w:r w:rsidRPr="00270F9D">
        <w:rPr>
          <w:rFonts w:ascii="Century Gothic" w:hAnsi="Century Gothic"/>
          <w:sz w:val="24"/>
          <w:lang w:val="es-BO"/>
          <w:szCs w:val="24"/>
        </w:rPr>
        <w:t xml:space="preserve"> 1755 de 30 de julio de 2026 se aprobó la reformulación del PGE 2026, adecuando las previsiones fiscales a las condiciones económicas de la gestión. En este </w:t>
      </w:r>
      <w:r w:rsidRPr="00270F9D">
        <w:rPr>
          <w:rFonts w:ascii="Century Gothic" w:hAnsi="Century Gothic"/>
          <w:sz w:val="24"/>
          <w:lang w:val="es-BO"/>
          <w:szCs w:val="24"/>
        </w:rPr>
        <w:lastRenderedPageBreak/>
        <w:t>marco, el déficit fiscal proyectado se redujo de 15,8% a 9,2% del PIB, considerando medidas de racionalización del gasto público, reducción de subvenciones, ajuste de la masa salarial y de los gastos de funcionamiento, redefinición de las prioridades de inversión pública, evaluación de las empresas estatales y reestructuración de pasivos financieros. Asimismo, se contemplaron medidas de protección social focalizadas, mediante transferencias monetarias temporales a familias vulnerables, el incremento del 20% del Salario Mínimo Nacional y el diferimiento temporal de créditos, con el propósito de mitigar los efectos de los ajustes económicos.</w:t>
      </w:r>
    </w:p>
    <w:p w14:paraId="36319E8E" w14:textId="77777777" w:rsidR="0017583F" w:rsidRPr="00270F9D" w:rsidRDefault="0017583F" w:rsidP="00270F9D">
      <w:pPr>
        <w:pStyle w:val="Prrafodelista"/>
        <w:rPr>
          <w:rFonts w:ascii="Century Gothic" w:hAnsi="Century Gothic"/>
          <w:sz w:val="24"/>
          <w:lang w:val="es-BO"/>
          <w:szCs w:val="24"/>
        </w:rPr>
      </w:pPr>
    </w:p>
    <w:p w14:paraId="289C6EDA" w14:textId="77777777" w:rsidR="0017583F" w:rsidRPr="00270F9D" w:rsidRDefault="0017583F" w:rsidP="00270F9D">
      <w:pPr>
        <w:pStyle w:val="Prrafodelista"/>
        <w:numPr>
          <w:ilvl w:val="0"/>
          <w:numId w:val="10"/>
        </w:numPr>
        <w:spacing w:after="0"/>
        <w:jc w:val="both"/>
        <w:rPr>
          <w:rFonts w:ascii="Century Gothic" w:hAnsi="Century Gothic"/>
          <w:sz w:val="24"/>
          <w:lang w:val="es-BO"/>
          <w:szCs w:val="24"/>
        </w:rPr>
      </w:pPr>
      <w:r w:rsidRPr="00270F9D">
        <w:rPr>
          <w:rFonts w:ascii="Century Gothic" w:hAnsi="Century Gothic"/>
          <w:b/>
          <w:bCs/>
          <w:sz w:val="24"/>
          <w:lang w:val="es-BO"/>
          <w:szCs w:val="24"/>
        </w:rPr>
        <w:t>Precio diferenciado del diésel para grandes consumidores</w:t>
      </w:r>
      <w:r w:rsidRPr="00270F9D">
        <w:rPr>
          <w:rFonts w:ascii="Century Gothic" w:hAnsi="Century Gothic"/>
          <w:sz w:val="24"/>
          <w:lang w:val="es-BO"/>
          <w:szCs w:val="24"/>
        </w:rPr>
        <w:t xml:space="preserve">, mediante D.S. </w:t>
      </w:r>
      <w:proofErr w:type="spellStart"/>
      <w:r w:rsidRPr="00270F9D">
        <w:rPr>
          <w:rFonts w:ascii="Century Gothic" w:hAnsi="Century Gothic"/>
          <w:sz w:val="24"/>
          <w:lang w:val="es-BO"/>
          <w:szCs w:val="24"/>
        </w:rPr>
        <w:t>N°</w:t>
      </w:r>
      <w:proofErr w:type="spellEnd"/>
      <w:r w:rsidRPr="00270F9D">
        <w:rPr>
          <w:rFonts w:ascii="Century Gothic" w:hAnsi="Century Gothic"/>
          <w:sz w:val="24"/>
          <w:lang w:val="es-BO"/>
          <w:szCs w:val="24"/>
        </w:rPr>
        <w:t xml:space="preserve"> 5676 de 17 de agosto de 2026, modifica el precio del diésel para grandes compradores, pero mantiene la subvención para la población general.</w:t>
      </w:r>
    </w:p>
    <w:p w14:paraId="14555CB1" w14:textId="77777777" w:rsidR="0017583F" w:rsidRPr="00270F9D" w:rsidRDefault="0017583F" w:rsidP="00270F9D">
      <w:pPr>
        <w:pStyle w:val="Prrafodelista"/>
        <w:rPr>
          <w:rFonts w:ascii="Century Gothic" w:hAnsi="Century Gothic"/>
          <w:sz w:val="24"/>
          <w:lang w:val="es-BO"/>
          <w:szCs w:val="24"/>
        </w:rPr>
      </w:pPr>
    </w:p>
    <w:p w14:paraId="29D1AE52" w14:textId="77777777" w:rsidR="0017583F" w:rsidRPr="00270F9D" w:rsidRDefault="0017583F" w:rsidP="00270F9D">
      <w:pPr>
        <w:pStyle w:val="Prrafodelista"/>
        <w:numPr>
          <w:ilvl w:val="0"/>
          <w:numId w:val="10"/>
        </w:numPr>
        <w:spacing w:after="0"/>
        <w:jc w:val="both"/>
        <w:rPr>
          <w:rFonts w:ascii="Century Gothic" w:hAnsi="Century Gothic"/>
          <w:sz w:val="24"/>
          <w:lang w:val="es-BO"/>
          <w:szCs w:val="24"/>
        </w:rPr>
      </w:pPr>
      <w:r w:rsidRPr="00270F9D">
        <w:rPr>
          <w:rFonts w:ascii="Century Gothic" w:hAnsi="Century Gothic"/>
          <w:b/>
          <w:bCs/>
          <w:sz w:val="24"/>
          <w:lang w:val="es-BO"/>
          <w:szCs w:val="24"/>
        </w:rPr>
        <w:t>Modificaciones al reglamento del Código Tributario</w:t>
      </w:r>
      <w:r w:rsidRPr="00270F9D">
        <w:rPr>
          <w:rFonts w:ascii="Century Gothic" w:hAnsi="Century Gothic"/>
          <w:sz w:val="24"/>
          <w:lang w:val="es-BO"/>
          <w:szCs w:val="24"/>
        </w:rPr>
        <w:t xml:space="preserve">, mediante D.S. </w:t>
      </w:r>
      <w:proofErr w:type="spellStart"/>
      <w:r w:rsidRPr="00270F9D">
        <w:rPr>
          <w:rFonts w:ascii="Century Gothic" w:hAnsi="Century Gothic"/>
          <w:sz w:val="24"/>
          <w:lang w:val="es-BO"/>
          <w:szCs w:val="24"/>
        </w:rPr>
        <w:t>N°</w:t>
      </w:r>
      <w:proofErr w:type="spellEnd"/>
      <w:r w:rsidRPr="00270F9D">
        <w:rPr>
          <w:rFonts w:ascii="Century Gothic" w:hAnsi="Century Gothic"/>
          <w:sz w:val="24"/>
          <w:lang w:val="es-BO"/>
          <w:szCs w:val="24"/>
        </w:rPr>
        <w:t xml:space="preserve"> 5687 de 31 de agosto de 2026 se amplía de 30 a 60 meses el plazo máximo para el pago de facilidades de obligaciones tributarias en Bolivia.</w:t>
      </w:r>
    </w:p>
    <w:p w14:paraId="6C194638" w14:textId="77777777" w:rsidR="0017583F" w:rsidRPr="00270F9D" w:rsidRDefault="0017583F" w:rsidP="00270F9D">
      <w:pPr>
        <w:pStyle w:val="Prrafodelista"/>
        <w:rPr>
          <w:rFonts w:ascii="Century Gothic" w:hAnsi="Century Gothic"/>
          <w:sz w:val="24"/>
          <w:lang w:val="es-BO"/>
          <w:szCs w:val="24"/>
        </w:rPr>
      </w:pPr>
    </w:p>
    <w:p w14:paraId="20A7C8A8" w14:textId="77777777" w:rsidR="0017583F" w:rsidRPr="00270F9D" w:rsidRDefault="0017583F" w:rsidP="00270F9D">
      <w:pPr>
        <w:pStyle w:val="Prrafodelista"/>
        <w:numPr>
          <w:ilvl w:val="0"/>
          <w:numId w:val="10"/>
        </w:numPr>
        <w:spacing w:after="0"/>
        <w:jc w:val="both"/>
        <w:rPr>
          <w:rFonts w:ascii="Century Gothic" w:hAnsi="Century Gothic"/>
          <w:sz w:val="24"/>
          <w:lang w:val="es-BO"/>
          <w:szCs w:val="24"/>
        </w:rPr>
      </w:pPr>
      <w:r w:rsidRPr="00270F9D">
        <w:rPr>
          <w:rFonts w:ascii="Century Gothic" w:hAnsi="Century Gothic"/>
          <w:b/>
          <w:bCs/>
          <w:sz w:val="24"/>
          <w:lang w:val="es-BO"/>
          <w:szCs w:val="24"/>
        </w:rPr>
        <w:t>Medidas preventivas temporales para entidades financieras</w:t>
      </w:r>
      <w:r w:rsidRPr="00270F9D">
        <w:rPr>
          <w:rFonts w:ascii="Century Gothic" w:hAnsi="Century Gothic"/>
          <w:sz w:val="24"/>
          <w:lang w:val="es-BO"/>
          <w:szCs w:val="24"/>
        </w:rPr>
        <w:t xml:space="preserve">, con D.S. </w:t>
      </w:r>
      <w:proofErr w:type="spellStart"/>
      <w:r w:rsidRPr="00270F9D">
        <w:rPr>
          <w:rFonts w:ascii="Century Gothic" w:hAnsi="Century Gothic"/>
          <w:sz w:val="24"/>
          <w:lang w:val="es-BO"/>
          <w:szCs w:val="24"/>
        </w:rPr>
        <w:t>N°</w:t>
      </w:r>
      <w:proofErr w:type="spellEnd"/>
      <w:r w:rsidRPr="00270F9D">
        <w:rPr>
          <w:rFonts w:ascii="Century Gothic" w:hAnsi="Century Gothic"/>
          <w:sz w:val="24"/>
          <w:lang w:val="es-BO"/>
          <w:szCs w:val="24"/>
        </w:rPr>
        <w:t xml:space="preserve"> 5693 de 31 de agosto de 2026 se establece medidas temporales para fortalecer el patrimonio de las entidades de intermediación financiera en Bolivia, autorizando de forma excepcional al Fondo Amplio de Garantía y de Crédito (fondo público habitualmente destinado a créditos de vivienda social o productivos) a emitir Certificados de Fortalecimiento Patrimonial (CFP).</w:t>
      </w:r>
    </w:p>
    <w:p w14:paraId="5FC9A7AD" w14:textId="77777777" w:rsidR="0017583F" w:rsidRPr="00270F9D" w:rsidRDefault="0017583F" w:rsidP="00270F9D">
      <w:pPr>
        <w:pStyle w:val="Prrafodelista"/>
        <w:rPr>
          <w:rFonts w:ascii="Century Gothic" w:hAnsi="Century Gothic"/>
          <w:sz w:val="24"/>
          <w:lang w:val="es-BO"/>
          <w:szCs w:val="24"/>
        </w:rPr>
      </w:pPr>
    </w:p>
    <w:p w14:paraId="56327F19" w14:textId="77777777" w:rsidR="0017583F" w:rsidRPr="00270F9D" w:rsidRDefault="0017583F" w:rsidP="00270F9D">
      <w:pPr>
        <w:pStyle w:val="Prrafodelista"/>
        <w:numPr>
          <w:ilvl w:val="0"/>
          <w:numId w:val="10"/>
        </w:numPr>
        <w:spacing w:after="0"/>
        <w:jc w:val="both"/>
        <w:rPr>
          <w:rFonts w:ascii="Century Gothic" w:hAnsi="Century Gothic"/>
          <w:sz w:val="24"/>
          <w:lang w:val="es-BO"/>
          <w:szCs w:val="24"/>
        </w:rPr>
      </w:pPr>
      <w:r w:rsidRPr="00270F9D">
        <w:rPr>
          <w:rFonts w:ascii="Century Gothic" w:hAnsi="Century Gothic"/>
          <w:b/>
          <w:bCs/>
          <w:sz w:val="24"/>
          <w:lang w:val="es-BO"/>
          <w:szCs w:val="24"/>
        </w:rPr>
        <w:t>Asignación de diésel a pequeños productores agropecuarios</w:t>
      </w:r>
      <w:r w:rsidRPr="00270F9D">
        <w:rPr>
          <w:rFonts w:ascii="Century Gothic" w:hAnsi="Century Gothic"/>
          <w:sz w:val="24"/>
          <w:lang w:val="es-BO"/>
          <w:szCs w:val="24"/>
        </w:rPr>
        <w:t>, con D.S. 5698 de 1 de septiembre de 2025 se regula el acceso al diésel y los incentivos tributarios para biocombustibles en Bolivia.</w:t>
      </w:r>
    </w:p>
    <w:p w14:paraId="6A42C775" w14:textId="77777777" w:rsidR="0017583F" w:rsidRPr="00270F9D" w:rsidRDefault="0017583F" w:rsidP="00270F9D">
      <w:pPr>
        <w:pStyle w:val="Prrafodelista"/>
        <w:rPr>
          <w:rFonts w:ascii="Century Gothic" w:hAnsi="Century Gothic"/>
          <w:sz w:val="24"/>
          <w:lang w:val="es-BO"/>
          <w:szCs w:val="24"/>
        </w:rPr>
      </w:pPr>
    </w:p>
    <w:p w14:paraId="1EEACA7E" w14:textId="77777777" w:rsidR="0017583F" w:rsidRPr="00270F9D" w:rsidRDefault="0017583F" w:rsidP="00270F9D">
      <w:pPr>
        <w:pStyle w:val="Prrafodelista"/>
        <w:numPr>
          <w:ilvl w:val="0"/>
          <w:numId w:val="10"/>
        </w:numPr>
        <w:spacing w:after="0"/>
        <w:jc w:val="both"/>
        <w:rPr>
          <w:rFonts w:ascii="Century Gothic" w:hAnsi="Century Gothic"/>
          <w:sz w:val="24"/>
          <w:lang w:val="es-BO"/>
          <w:szCs w:val="24"/>
        </w:rPr>
      </w:pPr>
      <w:r w:rsidRPr="00270F9D">
        <w:rPr>
          <w:rFonts w:ascii="Century Gothic" w:hAnsi="Century Gothic"/>
          <w:b/>
          <w:bCs/>
          <w:sz w:val="24"/>
          <w:lang w:val="es-BO"/>
          <w:szCs w:val="24"/>
        </w:rPr>
        <w:t>Exención de arancel e IVA para equipos e insumos productivos</w:t>
      </w:r>
      <w:r w:rsidRPr="00270F9D">
        <w:rPr>
          <w:rFonts w:ascii="Century Gothic" w:hAnsi="Century Gothic"/>
          <w:sz w:val="24"/>
          <w:lang w:val="es-BO"/>
          <w:szCs w:val="24"/>
        </w:rPr>
        <w:t xml:space="preserve">, con D.S. </w:t>
      </w:r>
      <w:proofErr w:type="spellStart"/>
      <w:r w:rsidRPr="00270F9D">
        <w:rPr>
          <w:rFonts w:ascii="Century Gothic" w:hAnsi="Century Gothic"/>
          <w:sz w:val="24"/>
          <w:lang w:val="es-BO"/>
          <w:szCs w:val="24"/>
        </w:rPr>
        <w:t>N°</w:t>
      </w:r>
      <w:proofErr w:type="spellEnd"/>
      <w:r w:rsidRPr="00270F9D">
        <w:rPr>
          <w:rFonts w:ascii="Century Gothic" w:hAnsi="Century Gothic"/>
          <w:sz w:val="24"/>
          <w:lang w:val="es-BO"/>
          <w:szCs w:val="24"/>
        </w:rPr>
        <w:t xml:space="preserve"> 5709 de 16 de septiembre de 2026, se identificó insumos, semillas, equipos, bienes de capital y plantas industriales de los sectores agropecuario, industrial, construcción, transporte y minería que pueden importarse sin arancel y con IVA cero, según las partidas incluidas, cuyo beneficio está previsto hasta julio de 2031.</w:t>
      </w:r>
    </w:p>
    <w:p w14:paraId="30670856" w14:textId="77777777" w:rsidR="0017583F" w:rsidRPr="00270F9D" w:rsidRDefault="0017583F" w:rsidP="00270F9D">
      <w:pPr>
        <w:pStyle w:val="Prrafodelista"/>
        <w:jc w:val="both"/>
        <w:rPr>
          <w:rFonts w:ascii="Century Gothic" w:hAnsi="Century Gothic"/>
          <w:b/>
          <w:bCs/>
          <w:sz w:val="24"/>
          <w:lang w:val="es-BO"/>
          <w:szCs w:val="24"/>
        </w:rPr>
      </w:pPr>
    </w:p>
    <w:p w14:paraId="7BB7866F" w14:textId="77777777" w:rsidR="0017583F" w:rsidRPr="00270F9D" w:rsidRDefault="0017583F" w:rsidP="00270F9D">
      <w:pPr>
        <w:pStyle w:val="Prrafodelista"/>
        <w:numPr>
          <w:ilvl w:val="0"/>
          <w:numId w:val="10"/>
        </w:numPr>
        <w:spacing w:after="0"/>
        <w:jc w:val="both"/>
        <w:rPr>
          <w:rFonts w:ascii="Century Gothic" w:hAnsi="Century Gothic"/>
          <w:b/>
          <w:bCs/>
          <w:sz w:val="24"/>
          <w:lang w:val="es-BO"/>
          <w:szCs w:val="24"/>
        </w:rPr>
      </w:pPr>
      <w:r w:rsidRPr="00270F9D">
        <w:rPr>
          <w:rFonts w:ascii="Century Gothic" w:hAnsi="Century Gothic"/>
          <w:b/>
          <w:bCs/>
          <w:sz w:val="24"/>
          <w:lang w:val="es-BO"/>
          <w:szCs w:val="24"/>
        </w:rPr>
        <w:t>Exención de arancel e IVA a bienes productivos</w:t>
      </w:r>
      <w:r w:rsidRPr="00270F9D">
        <w:rPr>
          <w:rFonts w:ascii="Century Gothic" w:hAnsi="Century Gothic"/>
          <w:sz w:val="24"/>
          <w:lang w:val="es-BO"/>
          <w:szCs w:val="24"/>
        </w:rPr>
        <w:t xml:space="preserve">, con D.S. </w:t>
      </w:r>
      <w:proofErr w:type="spellStart"/>
      <w:r w:rsidRPr="00270F9D">
        <w:rPr>
          <w:rFonts w:ascii="Century Gothic" w:hAnsi="Century Gothic"/>
          <w:sz w:val="24"/>
          <w:lang w:val="es-BO"/>
          <w:szCs w:val="24"/>
        </w:rPr>
        <w:t>N°</w:t>
      </w:r>
      <w:proofErr w:type="spellEnd"/>
      <w:r w:rsidRPr="00270F9D">
        <w:rPr>
          <w:rFonts w:ascii="Century Gothic" w:hAnsi="Century Gothic"/>
          <w:sz w:val="24"/>
          <w:lang w:val="es-BO"/>
          <w:szCs w:val="24"/>
        </w:rPr>
        <w:t xml:space="preserve"> 5709 de 18 de septiembre de 2026 se operativizó el listado de bienes y partidas para las </w:t>
      </w:r>
      <w:r w:rsidRPr="00270F9D">
        <w:rPr>
          <w:rFonts w:ascii="Century Gothic" w:hAnsi="Century Gothic"/>
          <w:sz w:val="24"/>
          <w:lang w:val="es-BO"/>
          <w:szCs w:val="24"/>
        </w:rPr>
        <w:lastRenderedPageBreak/>
        <w:t xml:space="preserve">exenciones establecidas en el marco de las modificaciones presupuestarias de la Ley </w:t>
      </w:r>
      <w:proofErr w:type="spellStart"/>
      <w:r w:rsidRPr="00270F9D">
        <w:rPr>
          <w:rFonts w:ascii="Century Gothic" w:hAnsi="Century Gothic"/>
          <w:sz w:val="24"/>
          <w:lang w:val="es-BO"/>
          <w:szCs w:val="24"/>
        </w:rPr>
        <w:t>N°</w:t>
      </w:r>
      <w:proofErr w:type="spellEnd"/>
      <w:r w:rsidRPr="00270F9D">
        <w:rPr>
          <w:rFonts w:ascii="Century Gothic" w:hAnsi="Century Gothic"/>
          <w:sz w:val="24"/>
          <w:lang w:val="es-BO"/>
          <w:szCs w:val="24"/>
        </w:rPr>
        <w:t xml:space="preserve"> 1755. Se incluye una sola vez para evitar duplicar el mismo beneficio tributario.</w:t>
      </w:r>
    </w:p>
    <w:p w14:paraId="4AAD3D32" w14:textId="77777777" w:rsidR="0017583F" w:rsidRPr="00270F9D" w:rsidRDefault="0017583F" w:rsidP="00270F9D">
      <w:pPr>
        <w:pStyle w:val="Prrafodelista"/>
        <w:rPr>
          <w:rFonts w:ascii="Century Gothic" w:hAnsi="Century Gothic"/>
          <w:b/>
          <w:bCs/>
          <w:sz w:val="24"/>
          <w:lang w:val="es-BO"/>
          <w:szCs w:val="24"/>
        </w:rPr>
      </w:pPr>
    </w:p>
    <w:p w14:paraId="73117E27" w14:textId="77777777" w:rsidR="0017583F" w:rsidRPr="00270F9D" w:rsidRDefault="0017583F" w:rsidP="00270F9D">
      <w:pPr>
        <w:pStyle w:val="Prrafodelista"/>
        <w:numPr>
          <w:ilvl w:val="0"/>
          <w:numId w:val="10"/>
        </w:numPr>
        <w:spacing w:after="0"/>
        <w:jc w:val="both"/>
        <w:rPr>
          <w:rFonts w:ascii="Century Gothic" w:hAnsi="Century Gothic"/>
          <w:b/>
          <w:bCs/>
          <w:sz w:val="24"/>
          <w:lang w:val="es-BO"/>
          <w:szCs w:val="24"/>
        </w:rPr>
      </w:pPr>
      <w:r w:rsidRPr="00270F9D">
        <w:rPr>
          <w:rFonts w:ascii="Century Gothic" w:hAnsi="Century Gothic"/>
          <w:b/>
          <w:bCs/>
          <w:sz w:val="24"/>
          <w:lang w:val="es-BO"/>
          <w:szCs w:val="24"/>
        </w:rPr>
        <w:t>Eliminación general de la subvención al diésel</w:t>
      </w:r>
      <w:r w:rsidRPr="00270F9D">
        <w:rPr>
          <w:rFonts w:ascii="Century Gothic" w:hAnsi="Century Gothic"/>
          <w:sz w:val="24"/>
          <w:lang w:val="es-BO"/>
          <w:szCs w:val="24"/>
        </w:rPr>
        <w:t>, con D.S. 5716 de 19 de septiembre de 2026 se aplicó el fin de la subvención general al diésel, vinculando el precio con el costo internacional. La decisión pretendía reducir el costo fiscal de la importación y evitar el desvío de combustible.</w:t>
      </w:r>
    </w:p>
    <w:p w14:paraId="012199F4" w14:textId="77777777" w:rsidR="0017583F" w:rsidRPr="00270F9D" w:rsidRDefault="0017583F" w:rsidP="00270F9D">
      <w:pPr>
        <w:pStyle w:val="Prrafodelista"/>
        <w:rPr>
          <w:rFonts w:ascii="Century Gothic" w:hAnsi="Century Gothic"/>
          <w:b/>
          <w:bCs/>
          <w:sz w:val="24"/>
          <w:lang w:val="es-BO"/>
          <w:szCs w:val="24"/>
        </w:rPr>
      </w:pPr>
    </w:p>
    <w:p w14:paraId="011BDBD1" w14:textId="77777777" w:rsidR="0017583F" w:rsidRPr="00270F9D" w:rsidRDefault="0017583F" w:rsidP="00270F9D">
      <w:pPr>
        <w:pStyle w:val="Prrafodelista"/>
        <w:numPr>
          <w:ilvl w:val="0"/>
          <w:numId w:val="10"/>
        </w:numPr>
        <w:spacing w:after="0"/>
        <w:jc w:val="both"/>
        <w:rPr>
          <w:rFonts w:ascii="Century Gothic" w:hAnsi="Century Gothic"/>
          <w:b/>
          <w:bCs/>
          <w:sz w:val="24"/>
          <w:lang w:val="es-BO"/>
          <w:szCs w:val="24"/>
        </w:rPr>
      </w:pPr>
      <w:bookmarkStart w:id="0" w:name="_Hlk243644658"/>
      <w:r w:rsidRPr="00270F9D">
        <w:rPr>
          <w:rFonts w:ascii="Century Gothic" w:hAnsi="Century Gothic"/>
          <w:b/>
          <w:bCs/>
          <w:sz w:val="24"/>
          <w:lang w:val="es-BO"/>
          <w:szCs w:val="24"/>
        </w:rPr>
        <w:t>Fideicomiso Impulso Productivo</w:t>
      </w:r>
      <w:r w:rsidRPr="00270F9D">
        <w:rPr>
          <w:rFonts w:ascii="Century Gothic" w:hAnsi="Century Gothic"/>
          <w:sz w:val="24"/>
          <w:lang w:val="es-BO"/>
          <w:szCs w:val="24"/>
        </w:rPr>
        <w:t>, con D.S. Nº 5720 de 22 de septiembre de 2026, se constituye el Fideicomiso Impulso Productivo, para el apoyo a personas naturales y jurídicas legalmente constituidas que desarrollen actividades económicas de producción y/o vinculadas a la cadena productiva y su logística.</w:t>
      </w:r>
    </w:p>
    <w:bookmarkEnd w:id="4"/>
    <w:p w14:paraId="24CCA0EB" w14:textId="77777777" w:rsidR="0017583F" w:rsidRPr="00270F9D" w:rsidRDefault="0017583F" w:rsidP="00270F9D">
      <w:pPr>
        <w:pStyle w:val="Prrafodelista"/>
        <w:jc w:val="both"/>
        <w:rPr>
          <w:rFonts w:ascii="Century Gothic" w:hAnsi="Century Gothic"/>
          <w:b/>
          <w:bCs/>
          <w:sz w:val="24"/>
          <w:lang w:val="es-BO"/>
          <w:szCs w:val="24"/>
        </w:rPr>
      </w:pPr>
    </w:p>
    <w:p w14:paraId="59461AFE" w14:textId="77777777" w:rsidR="0017583F" w:rsidRPr="00270F9D" w:rsidRDefault="0017583F" w:rsidP="00270F9D">
      <w:pPr>
        <w:pStyle w:val="Prrafodelista"/>
        <w:numPr>
          <w:ilvl w:val="0"/>
          <w:numId w:val="10"/>
        </w:numPr>
        <w:spacing w:after="160"/>
        <w:jc w:val="both"/>
        <w:rPr>
          <w:rFonts w:ascii="Century Gothic" w:hAnsi="Century Gothic"/>
          <w:b/>
          <w:bCs/>
          <w:sz w:val="24"/>
          <w:lang w:val="es-BO"/>
          <w:szCs w:val="24"/>
        </w:rPr>
      </w:pPr>
      <w:r w:rsidRPr="00270F9D">
        <w:rPr>
          <w:rFonts w:ascii="Century Gothic" w:hAnsi="Century Gothic"/>
          <w:b/>
          <w:bCs/>
          <w:sz w:val="24"/>
          <w:lang w:val="es-BO"/>
          <w:szCs w:val="24"/>
        </w:rPr>
        <w:t xml:space="preserve">Acuerdo de financiamiento con el FMI, </w:t>
      </w:r>
      <w:r w:rsidRPr="00270F9D">
        <w:rPr>
          <w:rFonts w:ascii="Century Gothic" w:hAnsi="Century Gothic"/>
          <w:sz w:val="24"/>
          <w:lang w:val="es-BO"/>
          <w:szCs w:val="24"/>
        </w:rPr>
        <w:t>el 2 de octubre de 2026 se aprobó el acuerdo de financiamiento con Bolivia por un importe aproximado de USD1.900 millones bajo el Servicio Ampliado del FMI.</w:t>
      </w:r>
    </w:p>
    <w:p w14:paraId="718655A1" w14:textId="77777777" w:rsidR="0017583F" w:rsidRPr="00270F9D" w:rsidRDefault="0017583F" w:rsidP="00270F9D">
      <w:pPr>
        <w:pStyle w:val="Prrafodelista"/>
        <w:jc w:val="both"/>
        <w:rPr>
          <w:rFonts w:ascii="Century Gothic" w:hAnsi="Century Gothic"/>
          <w:b/>
          <w:bCs/>
          <w:sz w:val="24"/>
          <w:lang w:val="es-BO"/>
          <w:szCs w:val="24"/>
        </w:rPr>
      </w:pPr>
    </w:p>
    <w:p w14:paraId="498FF16E" w14:textId="77777777" w:rsidR="0017583F" w:rsidRPr="00270F9D" w:rsidRDefault="0017583F" w:rsidP="00270F9D">
      <w:pPr>
        <w:pStyle w:val="Prrafodelista"/>
        <w:numPr>
          <w:ilvl w:val="0"/>
          <w:numId w:val="10"/>
        </w:numPr>
        <w:spacing w:after="0"/>
        <w:jc w:val="both"/>
        <w:rPr>
          <w:rFonts w:ascii="Century Gothic" w:hAnsi="Century Gothic"/>
          <w:b/>
          <w:bCs/>
          <w:sz w:val="24"/>
          <w:lang w:val="es-BO"/>
          <w:szCs w:val="24"/>
        </w:rPr>
      </w:pPr>
      <w:r w:rsidRPr="00270F9D">
        <w:rPr>
          <w:rFonts w:ascii="Century Gothic" w:hAnsi="Century Gothic"/>
          <w:b/>
          <w:bCs/>
          <w:sz w:val="24"/>
          <w:lang w:val="es-BO"/>
          <w:szCs w:val="24"/>
        </w:rPr>
        <w:t>Mantenimiento del precio de la garrafa de GLP</w:t>
      </w:r>
      <w:r w:rsidRPr="00270F9D">
        <w:rPr>
          <w:rFonts w:ascii="Century Gothic" w:hAnsi="Century Gothic"/>
          <w:sz w:val="24"/>
          <w:lang w:val="es-BO"/>
          <w:szCs w:val="24"/>
        </w:rPr>
        <w:t xml:space="preserve">, con D.S. </w:t>
      </w:r>
      <w:proofErr w:type="spellStart"/>
      <w:r w:rsidRPr="00270F9D">
        <w:rPr>
          <w:rFonts w:ascii="Century Gothic" w:hAnsi="Century Gothic"/>
          <w:sz w:val="24"/>
          <w:lang w:val="es-BO"/>
          <w:szCs w:val="24"/>
        </w:rPr>
        <w:t>N°</w:t>
      </w:r>
      <w:proofErr w:type="spellEnd"/>
      <w:r w:rsidRPr="00270F9D">
        <w:rPr>
          <w:rFonts w:ascii="Century Gothic" w:hAnsi="Century Gothic"/>
          <w:sz w:val="24"/>
          <w:lang w:val="es-BO"/>
          <w:szCs w:val="24"/>
        </w:rPr>
        <w:t xml:space="preserve"> 5746 de 14 de octubre de 2026, mantiene fijo en Bs22,50 el precio de venta al consumidor de la garrafa de Gas Licuado de Petróleo (GLP) de 10 kg.</w:t>
      </w:r>
    </w:p>
    <w:p w14:paraId="322DF130" w14:textId="77777777" w:rsidR="0017583F" w:rsidRPr="00270F9D" w:rsidRDefault="0017583F" w:rsidP="00270F9D">
      <w:pPr>
        <w:pStyle w:val="Prrafodelista"/>
        <w:jc w:val="both"/>
        <w:rPr>
          <w:rFonts w:ascii="Century Gothic" w:hAnsi="Century Gothic"/>
          <w:sz w:val="24"/>
          <w:lang w:val="es-BO"/>
          <w:szCs w:val="24"/>
        </w:rPr>
      </w:pPr>
    </w:p>
    <w:p w14:paraId="278A8B51" w14:textId="77777777" w:rsidR="0017583F" w:rsidRPr="00270F9D" w:rsidRDefault="0017583F" w:rsidP="00270F9D">
      <w:pPr>
        <w:pStyle w:val="Prrafodelista"/>
        <w:numPr>
          <w:ilvl w:val="0"/>
          <w:numId w:val="10"/>
        </w:numPr>
        <w:spacing w:after="0"/>
        <w:jc w:val="both"/>
        <w:rPr>
          <w:rFonts w:ascii="Century Gothic" w:hAnsi="Century Gothic"/>
          <w:sz w:val="24"/>
          <w:lang w:val="es-BO"/>
          <w:szCs w:val="24"/>
        </w:rPr>
      </w:pPr>
      <w:r w:rsidRPr="00270F9D">
        <w:rPr>
          <w:rFonts w:ascii="Century Gothic" w:hAnsi="Century Gothic"/>
          <w:b/>
          <w:bCs/>
          <w:sz w:val="24"/>
          <w:lang w:val="es-BO"/>
          <w:szCs w:val="24"/>
        </w:rPr>
        <w:t>Ingreso de divisas de exportadores de oro</w:t>
      </w:r>
      <w:r w:rsidRPr="00270F9D">
        <w:rPr>
          <w:rFonts w:ascii="Century Gothic" w:hAnsi="Century Gothic"/>
          <w:sz w:val="24"/>
          <w:lang w:val="es-BO"/>
          <w:szCs w:val="24"/>
        </w:rPr>
        <w:t xml:space="preserve">, el D.S. </w:t>
      </w:r>
      <w:proofErr w:type="spellStart"/>
      <w:r w:rsidRPr="00270F9D">
        <w:rPr>
          <w:rFonts w:ascii="Century Gothic" w:hAnsi="Century Gothic"/>
          <w:sz w:val="24"/>
          <w:lang w:val="es-BO"/>
          <w:szCs w:val="24"/>
        </w:rPr>
        <w:t>N°</w:t>
      </w:r>
      <w:proofErr w:type="spellEnd"/>
      <w:r w:rsidRPr="00270F9D">
        <w:rPr>
          <w:rFonts w:ascii="Century Gothic" w:hAnsi="Century Gothic"/>
          <w:sz w:val="24"/>
          <w:lang w:val="es-BO"/>
          <w:szCs w:val="24"/>
        </w:rPr>
        <w:t xml:space="preserve"> 5747 de 13 de octubre de 2026 exige que los exportadores de oro en Bolivia acrediten el ingreso de al menos el 80% de sus divisas al sistema financiero nacional.</w:t>
      </w:r>
    </w:p>
    <w:p w14:paraId="090F63D8" w14:textId="77777777" w:rsidR="0017583F" w:rsidRPr="00270F9D" w:rsidRDefault="0017583F" w:rsidP="00270F9D">
      <w:pPr>
        <w:jc w:val="both"/>
        <w:rPr>
          <w:rFonts w:ascii="Century Gothic" w:hAnsi="Century Gothic"/>
          <w:sz w:val="24"/>
          <w:lang w:val="es-BO"/>
          <w:szCs w:val="24"/>
        </w:rPr>
      </w:pPr>
    </w:p>
    <w:p w14:paraId="2E75F889" w14:textId="77777777" w:rsidR="0017583F" w:rsidRPr="00270F9D" w:rsidRDefault="0017583F" w:rsidP="00270F9D">
      <w:pPr>
        <w:pStyle w:val="Prrafodelista"/>
        <w:numPr>
          <w:ilvl w:val="0"/>
          <w:numId w:val="10"/>
        </w:numPr>
        <w:spacing w:after="0"/>
        <w:jc w:val="both"/>
        <w:rPr>
          <w:rFonts w:ascii="Century Gothic" w:hAnsi="Century Gothic"/>
          <w:sz w:val="24"/>
          <w:lang w:val="es-BO"/>
          <w:szCs w:val="24"/>
        </w:rPr>
      </w:pPr>
      <w:r w:rsidRPr="00270F9D">
        <w:rPr>
          <w:rFonts w:ascii="Century Gothic" w:hAnsi="Century Gothic"/>
          <w:b/>
          <w:bCs/>
          <w:sz w:val="24"/>
          <w:lang w:val="es-BO"/>
          <w:szCs w:val="24"/>
        </w:rPr>
        <w:t>Digitalización de los certificados de devolución impositiva (CEDEIM)</w:t>
      </w:r>
      <w:r w:rsidRPr="00270F9D">
        <w:rPr>
          <w:rFonts w:ascii="Century Gothic" w:hAnsi="Century Gothic"/>
          <w:sz w:val="24"/>
          <w:lang w:val="es-BO"/>
          <w:szCs w:val="24"/>
        </w:rPr>
        <w:t xml:space="preserve">, mediante D.S. </w:t>
      </w:r>
      <w:proofErr w:type="spellStart"/>
      <w:r w:rsidRPr="00270F9D">
        <w:rPr>
          <w:rFonts w:ascii="Century Gothic" w:hAnsi="Century Gothic"/>
          <w:sz w:val="24"/>
          <w:lang w:val="es-BO"/>
          <w:szCs w:val="24"/>
        </w:rPr>
        <w:t>N°</w:t>
      </w:r>
      <w:proofErr w:type="spellEnd"/>
      <w:r w:rsidRPr="00270F9D">
        <w:rPr>
          <w:rFonts w:ascii="Century Gothic" w:hAnsi="Century Gothic"/>
          <w:sz w:val="24"/>
          <w:lang w:val="es-BO"/>
          <w:szCs w:val="24"/>
        </w:rPr>
        <w:t xml:space="preserve"> 5748 de 13 de octubre de 2026, se moderniza la devolución impositiva para los exportadores mediante la creación del Certificado de Devolución Impositiva (CEDEIM) digital y un sistema electrónico de gestión de riesgos.</w:t>
      </w:r>
    </w:p>
    <w:p w14:paraId="7ECC79E8" w14:textId="77777777" w:rsidR="0017583F" w:rsidRPr="00270F9D" w:rsidRDefault="0017583F" w:rsidP="00270F9D">
      <w:pPr>
        <w:jc w:val="both"/>
        <w:rPr>
          <w:rFonts w:ascii="Century Gothic" w:hAnsi="Century Gothic"/>
          <w:sz w:val="24"/>
          <w:lang w:val="es-BO"/>
          <w:szCs w:val="24"/>
        </w:rPr>
      </w:pPr>
    </w:p>
    <w:p w14:paraId="056DA6D5" w14:textId="77777777" w:rsidR="0017583F" w:rsidRPr="00270F9D" w:rsidRDefault="0017583F" w:rsidP="00270F9D">
      <w:pPr>
        <w:pStyle w:val="Prrafodelista"/>
        <w:numPr>
          <w:ilvl w:val="0"/>
          <w:numId w:val="10"/>
        </w:numPr>
        <w:spacing w:after="0"/>
        <w:jc w:val="both"/>
        <w:rPr>
          <w:rFonts w:ascii="Century Gothic" w:hAnsi="Century Gothic"/>
          <w:sz w:val="24"/>
          <w:lang w:val="es-BO"/>
          <w:szCs w:val="24"/>
        </w:rPr>
      </w:pPr>
      <w:r w:rsidRPr="00270F9D">
        <w:rPr>
          <w:rFonts w:ascii="Century Gothic" w:hAnsi="Century Gothic"/>
          <w:b/>
          <w:bCs/>
          <w:sz w:val="24"/>
          <w:lang w:val="es-BO"/>
          <w:szCs w:val="24"/>
        </w:rPr>
        <w:t>Actualización de fórmulas de cálculo de tarifas eléctricas</w:t>
      </w:r>
      <w:r w:rsidRPr="00270F9D">
        <w:rPr>
          <w:rFonts w:ascii="Century Gothic" w:hAnsi="Century Gothic"/>
          <w:sz w:val="24"/>
          <w:lang w:val="es-BO"/>
          <w:szCs w:val="24"/>
        </w:rPr>
        <w:t xml:space="preserve">, mediante D.S. </w:t>
      </w:r>
      <w:proofErr w:type="spellStart"/>
      <w:r w:rsidRPr="00270F9D">
        <w:rPr>
          <w:rFonts w:ascii="Century Gothic" w:hAnsi="Century Gothic"/>
          <w:sz w:val="24"/>
          <w:lang w:val="es-BO"/>
          <w:szCs w:val="24"/>
        </w:rPr>
        <w:t>N°</w:t>
      </w:r>
      <w:proofErr w:type="spellEnd"/>
      <w:r w:rsidRPr="00270F9D">
        <w:rPr>
          <w:rFonts w:ascii="Century Gothic" w:hAnsi="Century Gothic"/>
          <w:sz w:val="24"/>
          <w:lang w:val="es-BO"/>
          <w:szCs w:val="24"/>
        </w:rPr>
        <w:t xml:space="preserve"> 5750 de 13 de octubre de 2026, se modifica el cálculo y la actualización de los precios y tarifas máximas del servicio eléctrico en Bolivia, cuyo objetivo es evitar alzas bruscas o volátiles al suavizar las variaciones mediante promedios de 30 días.</w:t>
      </w:r>
    </w:p>
    <w:p w14:paraId="27F87C34" w14:textId="77777777" w:rsidR="0017583F" w:rsidRPr="00270F9D" w:rsidRDefault="0017583F" w:rsidP="00270F9D">
      <w:pPr>
        <w:pStyle w:val="Prrafodelista"/>
        <w:spacing w:after="160"/>
        <w:jc w:val="both"/>
        <w:rPr>
          <w:rFonts w:ascii="Century Gothic" w:hAnsi="Century Gothic"/>
          <w:b/>
          <w:bCs/>
          <w:sz w:val="24"/>
          <w:szCs w:val="24"/>
        </w:rPr>
      </w:pPr>
      <w:r w:rsidRPr="00270F9D">
        <w:rPr>
          <w:rFonts w:ascii="Century Gothic" w:hAnsi="Century Gothic"/>
          <w:b/>
          <w:bCs/>
          <w:sz w:val="24"/>
          <w:szCs w:val="24"/>
        </w:rPr>
        <w:lastRenderedPageBreak/>
        <w:t>MEDIDAS SOCIALES</w:t>
      </w:r>
    </w:p>
    <w:p w14:paraId="02C18C52" w14:textId="77777777" w:rsidR="0017583F" w:rsidRPr="00270F9D" w:rsidRDefault="0017583F" w:rsidP="00270F9D">
      <w:pPr>
        <w:pStyle w:val="Prrafodelista"/>
        <w:spacing w:after="160"/>
        <w:jc w:val="both"/>
        <w:rPr>
          <w:rFonts w:ascii="Century Gothic" w:hAnsi="Century Gothic"/>
          <w:b/>
          <w:bCs/>
          <w:sz w:val="24"/>
          <w:szCs w:val="24"/>
        </w:rPr>
      </w:pPr>
    </w:p>
    <w:p w14:paraId="5630C675" w14:textId="77777777" w:rsidR="0017583F" w:rsidRPr="00270F9D" w:rsidRDefault="0017583F" w:rsidP="00270F9D">
      <w:pPr>
        <w:pStyle w:val="Prrafodelista"/>
        <w:numPr>
          <w:ilvl w:val="0"/>
          <w:numId w:val="10"/>
        </w:numPr>
        <w:spacing w:after="160"/>
        <w:jc w:val="both"/>
        <w:rPr>
          <w:rFonts w:ascii="Century Gothic" w:hAnsi="Century Gothic"/>
          <w:sz w:val="24"/>
          <w:lang w:val="es-BO"/>
          <w:szCs w:val="24"/>
        </w:rPr>
      </w:pPr>
      <w:r w:rsidRPr="00270F9D">
        <w:rPr>
          <w:rFonts w:ascii="Century Gothic" w:hAnsi="Century Gothic"/>
          <w:b/>
          <w:bCs/>
          <w:sz w:val="24"/>
          <w:lang w:val="es-BO"/>
          <w:szCs w:val="24"/>
        </w:rPr>
        <w:t xml:space="preserve">Feriado nacional extraordinario para promover turismo interno, </w:t>
      </w:r>
      <w:r w:rsidRPr="00270F9D">
        <w:rPr>
          <w:rFonts w:ascii="Century Gothic" w:hAnsi="Century Gothic"/>
          <w:sz w:val="24"/>
          <w:lang w:val="es-BO"/>
          <w:szCs w:val="24"/>
        </w:rPr>
        <w:t>mediante Decretos Supremos se ha declarado varios feriados nacionales en el país, con la finalidad de incentivar el turismo interno y el consumo en destinos nacionales.</w:t>
      </w:r>
    </w:p>
    <w:p w14:paraId="283A57D7" w14:textId="77777777" w:rsidR="0017583F" w:rsidRPr="00270F9D" w:rsidRDefault="0017583F" w:rsidP="00270F9D">
      <w:pPr>
        <w:pStyle w:val="Prrafodelista"/>
        <w:jc w:val="both"/>
        <w:rPr>
          <w:rFonts w:ascii="Century Gothic" w:hAnsi="Century Gothic"/>
          <w:b/>
          <w:bCs/>
          <w:sz w:val="24"/>
          <w:lang w:val="es-BO"/>
          <w:szCs w:val="24"/>
        </w:rPr>
      </w:pPr>
    </w:p>
    <w:p w14:paraId="61489BB6" w14:textId="77777777" w:rsidR="0017583F" w:rsidRPr="00270F9D" w:rsidRDefault="0017583F" w:rsidP="00270F9D">
      <w:pPr>
        <w:pStyle w:val="Prrafodelista"/>
        <w:numPr>
          <w:ilvl w:val="0"/>
          <w:numId w:val="10"/>
        </w:numPr>
        <w:spacing w:after="0"/>
        <w:jc w:val="both"/>
        <w:rPr>
          <w:rFonts w:ascii="Century Gothic" w:hAnsi="Century Gothic"/>
          <w:b/>
          <w:bCs/>
          <w:sz w:val="24"/>
          <w:lang w:val="es-BO"/>
          <w:szCs w:val="24"/>
        </w:rPr>
      </w:pPr>
      <w:r w:rsidRPr="00270F9D">
        <w:rPr>
          <w:rFonts w:ascii="Century Gothic" w:hAnsi="Century Gothic"/>
          <w:b/>
          <w:bCs/>
          <w:sz w:val="24"/>
          <w:lang w:val="es-BO"/>
          <w:szCs w:val="24"/>
        </w:rPr>
        <w:t xml:space="preserve">Diferimiento de créditos de vivienda social y micro/pequeña empresa, </w:t>
      </w:r>
      <w:r w:rsidRPr="00270F9D">
        <w:rPr>
          <w:rFonts w:ascii="Century Gothic" w:hAnsi="Century Gothic"/>
          <w:sz w:val="24"/>
          <w:lang w:val="es-BO"/>
          <w:szCs w:val="24"/>
        </w:rPr>
        <w:t>en el marco de la Ley Nº 1670 de 05 de noviembre 2025 y DS N.º 5516, se ha establecido las condiciones para aplicar el diferimiento automático de créditos previstos por la ley específica, en los casos y con los requisitos normativos. Busca aliviar temporalmente el flujo de caja de prestatarios comprendidos.</w:t>
      </w:r>
    </w:p>
    <w:p w14:paraId="398A6F55" w14:textId="77777777" w:rsidR="0017583F" w:rsidRPr="00270F9D" w:rsidRDefault="0017583F" w:rsidP="00270F9D">
      <w:pPr>
        <w:pStyle w:val="Prrafodelista"/>
        <w:rPr>
          <w:rFonts w:ascii="Century Gothic" w:hAnsi="Century Gothic"/>
          <w:b/>
          <w:bCs/>
          <w:sz w:val="24"/>
          <w:lang w:val="es-BO"/>
          <w:szCs w:val="24"/>
        </w:rPr>
      </w:pPr>
    </w:p>
    <w:p w14:paraId="0EDDDE08" w14:textId="77777777" w:rsidR="0017583F" w:rsidRPr="00270F9D" w:rsidRDefault="0017583F" w:rsidP="00270F9D">
      <w:pPr>
        <w:pStyle w:val="Prrafodelista"/>
        <w:numPr>
          <w:ilvl w:val="0"/>
          <w:numId w:val="10"/>
        </w:numPr>
        <w:spacing w:after="0"/>
        <w:jc w:val="both"/>
        <w:rPr>
          <w:rFonts w:ascii="Century Gothic" w:hAnsi="Century Gothic"/>
          <w:sz w:val="24"/>
          <w:lang w:val="es-BO"/>
          <w:szCs w:val="24"/>
        </w:rPr>
      </w:pPr>
      <w:r w:rsidRPr="00270F9D">
        <w:rPr>
          <w:rFonts w:ascii="Century Gothic" w:hAnsi="Century Gothic"/>
          <w:b/>
          <w:bCs/>
          <w:sz w:val="24"/>
          <w:lang w:val="es-BO"/>
          <w:szCs w:val="24"/>
        </w:rPr>
        <w:t>Programa Extraordinario de Protección y Equidad (PEPE),</w:t>
      </w:r>
      <w:r w:rsidRPr="00270F9D">
        <w:rPr>
          <w:rFonts w:ascii="Century Gothic" w:hAnsi="Century Gothic"/>
          <w:sz w:val="24"/>
          <w:lang w:val="es-BO"/>
          <w:szCs w:val="24"/>
        </w:rPr>
        <w:t xml:space="preserve"> Bono Juancito Pinto y Renta Dignidad, con D.S. Nº 5516 del 13 de enero de 2026, a fin de proteger los ingresos de las familias bolivianas, se incrementaron los montos del Bono “Juancito Pinto” y de la Renta Dignidad, y se crea el PEPE.</w:t>
      </w:r>
    </w:p>
    <w:p w14:paraId="709B9DB0" w14:textId="77777777" w:rsidR="0017583F" w:rsidRPr="00270F9D" w:rsidRDefault="0017583F" w:rsidP="00270F9D">
      <w:pPr>
        <w:pStyle w:val="Prrafodelista"/>
        <w:spacing w:after="160"/>
        <w:jc w:val="both"/>
        <w:rPr>
          <w:rFonts w:ascii="Century Gothic" w:hAnsi="Century Gothic"/>
          <w:sz w:val="24"/>
          <w:lang w:val="es-BO"/>
          <w:szCs w:val="24"/>
        </w:rPr>
      </w:pPr>
    </w:p>
    <w:p w14:paraId="1CFD5F67" w14:textId="77777777" w:rsidR="0017583F" w:rsidRPr="00270F9D" w:rsidRDefault="0017583F" w:rsidP="00270F9D">
      <w:pPr>
        <w:pStyle w:val="Prrafodelista"/>
        <w:numPr>
          <w:ilvl w:val="0"/>
          <w:numId w:val="10"/>
        </w:numPr>
        <w:spacing w:after="0"/>
        <w:jc w:val="both"/>
        <w:rPr>
          <w:rFonts w:ascii="Century Gothic" w:hAnsi="Century Gothic"/>
          <w:b/>
          <w:bCs/>
          <w:sz w:val="24"/>
          <w:lang w:val="es-BO"/>
          <w:szCs w:val="24"/>
        </w:rPr>
      </w:pPr>
      <w:r w:rsidRPr="00270F9D">
        <w:rPr>
          <w:rFonts w:ascii="Century Gothic" w:hAnsi="Century Gothic"/>
          <w:b/>
          <w:bCs/>
          <w:sz w:val="24"/>
          <w:lang w:val="es-BO"/>
          <w:szCs w:val="24"/>
        </w:rPr>
        <w:t xml:space="preserve">Aportes voluntarios solidarios para programas de salud, </w:t>
      </w:r>
      <w:r w:rsidRPr="00270F9D">
        <w:rPr>
          <w:rFonts w:ascii="Century Gothic" w:hAnsi="Century Gothic"/>
          <w:sz w:val="24"/>
          <w:lang w:val="es-BO"/>
          <w:szCs w:val="24"/>
        </w:rPr>
        <w:t xml:space="preserve">con D.S. Nº 5628 de 9 de junio de 2026, se destinó aportes voluntarios del </w:t>
      </w:r>
      <w:proofErr w:type="gramStart"/>
      <w:r w:rsidRPr="00270F9D">
        <w:rPr>
          <w:rFonts w:ascii="Century Gothic" w:hAnsi="Century Gothic"/>
          <w:sz w:val="24"/>
          <w:lang w:val="es-BO"/>
          <w:szCs w:val="24"/>
        </w:rPr>
        <w:t>Presidente</w:t>
      </w:r>
      <w:proofErr w:type="gramEnd"/>
      <w:r w:rsidRPr="00270F9D">
        <w:rPr>
          <w:rFonts w:ascii="Century Gothic" w:hAnsi="Century Gothic"/>
          <w:sz w:val="24"/>
          <w:lang w:val="es-BO"/>
          <w:szCs w:val="24"/>
        </w:rPr>
        <w:t xml:space="preserve"> y ministros a programas del Ministerio de Salud y Deportes, autorizando una libreta específica de la Cuenta Única del Tesoro denominada “Aporte Voluntario Solidario”, de carácter público y auditable.</w:t>
      </w:r>
    </w:p>
    <w:p w14:paraId="3F41ACA3" w14:textId="77777777" w:rsidR="0017583F" w:rsidRPr="00270F9D" w:rsidRDefault="0017583F" w:rsidP="00270F9D">
      <w:pPr>
        <w:pStyle w:val="Prrafodelista"/>
        <w:rPr>
          <w:rFonts w:ascii="Century Gothic" w:hAnsi="Century Gothic"/>
          <w:b/>
          <w:bCs/>
          <w:sz w:val="24"/>
          <w:lang w:val="es-BO"/>
          <w:szCs w:val="24"/>
        </w:rPr>
      </w:pPr>
    </w:p>
    <w:p w14:paraId="5588C839" w14:textId="77777777" w:rsidR="0017583F" w:rsidRPr="00270F9D" w:rsidRDefault="0017583F" w:rsidP="00270F9D">
      <w:pPr>
        <w:pStyle w:val="Prrafodelista"/>
        <w:numPr>
          <w:ilvl w:val="0"/>
          <w:numId w:val="10"/>
        </w:numPr>
        <w:spacing w:after="0"/>
        <w:jc w:val="both"/>
        <w:rPr>
          <w:rFonts w:ascii="Century Gothic" w:hAnsi="Century Gothic"/>
          <w:b/>
          <w:bCs/>
          <w:sz w:val="24"/>
          <w:lang w:val="es-BO"/>
          <w:szCs w:val="24"/>
        </w:rPr>
      </w:pPr>
      <w:r w:rsidRPr="00270F9D">
        <w:rPr>
          <w:rFonts w:ascii="Century Gothic" w:hAnsi="Century Gothic"/>
          <w:b/>
          <w:bCs/>
          <w:sz w:val="24"/>
          <w:lang w:val="es-BO"/>
          <w:szCs w:val="24"/>
        </w:rPr>
        <w:t xml:space="preserve">Apoyo temporal a hogares vulnerables (PEPE II), </w:t>
      </w:r>
      <w:r w:rsidRPr="00270F9D">
        <w:rPr>
          <w:rFonts w:ascii="Century Gothic" w:hAnsi="Century Gothic"/>
          <w:sz w:val="24"/>
          <w:lang w:val="es-BO"/>
          <w:szCs w:val="24"/>
        </w:rPr>
        <w:t>con D.S. N.º 5713, de 18 de septiembre de 2026, el Gobierno anunció la implementación del PEPE II, que contempla transferencias de Bs250 cada dos meses desde noviembre, hasta completar Bs750 por beneficiario. También anunció el incremento del Bono Juancito Pinto de Bs200 a Bs300 por estudiante, equivalente a un aumento del 50%. Ambas medidas buscan preservar la capacidad de consumo de los hogares prioritarios y apoyar la permanencia escolar durante el proceso de ajuste. Aunque estas transferencias pueden aliviar restricciones de ingreso, no sustituyen una recuperación sostenida del empleo, los salarios reales y la actividad productiva.</w:t>
      </w:r>
    </w:p>
    <w:p w14:paraId="7B7618D5" w14:textId="77777777" w:rsidR="0017583F" w:rsidRDefault="0017583F" w:rsidP="00270F9D">
      <w:pPr>
        <w:pStyle w:val="Prrafodelista"/>
        <w:spacing w:after="160"/>
        <w:jc w:val="both"/>
        <w:rPr>
          <w:rFonts w:ascii="Century Gothic" w:hAnsi="Century Gothic"/>
          <w:b/>
          <w:bCs/>
          <w:sz w:val="24"/>
          <w:lang w:val="es-BO"/>
          <w:szCs w:val="24"/>
        </w:rPr>
      </w:pPr>
    </w:p>
    <w:p w14:paraId="32ABE077" w14:textId="77777777" w:rsidR="00270F9D" w:rsidRDefault="00270F9D" w:rsidP="00270F9D">
      <w:pPr>
        <w:pStyle w:val="Prrafodelista"/>
        <w:spacing w:after="160"/>
        <w:jc w:val="both"/>
        <w:rPr>
          <w:rFonts w:ascii="Century Gothic" w:hAnsi="Century Gothic"/>
          <w:b/>
          <w:bCs/>
          <w:sz w:val="24"/>
          <w:lang w:val="es-BO"/>
          <w:szCs w:val="24"/>
        </w:rPr>
      </w:pPr>
    </w:p>
    <w:p w14:paraId="4C99A437" w14:textId="77777777" w:rsidR="00270F9D" w:rsidRDefault="00270F9D" w:rsidP="00270F9D">
      <w:pPr>
        <w:pStyle w:val="Prrafodelista"/>
        <w:spacing w:after="160"/>
        <w:jc w:val="both"/>
        <w:rPr>
          <w:rFonts w:ascii="Century Gothic" w:hAnsi="Century Gothic"/>
          <w:b/>
          <w:bCs/>
          <w:sz w:val="24"/>
          <w:lang w:val="es-BO"/>
          <w:szCs w:val="24"/>
        </w:rPr>
      </w:pPr>
    </w:p>
    <w:p w14:paraId="04179065" w14:textId="77777777" w:rsidR="00270F9D" w:rsidRPr="00270F9D" w:rsidRDefault="00270F9D" w:rsidP="00270F9D">
      <w:pPr>
        <w:pStyle w:val="Prrafodelista"/>
        <w:spacing w:after="160"/>
        <w:jc w:val="both"/>
        <w:rPr>
          <w:rFonts w:ascii="Century Gothic" w:hAnsi="Century Gothic"/>
          <w:b/>
          <w:bCs/>
          <w:sz w:val="24"/>
          <w:lang w:val="es-BO"/>
          <w:szCs w:val="24"/>
        </w:rPr>
      </w:pPr>
    </w:p>
    <w:p w14:paraId="7CA39352" w14:textId="77777777" w:rsidR="0017583F" w:rsidRPr="00270F9D" w:rsidRDefault="0017583F" w:rsidP="00270F9D">
      <w:pPr>
        <w:pStyle w:val="Prrafodelista"/>
        <w:spacing w:after="160"/>
        <w:jc w:val="both"/>
        <w:rPr>
          <w:rFonts w:ascii="Century Gothic" w:hAnsi="Century Gothic"/>
          <w:b/>
          <w:bCs/>
          <w:sz w:val="24"/>
          <w:szCs w:val="24"/>
        </w:rPr>
      </w:pPr>
      <w:r w:rsidRPr="00270F9D">
        <w:rPr>
          <w:rFonts w:ascii="Century Gothic" w:hAnsi="Century Gothic"/>
          <w:b/>
          <w:bCs/>
          <w:sz w:val="24"/>
          <w:szCs w:val="24"/>
        </w:rPr>
        <w:lastRenderedPageBreak/>
        <w:t>MEDIDAS DE GOBERNANZA</w:t>
      </w:r>
    </w:p>
    <w:p w14:paraId="2A579904" w14:textId="77777777" w:rsidR="0017583F" w:rsidRPr="00270F9D" w:rsidRDefault="0017583F" w:rsidP="00270F9D">
      <w:pPr>
        <w:pStyle w:val="Prrafodelista"/>
        <w:spacing w:after="160"/>
        <w:jc w:val="both"/>
        <w:rPr>
          <w:rFonts w:ascii="Century Gothic" w:hAnsi="Century Gothic"/>
          <w:b/>
          <w:bCs/>
          <w:sz w:val="24"/>
          <w:szCs w:val="24"/>
        </w:rPr>
      </w:pPr>
    </w:p>
    <w:p w14:paraId="7D95FB67" w14:textId="77777777" w:rsidR="0017583F" w:rsidRPr="00270F9D" w:rsidRDefault="0017583F" w:rsidP="00270F9D">
      <w:pPr>
        <w:pStyle w:val="Prrafodelista"/>
        <w:numPr>
          <w:ilvl w:val="0"/>
          <w:numId w:val="10"/>
        </w:numPr>
        <w:spacing w:after="0"/>
        <w:jc w:val="both"/>
        <w:rPr>
          <w:rFonts w:ascii="Century Gothic" w:hAnsi="Century Gothic"/>
          <w:sz w:val="24"/>
          <w:lang w:val="es-BO"/>
          <w:szCs w:val="24"/>
        </w:rPr>
      </w:pPr>
      <w:r w:rsidRPr="00270F9D">
        <w:rPr>
          <w:rFonts w:ascii="Century Gothic" w:hAnsi="Century Gothic"/>
          <w:b/>
          <w:bCs/>
          <w:sz w:val="24"/>
          <w:lang w:val="es-BO"/>
          <w:szCs w:val="24"/>
        </w:rPr>
        <w:t xml:space="preserve">Programa de desregulación y simplificación administrativa “Tranca Cero”, </w:t>
      </w:r>
      <w:r w:rsidRPr="00270F9D">
        <w:rPr>
          <w:rFonts w:ascii="Century Gothic" w:hAnsi="Century Gothic"/>
          <w:sz w:val="24"/>
          <w:lang w:val="es-BO"/>
          <w:szCs w:val="24"/>
        </w:rPr>
        <w:t>con D.S. Nº 5595 de 30 de marzo de 2026, se ordenó reducir trámites y requisitos innecesarios. Desde el 1 de junio de 2026, las entidades del Órgano Ejecutivo dejaron de exigir fotocopias de cédula de identidad y certificados de nacimiento en los procedimientos cubiertos por la medida.</w:t>
      </w:r>
      <w:bookmarkStart w:id="1" w:name="_Hlk243644963"/>
    </w:p>
    <w:p w14:paraId="7DDA8D29" w14:textId="77777777" w:rsidR="0017583F" w:rsidRPr="00270F9D" w:rsidRDefault="0017583F" w:rsidP="00270F9D">
      <w:pPr>
        <w:pStyle w:val="Prrafodelista"/>
        <w:jc w:val="both"/>
        <w:rPr>
          <w:rFonts w:ascii="Century Gothic" w:hAnsi="Century Gothic"/>
          <w:sz w:val="24"/>
          <w:lang w:val="es-BO"/>
          <w:szCs w:val="24"/>
        </w:rPr>
      </w:pPr>
    </w:p>
    <w:p w14:paraId="2326DA02" w14:textId="78903B57" w:rsidR="0017583F" w:rsidRPr="00270F9D" w:rsidRDefault="0017583F" w:rsidP="00270F9D">
      <w:pPr>
        <w:pStyle w:val="Prrafodelista"/>
        <w:numPr>
          <w:ilvl w:val="0"/>
          <w:numId w:val="10"/>
        </w:numPr>
        <w:spacing w:after="0"/>
        <w:jc w:val="both"/>
        <w:rPr>
          <w:rFonts w:ascii="Century Gothic" w:hAnsi="Century Gothic"/>
          <w:sz w:val="24"/>
          <w:lang w:val="es-BO"/>
          <w:szCs w:val="24"/>
        </w:rPr>
      </w:pPr>
      <w:r w:rsidRPr="00270F9D">
        <w:rPr>
          <w:rFonts w:ascii="Century Gothic" w:hAnsi="Century Gothic"/>
          <w:b/>
          <w:bCs/>
          <w:sz w:val="24"/>
          <w:lang w:val="es-BO"/>
          <w:szCs w:val="24"/>
        </w:rPr>
        <w:t>Reducción del Estado</w:t>
      </w:r>
      <w:r w:rsidRPr="00270F9D">
        <w:rPr>
          <w:rFonts w:ascii="Century Gothic" w:hAnsi="Century Gothic"/>
          <w:sz w:val="24"/>
          <w:lang w:val="es-BO"/>
          <w:szCs w:val="24"/>
        </w:rPr>
        <w:t xml:space="preserve">, mediante D.S. </w:t>
      </w:r>
      <w:proofErr w:type="spellStart"/>
      <w:r w:rsidRPr="00270F9D">
        <w:rPr>
          <w:rFonts w:ascii="Century Gothic" w:hAnsi="Century Gothic"/>
          <w:sz w:val="24"/>
          <w:lang w:val="es-BO"/>
          <w:szCs w:val="24"/>
        </w:rPr>
        <w:t>N°</w:t>
      </w:r>
      <w:proofErr w:type="spellEnd"/>
      <w:r w:rsidRPr="00270F9D">
        <w:rPr>
          <w:rFonts w:ascii="Century Gothic" w:hAnsi="Century Gothic"/>
          <w:sz w:val="24"/>
          <w:lang w:val="es-BO"/>
          <w:szCs w:val="24"/>
        </w:rPr>
        <w:t xml:space="preserve"> 5675 de 13 de agosto de 2026, a objeto de fomentar la austeridad, la disciplina fiscal, el gasto público racional y la reducción burocrática se redujo y se fusionó el número de ministerios.</w:t>
      </w:r>
      <w:bookmarkEnd w:id="5"/>
    </w:p>
    <w:p w14:paraId="79BEDAA3" w14:textId="77777777" w:rsidR="00270F9D" w:rsidRDefault="00270F9D" w:rsidP="00270F9D">
      <w:pPr>
        <w:pStyle w:val="Prrafodelista"/>
        <w:spacing w:after="160"/>
        <w:jc w:val="both"/>
        <w:rPr>
          <w:rFonts w:ascii="Century Gothic" w:hAnsi="Century Gothic"/>
          <w:b/>
          <w:bCs/>
          <w:sz w:val="24"/>
          <w:szCs w:val="24"/>
        </w:rPr>
      </w:pPr>
    </w:p>
    <w:p w14:paraId="2486411D" w14:textId="504171FD" w:rsidR="0017583F" w:rsidRPr="00270F9D" w:rsidRDefault="0017583F" w:rsidP="00270F9D">
      <w:pPr>
        <w:pStyle w:val="Prrafodelista"/>
        <w:spacing w:after="160"/>
        <w:jc w:val="both"/>
        <w:rPr>
          <w:rFonts w:ascii="Century Gothic" w:hAnsi="Century Gothic"/>
          <w:b/>
          <w:bCs/>
          <w:sz w:val="24"/>
          <w:szCs w:val="24"/>
        </w:rPr>
      </w:pPr>
      <w:r w:rsidRPr="00270F9D">
        <w:rPr>
          <w:rFonts w:ascii="Century Gothic" w:hAnsi="Century Gothic"/>
          <w:b/>
          <w:bCs/>
          <w:sz w:val="24"/>
          <w:szCs w:val="24"/>
        </w:rPr>
        <w:t>MEDIDAS LABORALES</w:t>
      </w:r>
    </w:p>
    <w:p w14:paraId="4D7CCCD3" w14:textId="77777777" w:rsidR="0017583F" w:rsidRPr="00270F9D" w:rsidRDefault="0017583F" w:rsidP="00270F9D">
      <w:pPr>
        <w:pStyle w:val="Prrafodelista"/>
        <w:spacing w:after="160"/>
        <w:jc w:val="both"/>
        <w:rPr>
          <w:rFonts w:ascii="Century Gothic" w:hAnsi="Century Gothic"/>
          <w:b/>
          <w:bCs/>
          <w:sz w:val="24"/>
          <w:szCs w:val="24"/>
        </w:rPr>
      </w:pPr>
    </w:p>
    <w:p w14:paraId="47CAABF2" w14:textId="77777777" w:rsidR="0017583F" w:rsidRPr="00270F9D" w:rsidRDefault="0017583F" w:rsidP="00270F9D">
      <w:pPr>
        <w:pStyle w:val="Prrafodelista"/>
        <w:numPr>
          <w:ilvl w:val="0"/>
          <w:numId w:val="10"/>
        </w:numPr>
        <w:spacing w:after="160"/>
        <w:jc w:val="both"/>
        <w:rPr>
          <w:rFonts w:ascii="Century Gothic" w:hAnsi="Century Gothic"/>
          <w:b/>
          <w:bCs/>
          <w:sz w:val="24"/>
          <w:lang w:val="es-BO"/>
          <w:szCs w:val="24"/>
        </w:rPr>
      </w:pPr>
      <w:r w:rsidRPr="00270F9D">
        <w:rPr>
          <w:rFonts w:ascii="Century Gothic" w:hAnsi="Century Gothic"/>
          <w:b/>
          <w:bCs/>
          <w:sz w:val="24"/>
          <w:lang w:val="es-BO"/>
          <w:szCs w:val="24"/>
        </w:rPr>
        <w:t>Incremento del Salario Mínimo Nacional,</w:t>
      </w:r>
      <w:r w:rsidRPr="00270F9D">
        <w:rPr>
          <w:rFonts w:ascii="Century Gothic" w:hAnsi="Century Gothic"/>
          <w:sz w:val="24"/>
          <w:lang w:val="es-BO"/>
          <w:szCs w:val="24"/>
        </w:rPr>
        <w:t xml:space="preserve"> con D.S. Nº 5516 se redefine el paquete de medidas económicas y sociales tras acuerdos con la Central Obrera Boliviana (COB) y sectores sociales. Se fija en Bs3.300 el SMN, lo que representa un incremento del 20% con carácter retroactivo al 1 de enero de 2026, y se prohíben nuevas contrataciones de personal, salvo excepciones por crecimiento vegetativo en salud, educación, Fuerzas Armadas y Policía Boliviana. </w:t>
      </w:r>
    </w:p>
    <w:p w14:paraId="45332EF7" w14:textId="77777777" w:rsidR="0017583F" w:rsidRPr="00270F9D" w:rsidRDefault="0017583F" w:rsidP="00270F9D">
      <w:pPr>
        <w:pStyle w:val="Prrafodelista"/>
        <w:spacing w:after="160"/>
        <w:jc w:val="both"/>
        <w:rPr>
          <w:rFonts w:ascii="Century Gothic" w:hAnsi="Century Gothic"/>
          <w:b/>
          <w:bCs/>
          <w:sz w:val="24"/>
          <w:lang w:val="es-BO"/>
          <w:szCs w:val="24"/>
        </w:rPr>
      </w:pPr>
    </w:p>
    <w:p w14:paraId="579DA194" w14:textId="77777777" w:rsidR="0017583F" w:rsidRPr="00270F9D" w:rsidRDefault="0017583F" w:rsidP="00270F9D">
      <w:pPr>
        <w:pStyle w:val="Prrafodelista"/>
        <w:spacing w:after="160"/>
        <w:jc w:val="both"/>
        <w:rPr>
          <w:rFonts w:ascii="Century Gothic" w:hAnsi="Century Gothic"/>
          <w:b/>
          <w:bCs/>
          <w:sz w:val="24"/>
          <w:szCs w:val="24"/>
        </w:rPr>
      </w:pPr>
      <w:r w:rsidRPr="00270F9D">
        <w:rPr>
          <w:rFonts w:ascii="Century Gothic" w:hAnsi="Century Gothic"/>
          <w:b/>
          <w:bCs/>
          <w:sz w:val="24"/>
          <w:szCs w:val="24"/>
        </w:rPr>
        <w:t>MEDIDAS AMBIENTALES</w:t>
      </w:r>
    </w:p>
    <w:p w14:paraId="554CA187" w14:textId="77777777" w:rsidR="0017583F" w:rsidRPr="00270F9D" w:rsidRDefault="0017583F" w:rsidP="00270F9D">
      <w:pPr>
        <w:pStyle w:val="Prrafodelista"/>
        <w:jc w:val="both"/>
        <w:rPr>
          <w:rFonts w:ascii="Century Gothic" w:hAnsi="Century Gothic"/>
          <w:b/>
          <w:bCs/>
          <w:sz w:val="24"/>
          <w:szCs w:val="24"/>
        </w:rPr>
      </w:pPr>
    </w:p>
    <w:p w14:paraId="77DD8E0F" w14:textId="77777777" w:rsidR="0017583F" w:rsidRPr="00270F9D" w:rsidRDefault="0017583F" w:rsidP="00270F9D">
      <w:pPr>
        <w:pStyle w:val="Prrafodelista"/>
        <w:numPr>
          <w:ilvl w:val="0"/>
          <w:numId w:val="10"/>
        </w:numPr>
        <w:spacing w:after="0"/>
        <w:jc w:val="both"/>
        <w:rPr>
          <w:rFonts w:ascii="Century Gothic" w:hAnsi="Century Gothic"/>
          <w:b/>
          <w:bCs/>
          <w:sz w:val="24"/>
          <w:lang w:val="es-BO"/>
          <w:szCs w:val="24"/>
        </w:rPr>
      </w:pPr>
      <w:r w:rsidRPr="00270F9D">
        <w:rPr>
          <w:rFonts w:ascii="Century Gothic" w:hAnsi="Century Gothic"/>
          <w:b/>
          <w:bCs/>
          <w:sz w:val="24"/>
          <w:lang w:val="es-BO"/>
          <w:szCs w:val="24"/>
        </w:rPr>
        <w:t>Producción de biogás y bioetanol a partir de residuos</w:t>
      </w:r>
      <w:r w:rsidRPr="00270F9D">
        <w:rPr>
          <w:rFonts w:ascii="Century Gothic" w:hAnsi="Century Gothic"/>
          <w:sz w:val="24"/>
          <w:lang w:val="es-BO"/>
          <w:szCs w:val="24"/>
        </w:rPr>
        <w:t xml:space="preserve">, con D.S. </w:t>
      </w:r>
      <w:proofErr w:type="spellStart"/>
      <w:r w:rsidRPr="00270F9D">
        <w:rPr>
          <w:rFonts w:ascii="Century Gothic" w:hAnsi="Century Gothic"/>
          <w:sz w:val="24"/>
          <w:lang w:val="es-BO"/>
          <w:szCs w:val="24"/>
        </w:rPr>
        <w:t>N°</w:t>
      </w:r>
      <w:proofErr w:type="spellEnd"/>
      <w:r w:rsidRPr="00270F9D">
        <w:rPr>
          <w:rFonts w:ascii="Century Gothic" w:hAnsi="Century Gothic"/>
          <w:sz w:val="24"/>
          <w:lang w:val="es-BO"/>
          <w:szCs w:val="24"/>
        </w:rPr>
        <w:t xml:space="preserve"> 5735 de 5 de octubre de 2026, establece el marco normativo para la autoproducción de biogás y biometano destinados exclusivamente al autoconsumo a partir de residuos orgánicos, restos de alimentos, aguas residuales y gases recuperados de rellenos sanitarios. La medida fomenta valorización de residuos y diversificación energética.</w:t>
      </w:r>
    </w:p>
    <w:p w14:paraId="099FC35F" w14:textId="77777777" w:rsidR="0017583F" w:rsidRPr="00270F9D" w:rsidRDefault="0017583F" w:rsidP="00270F9D">
      <w:pPr>
        <w:pStyle w:val="Prrafodelista"/>
        <w:jc w:val="both"/>
        <w:rPr>
          <w:rFonts w:ascii="Century Gothic" w:hAnsi="Century Gothic"/>
          <w:b/>
          <w:bCs/>
          <w:sz w:val="24"/>
          <w:szCs w:val="24"/>
        </w:rPr>
      </w:pPr>
    </w:p>
    <w:p w14:paraId="5116D8F8" w14:textId="77777777" w:rsidR="0017583F" w:rsidRPr="00270F9D" w:rsidRDefault="0017583F" w:rsidP="00270F9D">
      <w:pPr>
        <w:pStyle w:val="Prrafodelista"/>
        <w:rPr>
          <w:rFonts w:ascii="Century Gothic" w:hAnsi="Century Gothic"/>
          <w:b/>
          <w:bCs/>
          <w:sz w:val="24"/>
          <w:szCs w:val="24"/>
        </w:rPr>
      </w:pPr>
      <w:r w:rsidRPr="00270F9D">
        <w:rPr>
          <w:rFonts w:ascii="Century Gothic" w:hAnsi="Century Gothic"/>
          <w:b/>
          <w:bCs/>
          <w:sz w:val="24"/>
          <w:szCs w:val="24"/>
        </w:rPr>
        <w:t>MEDIDAS DE RELACIONES EXTERIORES</w:t>
      </w:r>
    </w:p>
    <w:p w14:paraId="748E8A8A" w14:textId="77777777" w:rsidR="0017583F" w:rsidRPr="00270F9D" w:rsidRDefault="0017583F" w:rsidP="00270F9D">
      <w:pPr>
        <w:pStyle w:val="Prrafodelista"/>
        <w:rPr>
          <w:rFonts w:ascii="Century Gothic" w:hAnsi="Century Gothic"/>
          <w:b/>
          <w:bCs/>
          <w:sz w:val="24"/>
          <w:szCs w:val="24"/>
        </w:rPr>
      </w:pPr>
    </w:p>
    <w:p w14:paraId="1B65D848" w14:textId="77777777" w:rsidR="0017583F" w:rsidRPr="00270F9D" w:rsidRDefault="0017583F" w:rsidP="00270F9D">
      <w:pPr>
        <w:pStyle w:val="Prrafodelista"/>
        <w:numPr>
          <w:ilvl w:val="0"/>
          <w:numId w:val="10"/>
        </w:numPr>
        <w:spacing w:after="0"/>
        <w:jc w:val="both"/>
        <w:rPr>
          <w:rFonts w:ascii="Century Gothic" w:hAnsi="Century Gothic"/>
          <w:b/>
          <w:bCs/>
          <w:sz w:val="24"/>
          <w:lang w:val="es-BO"/>
          <w:szCs w:val="24"/>
        </w:rPr>
      </w:pPr>
      <w:r w:rsidRPr="00270F9D">
        <w:rPr>
          <w:rFonts w:ascii="Century Gothic" w:hAnsi="Century Gothic"/>
          <w:b/>
          <w:bCs/>
          <w:sz w:val="24"/>
          <w:lang w:val="es-BO"/>
          <w:szCs w:val="24"/>
        </w:rPr>
        <w:t>Intercambios internacionales de electricidad</w:t>
      </w:r>
      <w:r w:rsidRPr="00270F9D">
        <w:rPr>
          <w:rFonts w:ascii="Century Gothic" w:hAnsi="Century Gothic"/>
          <w:sz w:val="24"/>
          <w:lang w:val="es-BO"/>
          <w:szCs w:val="24"/>
        </w:rPr>
        <w:t xml:space="preserve">, mediante D.S. </w:t>
      </w:r>
      <w:proofErr w:type="spellStart"/>
      <w:r w:rsidRPr="00270F9D">
        <w:rPr>
          <w:rFonts w:ascii="Century Gothic" w:hAnsi="Century Gothic"/>
          <w:sz w:val="24"/>
          <w:lang w:val="es-BO"/>
          <w:szCs w:val="24"/>
        </w:rPr>
        <w:t>N°</w:t>
      </w:r>
      <w:proofErr w:type="spellEnd"/>
      <w:r w:rsidRPr="00270F9D">
        <w:rPr>
          <w:rFonts w:ascii="Century Gothic" w:hAnsi="Century Gothic"/>
          <w:sz w:val="24"/>
          <w:lang w:val="es-BO"/>
          <w:szCs w:val="24"/>
        </w:rPr>
        <w:t xml:space="preserve"> 5598 de 30 de marzo de 2026, se modificó la normativa del mercado eléctrico para permitir a agentes realizar intercambios con sistemas eléctricos de otros países, ampliando las posibilidades de operaciones transfronterizas.</w:t>
      </w:r>
    </w:p>
    <w:p w14:paraId="2D26F748" w14:textId="77777777" w:rsidR="0017583F" w:rsidRPr="00270F9D" w:rsidRDefault="0017583F" w:rsidP="00270F9D">
      <w:pPr>
        <w:jc w:val="both"/>
        <w:rPr>
          <w:rFonts w:ascii="Century Gothic" w:hAnsi="Century Gothic"/>
          <w:b/>
          <w:bCs/>
          <w:sz w:val="24"/>
          <w:lang w:val="es-BO"/>
          <w:szCs w:val="24"/>
        </w:rPr>
      </w:pPr>
    </w:p>
    <w:p w14:paraId="74AF1CA9" w14:textId="4D750301" w:rsidR="0017583F" w:rsidRPr="00270F9D" w:rsidRDefault="0017583F" w:rsidP="00270F9D">
      <w:pPr>
        <w:ind w:firstLine="708"/>
        <w:jc w:val="both"/>
        <w:rPr>
          <w:rFonts w:ascii="Century Gothic" w:hAnsi="Century Gothic"/>
          <w:sz w:val="24"/>
          <w:szCs w:val="24"/>
        </w:rPr>
      </w:pPr>
      <w:r w:rsidRPr="00270F9D">
        <w:rPr>
          <w:rFonts w:ascii="Century Gothic" w:hAnsi="Century Gothic"/>
          <w:b/>
          <w:bCs/>
          <w:sz w:val="24"/>
          <w:szCs w:val="24"/>
        </w:rPr>
        <w:lastRenderedPageBreak/>
        <w:t>OTRAS MEDIDAS</w:t>
      </w:r>
    </w:p>
    <w:p w14:paraId="7CEB7C39" w14:textId="77777777" w:rsidR="0017583F" w:rsidRPr="00270F9D" w:rsidRDefault="0017583F" w:rsidP="00270F9D">
      <w:pPr>
        <w:pStyle w:val="Prrafodelista"/>
        <w:numPr>
          <w:ilvl w:val="0"/>
          <w:numId w:val="10"/>
        </w:numPr>
        <w:spacing w:after="0"/>
        <w:jc w:val="both"/>
        <w:rPr>
          <w:rFonts w:ascii="Century Gothic" w:hAnsi="Century Gothic"/>
          <w:sz w:val="24"/>
          <w:lang w:val="es-BO"/>
          <w:szCs w:val="24"/>
        </w:rPr>
      </w:pPr>
      <w:r w:rsidRPr="00270F9D">
        <w:rPr>
          <w:rFonts w:ascii="Century Gothic" w:hAnsi="Century Gothic"/>
          <w:sz w:val="24"/>
          <w:lang w:val="es-BO"/>
          <w:szCs w:val="24"/>
        </w:rPr>
        <w:t xml:space="preserve">Programa Fiscal Financiero con una disminución del Déficit Fiscal en el Mediano Plazo, el Programa Fiscal Financiero constituye un instrumento utilizado por los gobiernos para formalizar las metas de su programa económico, principalmente en lo relativo a la coordinación de la política fiscal y la política monetaria entre el MEFP y el BCB. En este marco, se establecen metas cuantitativas para el resultado fiscal, el financiamiento interno y externo, el crédito interno neto del BCB y las reservas internacionales netas. Su formulación permite orientar las políticas fiscales y monetarias, así como establecer parámetros de seguimiento y evaluación de la gestión pública. En ese sentido, se desarrollaron proyecciones fiscales articulando los supuestos macroeconómicos con las estimaciones de ingresos y gastos, el resultado fiscal y las necesidades de financiamiento. Este trabajo permitió vincular las proyecciones con el proceso de formulación del PGE, fortaleciendo la consistencia entre la programación presupuestaria anual y la trayectoria fiscal de mediano plazo, alineando la situación fiscal a fin de proteger la sostenibilidad de la deuda, y al mismo tiempo proteger a las poblaciones vulnerables. </w:t>
      </w:r>
    </w:p>
    <w:p w14:paraId="71098839" w14:textId="77777777" w:rsidR="0017583F" w:rsidRPr="00270F9D" w:rsidRDefault="0017583F" w:rsidP="00270F9D">
      <w:pPr>
        <w:pStyle w:val="Prrafodelista"/>
        <w:jc w:val="both"/>
        <w:rPr>
          <w:rFonts w:ascii="Century Gothic" w:hAnsi="Century Gothic"/>
          <w:sz w:val="24"/>
          <w:lang w:val="es-BO"/>
          <w:szCs w:val="24"/>
        </w:rPr>
      </w:pPr>
    </w:p>
    <w:p w14:paraId="61B6DC30" w14:textId="22DDF8FC" w:rsidR="0017583F" w:rsidRPr="00270F9D" w:rsidRDefault="0017583F" w:rsidP="00270F9D">
      <w:pPr>
        <w:pStyle w:val="Prrafodelista"/>
        <w:jc w:val="both"/>
        <w:rPr>
          <w:rFonts w:ascii="Century Gothic" w:hAnsi="Century Gothic"/>
          <w:sz w:val="24"/>
          <w:lang w:val="es-BO"/>
          <w:szCs w:val="24"/>
        </w:rPr>
      </w:pPr>
      <w:r w:rsidRPr="00270F9D">
        <w:rPr>
          <w:rFonts w:ascii="Century Gothic" w:hAnsi="Century Gothic"/>
          <w:sz w:val="24"/>
          <w:lang w:val="es-BO"/>
          <w:szCs w:val="24"/>
        </w:rPr>
        <w:t>En efecto, el PGE 2027 pretende fortalecer la gestión de las Empresas Públicas. Tras su evaluación, las empresas estratégicas y las que cumplen una función social continuarán sus operaciones, con metas de desempeño y la obligación de pagar sus deudas con recursos propios, en tanto que las empresas que no son estratégicas ni cumplen una función social serán sujetas a un cierre ordenado. Así, el presupuesto de las empresas públicas se ajusta a su capacidad real: los aportes de capital del TGN bajan a Bs328,9 millones para la gestión 2027.</w:t>
      </w:r>
    </w:p>
    <w:p w14:paraId="467D3C09" w14:textId="77777777" w:rsidR="00270F9D" w:rsidRDefault="00270F9D" w:rsidP="00270F9D">
      <w:pPr>
        <w:pStyle w:val="Prrafodelista"/>
        <w:spacing w:after="0"/>
        <w:jc w:val="both"/>
        <w:rPr>
          <w:rFonts w:ascii="Century Gothic" w:hAnsi="Century Gothic"/>
          <w:sz w:val="24"/>
          <w:lang w:val="es-BO"/>
          <w:szCs w:val="24"/>
        </w:rPr>
      </w:pPr>
    </w:p>
    <w:p w14:paraId="3F2A182C" w14:textId="38A5AA26" w:rsidR="0017583F" w:rsidRPr="00270F9D" w:rsidRDefault="0017583F" w:rsidP="00270F9D">
      <w:pPr>
        <w:pStyle w:val="Prrafodelista"/>
        <w:numPr>
          <w:ilvl w:val="0"/>
          <w:numId w:val="10"/>
        </w:numPr>
        <w:spacing w:after="0"/>
        <w:jc w:val="both"/>
        <w:rPr>
          <w:rFonts w:ascii="Century Gothic" w:hAnsi="Century Gothic"/>
          <w:sz w:val="24"/>
          <w:lang w:val="es-BO"/>
          <w:szCs w:val="24"/>
        </w:rPr>
      </w:pPr>
      <w:r w:rsidRPr="00270F9D">
        <w:rPr>
          <w:rFonts w:ascii="Century Gothic" w:hAnsi="Century Gothic"/>
          <w:sz w:val="24"/>
          <w:lang w:val="es-BO"/>
          <w:szCs w:val="24"/>
        </w:rPr>
        <w:t>Agenda 50/50 Fortalecimiento de la Gestión Financiera Subnacional, al inicio de la gestión se identificaron restricciones fiscales en las Entidades Territoriales Autónomas, procedimientos presupuestarios que requerían simplificación y diferencias en sus capacidades técnicas. Asimismo, persistían desafíos de coordinación entre niveles de gobierno respecto de las competencias, las obligaciones de gasto y las fuentes de financiamiento, que demandaban evaluar alternativas para fortalecer la gestión financiera subnacional en el marco de la Agenda 50/50.</w:t>
      </w:r>
    </w:p>
    <w:p w14:paraId="4CEE17B1" w14:textId="77777777" w:rsidR="0017583F" w:rsidRPr="00270F9D" w:rsidRDefault="0017583F" w:rsidP="00270F9D">
      <w:pPr>
        <w:pStyle w:val="Prrafodelista"/>
        <w:jc w:val="both"/>
        <w:rPr>
          <w:rFonts w:ascii="Century Gothic" w:hAnsi="Century Gothic"/>
          <w:sz w:val="24"/>
          <w:lang w:val="es-BO"/>
          <w:szCs w:val="24"/>
        </w:rPr>
      </w:pPr>
    </w:p>
    <w:p w14:paraId="26911101" w14:textId="39C19115" w:rsidR="0017583F" w:rsidRPr="00270F9D" w:rsidRDefault="0017583F" w:rsidP="00270F9D">
      <w:pPr>
        <w:pStyle w:val="Prrafodelista"/>
        <w:jc w:val="both"/>
        <w:rPr>
          <w:rFonts w:ascii="Century Gothic" w:hAnsi="Century Gothic"/>
          <w:sz w:val="24"/>
          <w:lang w:val="es-BO"/>
          <w:szCs w:val="24"/>
        </w:rPr>
      </w:pPr>
      <w:r w:rsidRPr="00270F9D">
        <w:rPr>
          <w:rFonts w:ascii="Century Gothic" w:hAnsi="Century Gothic"/>
          <w:sz w:val="24"/>
          <w:lang w:val="es-BO"/>
          <w:szCs w:val="24"/>
        </w:rPr>
        <w:t xml:space="preserve">En ese sentido, se desarrollaron tres fases del Programa de Fortalecimiento de Capacidades Financieras de los Gobiernos Subnacionales, </w:t>
      </w:r>
      <w:r w:rsidRPr="00270F9D">
        <w:rPr>
          <w:rFonts w:ascii="Century Gothic" w:hAnsi="Century Gothic"/>
          <w:sz w:val="24"/>
          <w:lang w:val="es-BO"/>
          <w:szCs w:val="24"/>
        </w:rPr>
        <w:lastRenderedPageBreak/>
        <w:t>complementadas con asistencia técnica. En paralelo, se analizaron y sistematizaron propuestas de organismos internacionales, entidades del nivel central y gobiernos departamentales, considerando su viabilidad normativa e implicaciones fiscales. El MEFP a través del Viceministerio de Presupuesto y Contabilidad Fiscal también coordinó las gestiones relacionadas con la reasignación de obligaciones de financiamiento del régimen penitenciario y del bono de vacunación.</w:t>
      </w:r>
    </w:p>
    <w:p w14:paraId="3FD32923" w14:textId="77777777" w:rsidR="00270F9D" w:rsidRDefault="00270F9D" w:rsidP="00270F9D">
      <w:pPr>
        <w:pStyle w:val="Prrafodelista"/>
        <w:spacing w:after="0"/>
        <w:jc w:val="both"/>
        <w:rPr>
          <w:rFonts w:ascii="Century Gothic" w:hAnsi="Century Gothic"/>
          <w:sz w:val="24"/>
          <w:lang w:val="es-BO"/>
          <w:szCs w:val="24"/>
        </w:rPr>
      </w:pPr>
    </w:p>
    <w:p w14:paraId="264613A7" w14:textId="51E7AC8B" w:rsidR="0017583F" w:rsidRPr="00270F9D" w:rsidRDefault="0017583F" w:rsidP="00270F9D">
      <w:pPr>
        <w:pStyle w:val="Prrafodelista"/>
        <w:numPr>
          <w:ilvl w:val="0"/>
          <w:numId w:val="10"/>
        </w:numPr>
        <w:spacing w:after="0"/>
        <w:jc w:val="both"/>
        <w:rPr>
          <w:rFonts w:ascii="Century Gothic" w:hAnsi="Century Gothic"/>
          <w:sz w:val="24"/>
          <w:lang w:val="es-BO"/>
          <w:szCs w:val="24"/>
        </w:rPr>
      </w:pPr>
      <w:r w:rsidRPr="00270F9D">
        <w:rPr>
          <w:rFonts w:ascii="Century Gothic" w:hAnsi="Century Gothic"/>
          <w:sz w:val="24"/>
          <w:lang w:val="es-BO"/>
          <w:szCs w:val="24"/>
        </w:rPr>
        <w:t>Fortalecimiento de la Transparencia, con el objetivo de facilitar el acceso de la ciudadanía a la información presupuestaria y transparentar el uso de los recursos públicos, se implementó la plataforma Presupuesto Abierto, disponible en la página web del MEFP, que permite consultar el detalle del PGE, desagregado por fuente de financiamiento, categorías programáticas, partidas de gasto, rubros de ingreso y entidades del sector público.</w:t>
      </w:r>
    </w:p>
    <w:p w14:paraId="696CC1A9" w14:textId="77777777" w:rsidR="0017583F" w:rsidRPr="00270F9D" w:rsidRDefault="0017583F" w:rsidP="00270F9D">
      <w:pPr>
        <w:pStyle w:val="Prrafodelista"/>
        <w:jc w:val="both"/>
        <w:rPr>
          <w:rFonts w:ascii="Century Gothic" w:hAnsi="Century Gothic"/>
          <w:sz w:val="24"/>
          <w:lang w:val="es-BO"/>
          <w:szCs w:val="24"/>
        </w:rPr>
      </w:pPr>
    </w:p>
    <w:p w14:paraId="0C4E61FD" w14:textId="77777777" w:rsidR="0017583F" w:rsidRPr="00270F9D" w:rsidRDefault="0017583F" w:rsidP="00270F9D">
      <w:pPr>
        <w:pStyle w:val="Prrafodelista"/>
        <w:jc w:val="both"/>
        <w:rPr>
          <w:rFonts w:ascii="Century Gothic" w:hAnsi="Century Gothic"/>
          <w:sz w:val="24"/>
          <w:lang w:val="es-BO"/>
          <w:szCs w:val="24"/>
        </w:rPr>
      </w:pPr>
      <w:r w:rsidRPr="00270F9D">
        <w:rPr>
          <w:rFonts w:ascii="Century Gothic" w:hAnsi="Century Gothic"/>
          <w:sz w:val="24"/>
          <w:lang w:val="es-BO"/>
          <w:szCs w:val="24"/>
        </w:rPr>
        <w:t>La plataforma pone a disposición de la ciudadanía la base histórica de ejecución presupuestaria del Estado boliviano, que comprende 10 años de información sobre ingresos y gastos públicos, organizada de acuerdo con los clasificadores presupuestarios oficiales y desagregada por programas y proyectos de inversión pública.</w:t>
      </w:r>
    </w:p>
    <w:p w14:paraId="5993378F" w14:textId="77777777" w:rsidR="000D5962" w:rsidRDefault="00D030A2">
      <w:pPr>
        <w:pStyle w:val="Ttulo1"/>
        <w:spacing w:line="288" w:lineRule="auto"/>
        <w:rPr>
          <w:sz w:val="24"/>
          <w:szCs w:val="24"/>
        </w:rPr>
      </w:pPr>
      <w:r>
        <w:rPr>
          <w:rFonts w:ascii="Century Gothic" w:eastAsia="Century Gothic" w:hAnsi="Century Gothic" w:cs="Century Gothic"/>
          <w:sz w:val="24"/>
          <w:szCs w:val="24"/>
        </w:rPr>
        <w:t>3. PRESUPUESTO GENERAL DEL ESTADO (PGE) 2027 (MARCO)</w:t>
      </w:r>
    </w:p>
    <w:bookmarkEnd w:id="6"/>
    <w:p w14:paraId="6374C752" w14:textId="77777777" w:rsidR="007F0FD0" w:rsidRPr="007F0FD0" w:rsidRDefault="007F0FD0" w:rsidP="007F0FD0">
      <w:pPr>
        <w:spacing w:line="288" w:lineRule="auto"/>
        <w:jc w:val="both"/>
        <w:rPr>
          <w:rFonts w:ascii="Century Gothic" w:eastAsia="Century Gothic" w:hAnsi="Century Gothic" w:cs="Century Gothic"/>
          <w:sz w:val="24"/>
          <w:lang w:val="es-BO"/>
          <w:szCs w:val="24"/>
        </w:rPr>
      </w:pPr>
      <w:r w:rsidRPr="007F0FD0">
        <w:rPr>
          <w:rFonts w:ascii="Century Gothic" w:eastAsia="Century Gothic" w:hAnsi="Century Gothic" w:cs="Century Gothic"/>
          <w:sz w:val="24"/>
          <w:lang w:val="es-BO"/>
          <w:szCs w:val="24"/>
        </w:rPr>
        <w:t>El presupuesto público constituye uno de los principales instrumentos de política económica del Estado, debido a que permite planificar, asignar y ejecutar los recursos financieros destinados al cumplimiento de los objetivos de desarrollo económico y social. Su importancia trasciende la administración de los ingresos y gastos públicos dado que influye en el crecimiento económico, la generación de empleo, la distribución del ingreso, la provisión de bienes y servicios públicos y la estabilidad macroeconómica.</w:t>
      </w:r>
    </w:p>
    <w:p w14:paraId="279C56FF" w14:textId="77777777" w:rsidR="007F0FD0" w:rsidRDefault="007F0FD0" w:rsidP="007F0FD0">
      <w:pPr>
        <w:spacing w:line="288" w:lineRule="auto"/>
        <w:jc w:val="both"/>
        <w:rPr>
          <w:rFonts w:ascii="Century Gothic" w:eastAsia="Century Gothic" w:hAnsi="Century Gothic" w:cs="Century Gothic"/>
          <w:sz w:val="24"/>
          <w:lang w:val="es-BO"/>
          <w:szCs w:val="24"/>
        </w:rPr>
      </w:pPr>
      <w:r w:rsidRPr="007F0FD0">
        <w:rPr>
          <w:rFonts w:ascii="Century Gothic" w:eastAsia="Century Gothic" w:hAnsi="Century Gothic" w:cs="Century Gothic"/>
          <w:sz w:val="24"/>
          <w:lang w:val="es-BO"/>
          <w:szCs w:val="24"/>
        </w:rPr>
        <w:t>Desde la perspectiva de las finanzas públicas, el presupuesto expresa las prioridades económicas y sociales del Gobierno y establece un vínculo entre la planificación nacional, la disponibilidad de recursos y la ejecución de las políticas públicas. Por tanto, su calidad no debe evaluarse únicamente por el cumplimiento de las asignaciones financieras, sino también por los resultados obtenidos, la eficiencia del gasto y la sostenibilidad fiscal</w:t>
      </w:r>
      <w:r>
        <w:rPr>
          <w:rFonts w:ascii="Century Gothic" w:eastAsia="Century Gothic" w:hAnsi="Century Gothic" w:cs="Century Gothic"/>
          <w:sz w:val="24"/>
          <w:lang w:val="es-BO"/>
          <w:szCs w:val="24"/>
        </w:rPr>
        <w:t>.</w:t>
      </w:r>
    </w:p>
    <w:p w14:paraId="053DD702" w14:textId="77777777" w:rsidR="007F0FD0" w:rsidRDefault="00D030A2" w:rsidP="007F0FD0">
      <w:pPr>
        <w:spacing w:line="288" w:lineRule="auto"/>
        <w:jc w:val="both"/>
        <w:rPr>
          <w:rFonts w:ascii="Century Gothic" w:eastAsia="Century Gothic" w:hAnsi="Century Gothic" w:cs="Century Gothic"/>
          <w:sz w:val="24"/>
          <w:lang w:val="es-BO"/>
          <w:szCs w:val="24"/>
        </w:rPr>
      </w:pPr>
      <w:r w:rsidRPr="001A15AF">
        <w:rPr>
          <w:rFonts w:ascii="Century Gothic" w:eastAsia="Century Gothic" w:hAnsi="Century Gothic" w:cs="Century Gothic"/>
          <w:sz w:val="24"/>
          <w:lang w:val="es-BO"/>
          <w:szCs w:val="24"/>
        </w:rPr>
        <w:t>En este marco, el MEFP, como Órgano Rector del Sistema de Presupuesto, ha elaborado el PGE para la gestión 2027 considerando los siguientes aspectos:</w:t>
      </w:r>
    </w:p>
    <w:p w14:paraId="1E14661F" w14:textId="77777777" w:rsidR="000D5962" w:rsidRDefault="00D030A2">
      <w:pPr>
        <w:pStyle w:val="Ttulo2"/>
        <w:spacing w:line="288" w:lineRule="auto"/>
        <w:rPr>
          <w:sz w:val="24"/>
          <w:szCs w:val="24"/>
        </w:rPr>
      </w:pPr>
      <w:r>
        <w:rPr>
          <w:rFonts w:ascii="Century Gothic" w:eastAsia="Century Gothic" w:hAnsi="Century Gothic" w:cs="Century Gothic"/>
          <w:szCs w:val="24"/>
          <w:sz w:val="24"/>
        </w:rPr>
        <w:t>3.1. Objetivos del PGE 2027 (MARCO)</w:t>
      </w:r>
    </w:p>
    <w:bookmarkEnd w:id="7"/>
    <w:p w14:paraId="0C80917E" w14:textId="77777777" w:rsidR="00575D30" w:rsidRDefault="007F0FD0" w:rsidP="007F0FD0">
      <w:pPr>
        <w:spacing w:line="288" w:lineRule="auto"/>
        <w:jc w:val="both"/>
        <w:rPr>
          <w:rFonts w:ascii="Century Gothic" w:eastAsia="Century Gothic" w:hAnsi="Century Gothic" w:cs="Century Gothic"/>
          <w:sz w:val="24"/>
          <w:lang w:val="es-BO"/>
          <w:szCs w:val="24"/>
        </w:rPr>
      </w:pPr>
      <w:r w:rsidRPr="007F0FD0">
        <w:rPr>
          <w:rFonts w:ascii="Century Gothic" w:eastAsia="Century Gothic" w:hAnsi="Century Gothic" w:cs="Century Gothic"/>
          <w:sz w:val="24"/>
          <w:lang w:val="es-BO"/>
          <w:szCs w:val="24"/>
        </w:rPr>
        <w:t>El Presupuesto General del Estado (PGE) 2027 plantea tres objetivos estratégicos fundamentales que se articulan entre sí: consolidar la estabilidad macroeconómica y la sostenibilidad fiscal, fomentar la inversión pública y fortalecer la protección social focalizada.</w:t>
      </w:r>
      <w:r w:rsidRPr="007F0FD0">
        <w:rPr>
          <w:rFonts w:ascii="Century Gothic" w:eastAsia="Century Gothic" w:hAnsi="Century Gothic" w:cs="Century Gothic"/>
          <w:b/>
          <w:bCs/>
          <w:sz w:val="24"/>
          <w:lang w:val="es-BO"/>
          <w:szCs w:val="24"/>
        </w:rPr>
        <w:t xml:space="preserve"> </w:t>
      </w:r>
      <w:r w:rsidRPr="007F0FD0">
        <w:rPr>
          <w:rFonts w:ascii="Century Gothic" w:eastAsia="Century Gothic" w:hAnsi="Century Gothic" w:cs="Century Gothic"/>
          <w:sz w:val="24"/>
          <w:lang w:val="es-BO"/>
          <w:szCs w:val="24"/>
        </w:rPr>
        <w:t>El primer objetivo busca preservar la estabilidad económica del país y garantizar la sostenibilidad de las finanzas públicas en el mediano y largo plazo, el segundo prioriza el impulso de proyectos de inversión pública estratégicos que contribuyan al desarrollo económico y social, y el último garantizar el acceso a servicios y transferencias para los sectores más vulnerables, mediante criterios de eficiencia y focalización.</w:t>
      </w:r>
    </w:p>
    <w:p w14:paraId="12BCE5F8" w14:textId="3276A40F" w:rsidR="007F0FD0" w:rsidRDefault="007F0FD0" w:rsidP="007F0FD0">
      <w:pPr>
        <w:spacing w:line="288" w:lineRule="auto"/>
        <w:jc w:val="both"/>
        <w:rPr>
          <w:rFonts w:ascii="Century Gothic" w:eastAsia="Century Gothic" w:hAnsi="Century Gothic" w:cs="Century Gothic"/>
          <w:b/>
          <w:bCs/>
          <w:lang w:val="es-BO"/>
          <w:sz w:val="24"/>
          <w:szCs w:val="24"/>
        </w:rPr>
      </w:pPr>
      <w:r w:rsidRPr="007F0FD0">
        <w:rPr>
          <w:rFonts w:ascii="Century Gothic" w:eastAsia="Century Gothic" w:hAnsi="Century Gothic" w:cs="Century Gothic"/>
          <w:sz w:val="24"/>
          <w:szCs w:val="24"/>
          <w:lang w:val="es-BO"/>
        </w:rPr>
        <w:t xml:space="preserve">La articulación de estos tres objetivos constituye la base para alcanzar una reducción del déficit fiscal y una mayor eficiencia del gasto público. Según el esquema, estos resultados no se presentan como objetivos aislados, sino como </w:t>
      </w:r>
      <w:r w:rsidRPr="007F0FD0">
        <w:rPr>
          <w:rFonts w:ascii="Century Gothic" w:eastAsia="Century Gothic" w:hAnsi="Century Gothic" w:cs="Century Gothic"/>
          <w:lang w:val="es-BO"/>
          <w:sz w:val="24"/>
          <w:szCs w:val="24"/>
        </w:rPr>
        <w:t>consecuencias de una gestión fiscal orientada a la estabilidad macroeconómica, la promoción de la inversión pública y la protección social focalizada. En conjunto, este enfoque busca fortalecer la sostenibilidad de las finanzas públicas, mejorar la asignación de los recursos estatales y contribuir al desarrollo económico y social del país.</w:t>
      </w:r>
    </w:p>
    <w:p w14:paraId="2793BAA7" w14:textId="77777777" w:rsidR="000D5962" w:rsidRDefault="00D030A2">
      <w:pPr>
        <w:pStyle w:val="Ttulo2"/>
        <w:spacing w:line="288" w:lineRule="auto"/>
        <w:rPr>
          <w:sz w:val="24"/>
          <w:szCs w:val="24"/>
        </w:rPr>
      </w:pPr>
      <w:r>
        <w:rPr>
          <w:rFonts w:ascii="Century Gothic" w:eastAsia="Century Gothic" w:hAnsi="Century Gothic" w:cs="Century Gothic"/>
          <w:szCs w:val="24"/>
          <w:sz w:val="24"/>
        </w:rPr>
        <w:t>3.2. Variables macroeconómicas (MARCO)</w:t>
      </w:r>
    </w:p>
    <w:bookmarkEnd w:id="8"/>
    <w:p w14:paraId="696C6910" w14:textId="2286E21C" w:rsidR="000D5962" w:rsidRPr="001A15AF" w:rsidRDefault="00D030A2">
      <w:pPr>
        <w:keepNext/>
        <w:spacing w:line="288" w:lineRule="auto"/>
        <w:jc w:val="both"/>
        <w:rPr>
          <w:lang w:val="es-BO"/>
          <w:sz w:val="24"/>
          <w:szCs w:val="24"/>
        </w:rPr>
      </w:pPr>
      <w:r w:rsidRPr="001A15AF">
        <w:rPr>
          <w:rFonts w:ascii="Century Gothic" w:eastAsia="Century Gothic" w:hAnsi="Century Gothic" w:cs="Century Gothic"/>
          <w:sz w:val="24"/>
          <w:lang w:val="es-BO"/>
          <w:szCs w:val="24"/>
        </w:rPr>
        <w:t>Para la gestión 2027 se proyecta una variación del Producto Interno Bruto (PIB) real de -</w:t>
      </w:r>
      <w:r w:rsidR="0006696D">
        <w:rPr>
          <w:rFonts w:ascii="Century Gothic" w:eastAsia="Century Gothic" w:hAnsi="Century Gothic" w:cs="Century Gothic"/>
          <w:sz w:val="24"/>
          <w:lang w:val="es-BO"/>
          <w:szCs w:val="24"/>
        </w:rPr>
        <w:t>1</w:t>
      </w:r>
      <w:r w:rsidRPr="001A15AF">
        <w:rPr>
          <w:rFonts w:ascii="Century Gothic" w:eastAsia="Century Gothic" w:hAnsi="Century Gothic" w:cs="Century Gothic"/>
          <w:sz w:val="24"/>
          <w:lang w:val="es-BO"/>
          <w:szCs w:val="24"/>
        </w:rPr>
        <w:t>,</w:t>
      </w:r>
      <w:r w:rsidR="0006696D">
        <w:rPr>
          <w:rFonts w:ascii="Century Gothic" w:eastAsia="Century Gothic" w:hAnsi="Century Gothic" w:cs="Century Gothic"/>
          <w:sz w:val="24"/>
          <w:lang w:val="es-BO"/>
          <w:szCs w:val="24"/>
        </w:rPr>
        <w:t>50</w:t>
      </w:r>
      <w:r w:rsidRPr="001A15AF">
        <w:rPr>
          <w:rFonts w:ascii="Century Gothic" w:eastAsia="Century Gothic" w:hAnsi="Century Gothic" w:cs="Century Gothic"/>
          <w:sz w:val="24"/>
          <w:lang w:val="es-BO"/>
          <w:szCs w:val="24"/>
        </w:rPr>
        <w:t>%, una inflación de 10,</w:t>
      </w:r>
      <w:r w:rsidR="0006696D">
        <w:rPr>
          <w:rFonts w:ascii="Century Gothic" w:eastAsia="Century Gothic" w:hAnsi="Century Gothic" w:cs="Century Gothic"/>
          <w:sz w:val="24"/>
          <w:lang w:val="es-BO"/>
          <w:szCs w:val="24"/>
        </w:rPr>
        <w:t>7</w:t>
      </w:r>
      <w:r w:rsidRPr="001A15AF">
        <w:rPr>
          <w:rFonts w:ascii="Century Gothic" w:eastAsia="Century Gothic" w:hAnsi="Century Gothic" w:cs="Century Gothic"/>
          <w:sz w:val="24"/>
          <w:lang w:val="es-BO"/>
          <w:szCs w:val="24"/>
        </w:rPr>
        <w:t xml:space="preserve">%, un precio de referencia del petróleo de </w:t>
      </w:r>
      <w:r w:rsidR="0006696D">
        <w:rPr>
          <w:rFonts w:ascii="Century Gothic" w:eastAsia="Century Gothic" w:hAnsi="Century Gothic" w:cs="Century Gothic"/>
          <w:sz w:val="24"/>
          <w:lang w:val="es-BO"/>
          <w:szCs w:val="24"/>
        </w:rPr>
        <w:t>68,87</w:t>
      </w:r>
      <w:r w:rsidRPr="001A15AF">
        <w:rPr>
          <w:rFonts w:ascii="Century Gothic" w:eastAsia="Century Gothic" w:hAnsi="Century Gothic" w:cs="Century Gothic"/>
          <w:sz w:val="24"/>
          <w:lang w:val="es-BO"/>
          <w:szCs w:val="24"/>
        </w:rPr>
        <w:t xml:space="preserve"> dólares por barril y un tipo de cambio de Bs</w:t>
      </w:r>
      <w:r w:rsidR="0006696D">
        <w:rPr>
          <w:rFonts w:ascii="Century Gothic" w:eastAsia="Century Gothic" w:hAnsi="Century Gothic" w:cs="Century Gothic"/>
          <w:sz w:val="24"/>
          <w:lang w:val="es-BO"/>
          <w:szCs w:val="24"/>
        </w:rPr>
        <w:t>13,3</w:t>
      </w:r>
      <w:r w:rsidRPr="001A15AF">
        <w:rPr>
          <w:rFonts w:ascii="Century Gothic" w:eastAsia="Century Gothic" w:hAnsi="Century Gothic" w:cs="Century Gothic"/>
          <w:sz w:val="24"/>
          <w:lang w:val="es-BO"/>
          <w:szCs w:val="24"/>
        </w:rPr>
        <w:t xml:space="preserve"> por dólar (ver Tabla </w:t>
      </w:r>
      <w:proofErr w:type="spellStart"/>
      <w:r w:rsidRPr="001A15AF">
        <w:rPr>
          <w:rFonts w:ascii="Century Gothic" w:eastAsia="Century Gothic" w:hAnsi="Century Gothic" w:cs="Century Gothic"/>
          <w:sz w:val="24"/>
          <w:lang w:val="es-BO"/>
          <w:szCs w:val="24"/>
        </w:rPr>
        <w:t>N°</w:t>
      </w:r>
      <w:proofErr w:type="spellEnd"/>
      <w:r w:rsidRPr="001A15AF">
        <w:rPr>
          <w:rFonts w:ascii="Century Gothic" w:eastAsia="Century Gothic" w:hAnsi="Century Gothic" w:cs="Century Gothic"/>
          <w:sz w:val="24"/>
          <w:lang w:val="es-BO"/>
          <w:szCs w:val="24"/>
        </w:rPr>
        <w:t xml:space="preserve"> 1).</w:t>
      </w:r>
    </w:p>
    <w:p w14:paraId="7F078731" w14:textId="77777777" w:rsidR="000D5962" w:rsidRPr="001A15AF" w:rsidRDefault="00D030A2">
      <w:pPr>
        <w:keepNext/>
        <w:spacing w:after="0" w:line="288" w:lineRule="auto"/>
        <w:jc w:val="center"/>
        <w:rPr>
          <w:lang w:val="es-BO"/>
          <w:sz w:val="24"/>
          <w:szCs w:val="24"/>
        </w:rPr>
      </w:pPr>
      <w:r w:rsidRPr="001A15AF">
        <w:rPr>
          <w:rFonts w:ascii="Century Gothic" w:eastAsia="Century Gothic" w:hAnsi="Century Gothic" w:cs="Century Gothic"/>
          <w:b/>
          <w:sz w:val="24"/>
          <w:lang w:val="es-BO"/>
          <w:szCs w:val="24"/>
        </w:rPr>
        <w:t xml:space="preserve">Tabla </w:t>
      </w:r>
      <w:proofErr w:type="spellStart"/>
      <w:r w:rsidRPr="001A15AF">
        <w:rPr>
          <w:rFonts w:ascii="Century Gothic" w:eastAsia="Century Gothic" w:hAnsi="Century Gothic" w:cs="Century Gothic"/>
          <w:b/>
          <w:sz w:val="24"/>
          <w:lang w:val="es-BO"/>
          <w:szCs w:val="24"/>
        </w:rPr>
        <w:t>N°</w:t>
      </w:r>
      <w:proofErr w:type="spellEnd"/>
      <w:r w:rsidRPr="001A15AF">
        <w:rPr>
          <w:rFonts w:ascii="Century Gothic" w:eastAsia="Century Gothic" w:hAnsi="Century Gothic" w:cs="Century Gothic"/>
          <w:b/>
          <w:sz w:val="24"/>
          <w:lang w:val="es-BO"/>
          <w:szCs w:val="24"/>
        </w:rPr>
        <w:t xml:space="preserve"> 1: Variables macroeconómicas – Gestión 2027 (P)</w:t>
      </w:r>
    </w:p>
    <w:tbl>
      <w:tblPr>
        <w:tblStyle w:val="Tablaconcuadrcula"/>
        <w:tblW w:w="9008" w:type="dxa"/>
        <w:jc w:val="center"/>
        <w:tblLayout w:type="fixed"/>
        <w:tblLook w:val="04A0" w:firstRow="1" w:lastRow="0" w:firstColumn="1" w:lastColumn="0" w:noHBand="0" w:noVBand="1"/>
      </w:tblPr>
      <w:tblGrid>
        <w:gridCol w:w="4504"/>
        <w:gridCol w:w="2252"/>
        <w:gridCol w:w="2252"/>
      </w:tblGrid>
      <w:tr w:rsidR="000D5962" w:rsidRPr="007E6B2B" w14:paraId="3D26EB30" w14:textId="77777777">
        <w:trPr>
          <w:cantSplit/>
          <w:tblHeader/>
          <w:jc w:val="center"/>
        </w:trPr>
        <w:tc>
          <w:tcPr>
            <w:tcW w:w="4504" w:type="dxa"/>
            <w:shd w:val="clear" w:color="auto" w:fill="D9E2F3"/>
          </w:tcPr>
          <w:p w14:paraId="5EDA50B8" w14:textId="77777777" w:rsidR="000D5962" w:rsidRPr="007E6B2B" w:rsidRDefault="00D030A2">
            <w:pPr>
              <w:keepNext/>
              <w:jc w:val="center"/>
              <w:rPr>
                <w:lang w:val="es-BO"/>
              </w:rPr>
            </w:pPr>
            <w:r w:rsidRPr="007E6B2B">
              <w:rPr>
                <w:rFonts w:ascii="Century Gothic" w:eastAsia="Century Gothic" w:hAnsi="Century Gothic" w:cs="Century Gothic"/>
                <w:b/>
                <w:sz w:val="22"/>
                <w:lang w:val="es-BO"/>
              </w:rPr>
              <w:t>Detalle</w:t>
            </w:r>
          </w:p>
        </w:tc>
        <w:tc>
          <w:tcPr>
            <w:tcW w:w="2252" w:type="dxa"/>
            <w:shd w:val="clear" w:color="auto" w:fill="D9E2F3"/>
          </w:tcPr>
          <w:p w14:paraId="78578EAA" w14:textId="77777777" w:rsidR="000D5962" w:rsidRPr="007E6B2B" w:rsidRDefault="00D030A2">
            <w:pPr>
              <w:keepNext/>
              <w:jc w:val="center"/>
              <w:rPr>
                <w:lang w:val="es-BO"/>
              </w:rPr>
            </w:pPr>
            <w:r w:rsidRPr="007E6B2B">
              <w:rPr>
                <w:rFonts w:ascii="Century Gothic" w:eastAsia="Century Gothic" w:hAnsi="Century Gothic" w:cs="Century Gothic"/>
                <w:b/>
                <w:sz w:val="22"/>
                <w:lang w:val="es-BO"/>
              </w:rPr>
              <w:t>2026 (R)</w:t>
            </w:r>
          </w:p>
        </w:tc>
        <w:tc>
          <w:tcPr>
            <w:tcW w:w="2252" w:type="dxa"/>
            <w:shd w:val="clear" w:color="auto" w:fill="D9E2F3"/>
          </w:tcPr>
          <w:p w14:paraId="5208F835" w14:textId="77777777" w:rsidR="000D5962" w:rsidRPr="007E6B2B" w:rsidRDefault="00D030A2">
            <w:pPr>
              <w:keepNext/>
              <w:jc w:val="center"/>
              <w:rPr>
                <w:lang w:val="es-BO"/>
              </w:rPr>
            </w:pPr>
            <w:r w:rsidRPr="007E6B2B">
              <w:rPr>
                <w:rFonts w:ascii="Century Gothic" w:eastAsia="Century Gothic" w:hAnsi="Century Gothic" w:cs="Century Gothic"/>
                <w:b/>
                <w:sz w:val="22"/>
                <w:lang w:val="es-BO"/>
              </w:rPr>
              <w:t>2027 (P)</w:t>
            </w:r>
          </w:p>
        </w:tc>
      </w:tr>
      <w:tr w:rsidR="000D5962" w:rsidRPr="007E6B2B" w14:paraId="2D4D3925" w14:textId="77777777">
        <w:trPr>
          <w:cantSplit/>
          <w:jc w:val="center"/>
        </w:trPr>
        <w:tc>
          <w:tcPr>
            <w:tcW w:w="4504" w:type="dxa"/>
          </w:tcPr>
          <w:p w14:paraId="1919536D" w14:textId="77777777" w:rsidR="000D5962" w:rsidRPr="007E6B2B" w:rsidRDefault="00D030A2">
            <w:pPr>
              <w:keepNext/>
              <w:spacing w:after="0"/>
              <w:rPr>
                <w:lang w:val="es-BO"/>
              </w:rPr>
            </w:pPr>
            <w:r w:rsidRPr="007E6B2B">
              <w:rPr>
                <w:rFonts w:ascii="Century Gothic" w:eastAsia="Century Gothic" w:hAnsi="Century Gothic" w:cs="Century Gothic"/>
                <w:sz w:val="22"/>
                <w:lang w:val="es-BO"/>
              </w:rPr>
              <w:t>Crecimiento real del PIB (en %)</w:t>
            </w:r>
          </w:p>
        </w:tc>
        <w:tc>
          <w:tcPr>
            <w:tcW w:w="2252" w:type="dxa"/>
          </w:tcPr>
          <w:p w14:paraId="7BA23EE8" w14:textId="77777777" w:rsidR="000D5962" w:rsidRPr="007E6B2B" w:rsidRDefault="00D030A2">
            <w:pPr>
              <w:keepNext/>
              <w:spacing w:after="0"/>
              <w:jc w:val="right"/>
              <w:rPr>
                <w:lang w:val="es-BO"/>
              </w:rPr>
            </w:pPr>
            <w:r w:rsidRPr="007E6B2B">
              <w:rPr>
                <w:rFonts w:ascii="Century Gothic" w:eastAsia="Century Gothic" w:hAnsi="Century Gothic" w:cs="Century Gothic"/>
                <w:sz w:val="22"/>
                <w:lang w:val="es-BO"/>
              </w:rPr>
              <w:t>-1,28</w:t>
            </w:r>
          </w:p>
        </w:tc>
        <w:tc>
          <w:tcPr>
            <w:tcW w:w="2252" w:type="dxa"/>
          </w:tcPr>
          <w:p w14:paraId="1A5440F8" w14:textId="77777777" w:rsidR="000D5962" w:rsidRPr="007E6B2B" w:rsidRDefault="00D030A2">
            <w:pPr>
              <w:keepNext/>
              <w:spacing w:after="0"/>
              <w:jc w:val="right"/>
              <w:rPr>
                <w:lang w:val="es-BO"/>
              </w:rPr>
            </w:pPr>
            <w:r w:rsidRPr="007E6B2B">
              <w:rPr>
                <w:rFonts w:ascii="Century Gothic" w:eastAsia="Century Gothic" w:hAnsi="Century Gothic" w:cs="Century Gothic"/>
                <w:sz w:val="22"/>
                <w:lang w:val="es-BO"/>
              </w:rPr>
              <w:t>-0,95</w:t>
            </w:r>
          </w:p>
        </w:tc>
      </w:tr>
      <w:tr w:rsidR="000D5962" w:rsidRPr="007E6B2B" w14:paraId="55A4C8AF" w14:textId="77777777">
        <w:trPr>
          <w:cantSplit/>
          <w:jc w:val="center"/>
        </w:trPr>
        <w:tc>
          <w:tcPr>
            <w:tcW w:w="4504" w:type="dxa"/>
          </w:tcPr>
          <w:p w14:paraId="06960C1F" w14:textId="77777777" w:rsidR="000D5962" w:rsidRPr="007E6B2B" w:rsidRDefault="00D030A2">
            <w:pPr>
              <w:keepNext/>
              <w:spacing w:after="0"/>
              <w:rPr>
                <w:lang w:val="es-BO"/>
              </w:rPr>
            </w:pPr>
            <w:r w:rsidRPr="007E6B2B">
              <w:rPr>
                <w:rFonts w:ascii="Century Gothic" w:eastAsia="Century Gothic" w:hAnsi="Century Gothic" w:cs="Century Gothic"/>
                <w:sz w:val="22"/>
                <w:lang w:val="es-BO"/>
              </w:rPr>
              <w:t>Inflación (en %)</w:t>
            </w:r>
          </w:p>
        </w:tc>
        <w:tc>
          <w:tcPr>
            <w:tcW w:w="2252" w:type="dxa"/>
          </w:tcPr>
          <w:p w14:paraId="455BC645" w14:textId="77777777" w:rsidR="000D5962" w:rsidRPr="007E6B2B" w:rsidRDefault="00D030A2">
            <w:pPr>
              <w:keepNext/>
              <w:spacing w:after="0"/>
              <w:jc w:val="right"/>
              <w:rPr>
                <w:lang w:val="es-BO"/>
              </w:rPr>
            </w:pPr>
            <w:r w:rsidRPr="007E6B2B">
              <w:rPr>
                <w:rFonts w:ascii="Century Gothic" w:eastAsia="Century Gothic" w:hAnsi="Century Gothic" w:cs="Century Gothic"/>
                <w:sz w:val="22"/>
                <w:lang w:val="es-BO"/>
              </w:rPr>
              <w:t>14,94</w:t>
            </w:r>
          </w:p>
        </w:tc>
        <w:tc>
          <w:tcPr>
            <w:tcW w:w="2252" w:type="dxa"/>
          </w:tcPr>
          <w:p w14:paraId="6CD22A11" w14:textId="77777777" w:rsidR="000D5962" w:rsidRPr="007E6B2B" w:rsidRDefault="00D030A2">
            <w:pPr>
              <w:keepNext/>
              <w:spacing w:after="0"/>
              <w:jc w:val="right"/>
              <w:rPr>
                <w:lang w:val="es-BO"/>
              </w:rPr>
            </w:pPr>
            <w:r w:rsidRPr="007E6B2B">
              <w:rPr>
                <w:rFonts w:ascii="Century Gothic" w:eastAsia="Century Gothic" w:hAnsi="Century Gothic" w:cs="Century Gothic"/>
                <w:sz w:val="22"/>
                <w:lang w:val="es-BO"/>
              </w:rPr>
              <w:t>10,34</w:t>
            </w:r>
          </w:p>
        </w:tc>
      </w:tr>
      <w:tr w:rsidR="000D5962" w:rsidRPr="007E6B2B" w14:paraId="7B16330C" w14:textId="77777777">
        <w:trPr>
          <w:cantSplit/>
          <w:jc w:val="center"/>
        </w:trPr>
        <w:tc>
          <w:tcPr>
            <w:tcW w:w="4504" w:type="dxa"/>
          </w:tcPr>
          <w:p w14:paraId="2DB3BAD1" w14:textId="77777777" w:rsidR="000D5962" w:rsidRPr="007E6B2B" w:rsidRDefault="00D030A2">
            <w:pPr>
              <w:keepNext/>
              <w:spacing w:after="0"/>
              <w:rPr>
                <w:lang w:val="es-BO"/>
              </w:rPr>
            </w:pPr>
            <w:r w:rsidRPr="007E6B2B">
              <w:rPr>
                <w:rFonts w:ascii="Century Gothic" w:eastAsia="Century Gothic" w:hAnsi="Century Gothic" w:cs="Century Gothic"/>
                <w:sz w:val="22"/>
                <w:lang w:val="es-BO"/>
              </w:rPr>
              <w:t>Precio del petróleo WTI (USD/barril)</w:t>
            </w:r>
          </w:p>
        </w:tc>
        <w:tc>
          <w:tcPr>
            <w:tcW w:w="2252" w:type="dxa"/>
          </w:tcPr>
          <w:p w14:paraId="6312A436" w14:textId="2B9D1754" w:rsidR="000D5962" w:rsidRPr="007E6B2B" w:rsidRDefault="00D030A2">
            <w:pPr>
              <w:keepNext/>
              <w:spacing w:after="0"/>
              <w:jc w:val="right"/>
              <w:rPr>
                <w:lang w:val="es-BO"/>
              </w:rPr>
            </w:pPr>
            <w:r w:rsidRPr="007E6B2B">
              <w:rPr>
                <w:rFonts w:ascii="Century Gothic" w:eastAsia="Century Gothic" w:hAnsi="Century Gothic" w:cs="Century Gothic"/>
                <w:sz w:val="22"/>
                <w:lang w:val="es-BO"/>
              </w:rPr>
              <w:t>64,</w:t>
            </w:r>
            <w:r w:rsidR="0006696D" w:rsidRPr="007E6B2B">
              <w:rPr>
                <w:rFonts w:ascii="Century Gothic" w:eastAsia="Century Gothic" w:hAnsi="Century Gothic" w:cs="Century Gothic"/>
                <w:sz w:val="22"/>
                <w:lang w:val="es-BO"/>
              </w:rPr>
              <w:t>4</w:t>
            </w:r>
            <w:r w:rsidRPr="007E6B2B">
              <w:rPr>
                <w:rFonts w:ascii="Century Gothic" w:eastAsia="Century Gothic" w:hAnsi="Century Gothic" w:cs="Century Gothic"/>
                <w:sz w:val="22"/>
                <w:lang w:val="es-BO"/>
              </w:rPr>
              <w:t>5</w:t>
            </w:r>
          </w:p>
        </w:tc>
        <w:tc>
          <w:tcPr>
            <w:tcW w:w="2252" w:type="dxa"/>
          </w:tcPr>
          <w:p w14:paraId="5D32A5F9" w14:textId="757F6778" w:rsidR="000D5962" w:rsidRPr="007E6B2B" w:rsidRDefault="007E6B2B">
            <w:pPr>
              <w:keepNext/>
              <w:spacing w:after="0"/>
              <w:jc w:val="right"/>
              <w:rPr>
                <w:lang w:val="es-BO"/>
              </w:rPr>
            </w:pPr>
            <w:r>
              <w:rPr>
                <w:lang w:val="es-BO"/>
              </w:rPr>
              <w:t>68,87</w:t>
            </w:r>
          </w:p>
        </w:tc>
      </w:tr>
      <w:tr w:rsidR="000D5962" w:rsidRPr="007E6B2B" w14:paraId="554D459B" w14:textId="77777777">
        <w:trPr>
          <w:cantSplit/>
          <w:jc w:val="center"/>
        </w:trPr>
        <w:tc>
          <w:tcPr>
            <w:tcW w:w="4504" w:type="dxa"/>
          </w:tcPr>
          <w:p w14:paraId="1DB13B4A" w14:textId="77777777" w:rsidR="000D5962" w:rsidRPr="007E6B2B" w:rsidRDefault="00D030A2">
            <w:pPr>
              <w:keepNext/>
              <w:spacing w:after="0"/>
              <w:rPr>
                <w:lang w:val="es-BO"/>
              </w:rPr>
            </w:pPr>
            <w:r w:rsidRPr="007E6B2B">
              <w:rPr>
                <w:rFonts w:ascii="Century Gothic" w:eastAsia="Century Gothic" w:hAnsi="Century Gothic" w:cs="Century Gothic"/>
                <w:sz w:val="22"/>
                <w:lang w:val="es-BO"/>
              </w:rPr>
              <w:t>PIB nominal (en millones de Bs)</w:t>
            </w:r>
          </w:p>
        </w:tc>
        <w:tc>
          <w:tcPr>
            <w:tcW w:w="2252" w:type="dxa"/>
          </w:tcPr>
          <w:p w14:paraId="333C36F6" w14:textId="169B89AA" w:rsidR="000D5962" w:rsidRPr="007E6B2B" w:rsidRDefault="00D030A2">
            <w:pPr>
              <w:keepNext/>
              <w:spacing w:after="0"/>
              <w:jc w:val="right"/>
              <w:rPr>
                <w:lang w:val="es-BO"/>
              </w:rPr>
            </w:pPr>
            <w:r w:rsidRPr="007E6B2B">
              <w:rPr>
                <w:rFonts w:ascii="Century Gothic" w:eastAsia="Century Gothic" w:hAnsi="Century Gothic" w:cs="Century Gothic"/>
                <w:sz w:val="22"/>
                <w:lang w:val="es-BO"/>
              </w:rPr>
              <w:t>510.248</w:t>
            </w:r>
          </w:p>
        </w:tc>
        <w:tc>
          <w:tcPr>
            <w:tcW w:w="2252" w:type="dxa"/>
          </w:tcPr>
          <w:p w14:paraId="2815543C" w14:textId="4DCC4898" w:rsidR="000D5962" w:rsidRPr="007E6B2B" w:rsidRDefault="007E6B2B">
            <w:pPr>
              <w:keepNext/>
              <w:spacing w:after="0"/>
              <w:jc w:val="right"/>
              <w:rPr>
                <w:lang w:val="es-BO"/>
              </w:rPr>
            </w:pPr>
            <w:r>
              <w:rPr>
                <w:lang w:val="es-BO"/>
              </w:rPr>
              <w:t>578.299</w:t>
            </w:r>
          </w:p>
        </w:tc>
      </w:tr>
      <w:tr w:rsidR="000D5962" w:rsidRPr="007E6B2B" w14:paraId="55835D49" w14:textId="77777777">
        <w:trPr>
          <w:cantSplit/>
          <w:jc w:val="center"/>
        </w:trPr>
        <w:tc>
          <w:tcPr>
            <w:tcW w:w="4504" w:type="dxa"/>
          </w:tcPr>
          <w:p w14:paraId="107433E9" w14:textId="77777777" w:rsidR="000D5962" w:rsidRPr="007E6B2B" w:rsidRDefault="00D030A2">
            <w:pPr>
              <w:keepNext/>
              <w:spacing w:after="0"/>
              <w:rPr>
                <w:lang w:val="es-BO"/>
              </w:rPr>
            </w:pPr>
            <w:r w:rsidRPr="007E6B2B">
              <w:rPr>
                <w:rFonts w:ascii="Century Gothic" w:eastAsia="Century Gothic" w:hAnsi="Century Gothic" w:cs="Century Gothic"/>
                <w:sz w:val="22"/>
                <w:lang w:val="es-BO"/>
              </w:rPr>
              <w:t>Tipo de cambio (Bs por USD)</w:t>
            </w:r>
          </w:p>
        </w:tc>
        <w:tc>
          <w:tcPr>
            <w:tcW w:w="2252" w:type="dxa"/>
          </w:tcPr>
          <w:p w14:paraId="54F83B00" w14:textId="20709A39" w:rsidR="000D5962" w:rsidRPr="007E6B2B" w:rsidRDefault="0006696D">
            <w:pPr>
              <w:keepNext/>
              <w:spacing w:after="0"/>
              <w:jc w:val="right"/>
              <w:rPr>
                <w:lang w:val="es-BO"/>
              </w:rPr>
            </w:pPr>
            <w:r w:rsidRPr="007E6B2B">
              <w:rPr>
                <w:rFonts w:ascii="Century Gothic" w:eastAsia="Century Gothic" w:hAnsi="Century Gothic" w:cs="Century Gothic"/>
                <w:sz w:val="22"/>
                <w:lang w:val="es-BO"/>
              </w:rPr>
              <w:t>Ofic</w:t>
            </w:r>
            <w:r w:rsidR="007E6B2B">
              <w:rPr>
                <w:rFonts w:ascii="Century Gothic" w:eastAsia="Century Gothic" w:hAnsi="Century Gothic" w:cs="Century Gothic"/>
                <w:sz w:val="22"/>
                <w:lang w:val="es-BO"/>
              </w:rPr>
              <w:t>i</w:t>
            </w:r>
            <w:r w:rsidRPr="007E6B2B">
              <w:rPr>
                <w:rFonts w:ascii="Century Gothic" w:eastAsia="Century Gothic" w:hAnsi="Century Gothic" w:cs="Century Gothic"/>
                <w:sz w:val="22"/>
                <w:lang w:val="es-BO"/>
              </w:rPr>
              <w:t>al/Referencial</w:t>
            </w:r>
          </w:p>
        </w:tc>
        <w:tc>
          <w:tcPr>
            <w:tcW w:w="2252" w:type="dxa"/>
          </w:tcPr>
          <w:p w14:paraId="51FC422B" w14:textId="137544E3" w:rsidR="000D5962" w:rsidRPr="007E6B2B" w:rsidRDefault="007E6B2B">
            <w:pPr>
              <w:keepNext/>
              <w:spacing w:after="0"/>
              <w:jc w:val="right"/>
              <w:rPr>
                <w:lang w:val="es-BO"/>
              </w:rPr>
            </w:pPr>
            <w:r>
              <w:rPr>
                <w:lang w:val="es-BO"/>
              </w:rPr>
              <w:t>13,3</w:t>
            </w:r>
          </w:p>
        </w:tc>
      </w:tr>
      <w:tr w:rsidR="000D5962" w:rsidRPr="007E6B2B" w14:paraId="76FE055F" w14:textId="77777777">
        <w:trPr>
          <w:cantSplit/>
          <w:jc w:val="center"/>
        </w:trPr>
        <w:tc>
          <w:tcPr>
            <w:tcW w:w="4504" w:type="dxa"/>
          </w:tcPr>
          <w:p w14:paraId="2B9EA86A" w14:textId="77777777" w:rsidR="000D5962" w:rsidRPr="007E6B2B" w:rsidRDefault="00D030A2">
            <w:pPr>
              <w:keepNext/>
              <w:spacing w:after="0"/>
              <w:rPr>
                <w:lang w:val="es-BO"/>
              </w:rPr>
            </w:pPr>
            <w:r w:rsidRPr="007E6B2B">
              <w:rPr>
                <w:rFonts w:ascii="Century Gothic" w:eastAsia="Century Gothic" w:hAnsi="Century Gothic" w:cs="Century Gothic"/>
                <w:sz w:val="22"/>
                <w:lang w:val="es-BO"/>
              </w:rPr>
              <w:t>Resultado fiscal (en % del PIB)</w:t>
            </w:r>
          </w:p>
        </w:tc>
        <w:tc>
          <w:tcPr>
            <w:tcW w:w="2252" w:type="dxa"/>
          </w:tcPr>
          <w:p w14:paraId="00AFBDC2" w14:textId="24F30B07" w:rsidR="000D5962" w:rsidRPr="007E6B2B" w:rsidRDefault="0006696D">
            <w:pPr>
              <w:keepNext/>
              <w:spacing w:after="0"/>
              <w:jc w:val="right"/>
              <w:rPr>
                <w:lang w:val="es-BO"/>
              </w:rPr>
            </w:pPr>
            <w:r w:rsidRPr="007E6B2B">
              <w:rPr>
                <w:rFonts w:ascii="Century Gothic" w:eastAsia="Century Gothic" w:hAnsi="Century Gothic" w:cs="Century Gothic"/>
                <w:sz w:val="22"/>
                <w:lang w:val="es-BO"/>
              </w:rPr>
              <w:t>-9,2</w:t>
            </w:r>
          </w:p>
        </w:tc>
        <w:tc>
          <w:tcPr>
            <w:tcW w:w="2252" w:type="dxa"/>
          </w:tcPr>
          <w:p w14:paraId="710F6762" w14:textId="3B58AD1E" w:rsidR="000D5962" w:rsidRPr="007E6B2B" w:rsidRDefault="007E6B2B">
            <w:pPr>
              <w:keepNext/>
              <w:spacing w:after="0"/>
              <w:jc w:val="right"/>
              <w:rPr>
                <w:lang w:val="es-BO"/>
              </w:rPr>
            </w:pPr>
            <w:r>
              <w:rPr>
                <w:lang w:val="es-BO"/>
              </w:rPr>
              <w:t>-6,7</w:t>
            </w:r>
          </w:p>
        </w:tc>
      </w:tr>
    </w:tbl>
    <w:p w14:paraId="4CBE04DF" w14:textId="77777777" w:rsidR="000D5962" w:rsidRPr="007E6B2B" w:rsidRDefault="00D030A2">
      <w:pPr>
        <w:spacing w:after="0" w:line="240" w:lineRule="auto" w:before="0"/>
        <w:rPr>
          <w:lang w:val="es-BO"/>
          <w:sz w:val="16"/>
          <w:szCs w:val="16"/>
        </w:rPr>
      </w:pPr>
      <w:r w:rsidRPr="007E6B2B">
        <w:rPr>
          <w:rFonts w:ascii="Century Gothic" w:eastAsia="Century Gothic" w:hAnsi="Century Gothic" w:cs="Century Gothic"/>
          <w:b/>
          <w:sz w:val="16"/>
          <w:szCs w:val="16"/>
          <w:lang w:val="es-BO"/>
        </w:rPr>
        <w:t xml:space="preserve">Fuente: </w:t>
      </w:r>
      <w:r w:rsidRPr="007E6B2B">
        <w:rPr>
          <w:rFonts w:ascii="Century Gothic" w:eastAsia="Century Gothic" w:hAnsi="Century Gothic" w:cs="Century Gothic"/>
          <w:sz w:val="16"/>
          <w:szCs w:val="16"/>
          <w:lang w:val="es-BO"/>
        </w:rPr>
        <w:t>MEFP</w:t>
      </w:r>
    </w:p>
    <w:p w14:paraId="30CDCB0F" w14:textId="77777777" w:rsidR="000D5962" w:rsidRPr="007E6B2B" w:rsidRDefault="00D030A2">
      <w:pPr>
        <w:spacing w:after="0" w:line="240" w:lineRule="auto" w:before="0"/>
        <w:rPr>
          <w:lang w:val="es-BO"/>
          <w:sz w:val="16"/>
          <w:szCs w:val="16"/>
        </w:rPr>
      </w:pPr>
      <w:r w:rsidRPr="007E6B2B">
        <w:rPr>
          <w:rFonts w:ascii="Century Gothic" w:eastAsia="Century Gothic" w:hAnsi="Century Gothic" w:cs="Century Gothic"/>
          <w:b/>
          <w:sz w:val="16"/>
          <w:szCs w:val="16"/>
          <w:lang w:val="es-BO"/>
        </w:rPr>
        <w:t xml:space="preserve">Elaboración: </w:t>
      </w:r>
      <w:r w:rsidRPr="007E6B2B">
        <w:rPr>
          <w:rFonts w:ascii="Century Gothic" w:eastAsia="Century Gothic" w:hAnsi="Century Gothic" w:cs="Century Gothic"/>
          <w:sz w:val="16"/>
          <w:szCs w:val="16"/>
          <w:lang w:val="es-BO"/>
        </w:rPr>
        <w:t>MEFP-VPCF-DGPGP-UGPPP</w:t>
      </w:r>
    </w:p>
    <w:p w14:paraId="62502578" w14:textId="73F7A47B" w:rsidR="000D5962" w:rsidRPr="001A15AF" w:rsidRDefault="00D030A2" w:rsidP="00AE5C57">
      <w:pPr>
        <w:spacing w:after="0" w:line="240" w:lineRule="auto" w:before="0"/>
        <w:rPr>
          <w:lang w:val="es-BO"/>
          <w:sz w:val="16"/>
          <w:szCs w:val="16"/>
        </w:rPr>
      </w:pPr>
      <w:r w:rsidRPr="007E6B2B">
        <w:rPr>
          <w:rFonts w:ascii="Century Gothic" w:eastAsia="Century Gothic" w:hAnsi="Century Gothic" w:cs="Century Gothic"/>
          <w:sz w:val="16"/>
          <w:szCs w:val="16"/>
          <w:lang w:val="es-BO"/>
        </w:rPr>
        <w:t>(R): PGE 2026 reformulado. (P): Proyecto PGE 2027, preliminar</w:t>
      </w:r>
      <w:r w:rsidRPr="001A15AF">
        <w:rPr>
          <w:rFonts w:ascii="Century Gothic" w:eastAsia="Century Gothic" w:hAnsi="Century Gothic" w:cs="Century Gothic"/>
          <w:sz w:val="16"/>
          <w:szCs w:val="16"/>
          <w:lang w:val="es-BO"/>
        </w:rPr>
        <w:t>.</w:t>
      </w:r>
    </w:p>
    <w:p w14:paraId="62502578" w14:textId="77777777" w:rsidR="000D5962" w:rsidRDefault="000D5962">
      <w:pPr>
        <w:spacing w:after="40"/>
        <w:rPr>
          <w:sz w:val="24"/>
          <w:szCs w:val="24"/>
        </w:rPr>
      </w:pPr>
    </w:p>
    <w:p w14:paraId="37BA4922" w14:textId="77777777" w:rsidR="000D5962" w:rsidRDefault="00D030A2">
      <w:pPr>
        <w:pStyle w:val="Ttulo2"/>
        <w:spacing w:line="288" w:lineRule="auto"/>
        <w:rPr>
          <w:sz w:val="24"/>
          <w:szCs w:val="24"/>
        </w:rPr>
      </w:pPr>
      <w:r>
        <w:rPr>
          <w:rFonts w:ascii="Century Gothic" w:eastAsia="Century Gothic" w:hAnsi="Century Gothic" w:cs="Century Gothic"/>
          <w:szCs w:val="24"/>
          <w:sz w:val="24"/>
        </w:rPr>
        <w:lastRenderedPageBreak/>
        <w:t>3.3. Presupuesto Agregado y Consolidado (DANIELA)</w:t>
      </w:r>
    </w:p>
    <w:p w14:paraId="00945D58" w14:textId="6120479A" w:rsidR="000D5962" w:rsidRPr="007E2D1E" w:rsidRDefault="00D030A2">
      <w:pPr>
        <w:spacing w:line="288" w:lineRule="auto"/>
        <w:jc w:val="both"/>
        <w:rPr>
          <w:rFonts w:ascii="Century Gothic" w:eastAsia="Century Gothic" w:hAnsi="Century Gothic" w:cs="Century Gothic"/>
          <w:sz w:val="24"/>
          <w:szCs w:val="24"/>
        </w:rPr>
      </w:pPr>
      <w:r w:rsidRPr="006C0C66">
        <w:rPr>
          <w:rFonts w:ascii="Century Gothic" w:eastAsia="Century Gothic" w:hAnsi="Century Gothic" w:cs="Century Gothic"/>
          <w:sz w:val="24"/>
          <w:szCs w:val="24"/>
        </w:rPr>
        <w:t xml:space="preserve">El Órgano Ejecutivo, a través del MEFP, ha elaborado el proyecto de Ley del PGE para la gestión 2027, cuyo importe asciende a un total </w:t>
      </w:r>
      <w:r w:rsidRPr="006C0C66">
        <w:rPr>
          <w:rFonts w:ascii="Century Gothic" w:eastAsia="Century Gothic" w:hAnsi="Century Gothic" w:cs="Century Gothic"/>
          <w:sz w:val="24"/>
          <w:lang w:val="es-BO"/>
          <w:szCs w:val="24"/>
        </w:rPr>
        <w:t>agregado de Bs</w:t>
      </w:r>
      <w:r w:rsidR="00C27D33" w:rsidRPr="006C0C66">
        <w:rPr>
          <w:rFonts w:ascii="Century Gothic" w:eastAsia="Century Gothic" w:hAnsi="Century Gothic" w:cs="Century Gothic"/>
          <w:sz w:val="24"/>
          <w:lang w:val="es-BO"/>
          <w:szCs w:val="24"/>
        </w:rPr>
        <w:t>411.244.492.442</w:t>
      </w:r>
      <w:r w:rsidR="007E2D1E" w:rsidRPr="006C0C66">
        <w:rPr>
          <w:rFonts w:ascii="Century Gothic" w:eastAsia="Century Gothic" w:hAnsi="Century Gothic" w:cs="Century Gothic"/>
          <w:sz w:val="24"/>
          <w:lang w:val="es-BO"/>
          <w:szCs w:val="24"/>
        </w:rPr>
        <w:t>.-</w:t>
      </w:r>
      <w:r w:rsidR="00C27D33" w:rsidRPr="006C0C66">
        <w:rPr>
          <w:rFonts w:ascii="Century Gothic" w:eastAsia="Century Gothic" w:hAnsi="Century Gothic" w:cs="Century Gothic"/>
          <w:sz w:val="24"/>
          <w:lang w:val="es-BO"/>
          <w:szCs w:val="24"/>
        </w:rPr>
        <w:t xml:space="preserve"> </w:t>
      </w:r>
      <w:r w:rsidR="007E2D1E" w:rsidRPr="006C0C66">
        <w:rPr>
          <w:rFonts w:ascii="Century Gothic" w:eastAsia="Century Gothic" w:hAnsi="Century Gothic" w:cs="Century Gothic"/>
          <w:sz w:val="24"/>
          <w:lang w:val="es-BO"/>
          <w:szCs w:val="24"/>
        </w:rPr>
        <w:t>(</w:t>
      </w:r>
      <w:r w:rsidR="00C27D33" w:rsidRPr="006C0C66">
        <w:rPr>
          <w:rFonts w:ascii="Century Gothic" w:eastAsia="Century Gothic" w:hAnsi="Century Gothic" w:cs="Century Gothic"/>
          <w:sz w:val="24"/>
          <w:lang w:val="es-BO"/>
          <w:szCs w:val="24"/>
        </w:rPr>
        <w:t>Cuatrocientos Once Mil Doscientos Cuarenta y Cuatro Millones Cuatrocientos Noventa y Dos Mil Cuatrocientos Cuarenta y Dos</w:t>
      </w:r>
      <w:r w:rsidR="007E2D1E" w:rsidRPr="006C0C66">
        <w:rPr>
          <w:rFonts w:ascii="Century Gothic" w:eastAsia="Century Gothic" w:hAnsi="Century Gothic" w:cs="Century Gothic"/>
          <w:sz w:val="24"/>
          <w:lang w:val="es-BO"/>
          <w:szCs w:val="24"/>
        </w:rPr>
        <w:t xml:space="preserve"> </w:t>
      </w:r>
      <w:r w:rsidR="007E2D1E" w:rsidRPr="006C0C66">
        <w:rPr>
          <w:rFonts w:ascii="Century Gothic" w:eastAsia="Century Gothic" w:hAnsi="Century Gothic" w:cs="Century Gothic"/>
          <w:color w:val="000000"/>
          <w:sz w:val="24"/>
          <w:szCs w:val="24"/>
        </w:rPr>
        <w:t xml:space="preserve">00/100 Bolivianos) </w:t>
      </w:r>
      <w:r w:rsidRPr="006C0C66">
        <w:rPr>
          <w:rFonts w:ascii="Century Gothic" w:eastAsia="Century Gothic" w:hAnsi="Century Gothic" w:cs="Century Gothic"/>
          <w:sz w:val="24"/>
          <w:szCs w:val="24"/>
        </w:rPr>
        <w:t xml:space="preserve">y a un consolidado de </w:t>
      </w:r>
      <w:r w:rsidR="007E2D1E" w:rsidRPr="006C0C66">
        <w:rPr>
          <w:rFonts w:ascii="Century Gothic" w:eastAsia="Century Gothic" w:hAnsi="Century Gothic" w:cs="Century Gothic"/>
          <w:sz w:val="24"/>
          <w:lang w:val="es-BO"/>
          <w:szCs w:val="24"/>
        </w:rPr>
        <w:t>Bs</w:t>
      </w:r>
      <w:r w:rsidR="00C27D33" w:rsidRPr="006C0C66">
        <w:rPr>
          <w:rFonts w:ascii="Century Gothic" w:eastAsia="Century Gothic" w:hAnsi="Century Gothic" w:cs="Century Gothic"/>
          <w:sz w:val="24"/>
          <w:lang w:val="es-BO"/>
          <w:szCs w:val="24"/>
        </w:rPr>
        <w:t>335.139.831.134</w:t>
      </w:r>
      <w:r w:rsidR="007E2D1E" w:rsidRPr="006C0C66">
        <w:rPr>
          <w:rFonts w:ascii="Century Gothic" w:eastAsia="Century Gothic" w:hAnsi="Century Gothic" w:cs="Century Gothic"/>
          <w:sz w:val="24"/>
          <w:lang w:val="es-BO"/>
          <w:szCs w:val="24"/>
        </w:rPr>
        <w:t>.- (</w:t>
      </w:r>
      <w:r w:rsidR="00C27D33" w:rsidRPr="006C0C66">
        <w:rPr>
          <w:rFonts w:ascii="Century Gothic" w:eastAsia="Century Gothic" w:hAnsi="Century Gothic" w:cs="Century Gothic"/>
          <w:sz w:val="24"/>
          <w:lang w:val="es-BO"/>
          <w:szCs w:val="24"/>
        </w:rPr>
        <w:t>Trescientos Treinta y Cinco Mil Ciento Treinta y Nueve Millones Ochocientos Treinta y Un Mil Ciento Treinta y Cuatro</w:t>
      </w:r>
      <w:r w:rsidR="007E2D1E" w:rsidRPr="006C0C66">
        <w:rPr>
          <w:rFonts w:ascii="Century Gothic" w:eastAsia="Century Gothic" w:hAnsi="Century Gothic" w:cs="Century Gothic"/>
          <w:sz w:val="24"/>
          <w:lang w:val="es-BO"/>
          <w:szCs w:val="24"/>
        </w:rPr>
        <w:t xml:space="preserve"> </w:t>
      </w:r>
      <w:r w:rsidR="007E2D1E" w:rsidRPr="006C0C66">
        <w:rPr>
          <w:rFonts w:ascii="Century Gothic" w:eastAsia="Century Gothic" w:hAnsi="Century Gothic" w:cs="Century Gothic"/>
          <w:color w:val="000000"/>
          <w:sz w:val="24"/>
          <w:szCs w:val="24"/>
        </w:rPr>
        <w:t>00/100 Bolivianos)</w:t>
      </w:r>
      <w:r w:rsidRPr="006C0C66">
        <w:rPr>
          <w:rFonts w:ascii="Century Gothic" w:eastAsia="Century Gothic" w:hAnsi="Century Gothic" w:cs="Century Gothic"/>
          <w:sz w:val="24"/>
          <w:szCs w:val="24"/>
        </w:rPr>
        <w:t xml:space="preserve">, mayores en </w:t>
      </w:r>
      <w:r w:rsidR="00C27D33" w:rsidRPr="006C0C66">
        <w:rPr>
          <w:rFonts w:ascii="Century Gothic" w:eastAsia="Century Gothic" w:hAnsi="Century Gothic" w:cs="Century Gothic"/>
          <w:sz w:val="24"/>
          <w:szCs w:val="24"/>
        </w:rPr>
        <w:t>5,0</w:t>
      </w:r>
      <w:r w:rsidRPr="006C0C66">
        <w:rPr>
          <w:rFonts w:ascii="Century Gothic" w:eastAsia="Century Gothic" w:hAnsi="Century Gothic" w:cs="Century Gothic"/>
          <w:sz w:val="24"/>
          <w:szCs w:val="24"/>
        </w:rPr>
        <w:t xml:space="preserve">% y </w:t>
      </w:r>
      <w:r w:rsidR="00C27D33" w:rsidRPr="006C0C66">
        <w:rPr>
          <w:rFonts w:ascii="Century Gothic" w:eastAsia="Century Gothic" w:hAnsi="Century Gothic" w:cs="Century Gothic"/>
          <w:sz w:val="24"/>
          <w:szCs w:val="24"/>
        </w:rPr>
        <w:t>4,2</w:t>
      </w:r>
      <w:r w:rsidRPr="006C0C66">
        <w:rPr>
          <w:rFonts w:ascii="Century Gothic" w:eastAsia="Century Gothic" w:hAnsi="Century Gothic" w:cs="Century Gothic"/>
          <w:sz w:val="24"/>
          <w:szCs w:val="24"/>
        </w:rPr>
        <w:t xml:space="preserve">%, respectivamente, respecto al PGE 2026 </w:t>
      </w:r>
      <w:r w:rsidR="007E2D1E" w:rsidRPr="006C0C66">
        <w:rPr>
          <w:rFonts w:ascii="Century Gothic" w:eastAsia="Century Gothic" w:hAnsi="Century Gothic" w:cs="Century Gothic"/>
          <w:sz w:val="24"/>
          <w:szCs w:val="24"/>
        </w:rPr>
        <w:t>r</w:t>
      </w:r>
      <w:r w:rsidRPr="006C0C66">
        <w:rPr>
          <w:rFonts w:ascii="Century Gothic" w:eastAsia="Century Gothic" w:hAnsi="Century Gothic" w:cs="Century Gothic"/>
          <w:sz w:val="24"/>
          <w:szCs w:val="24"/>
        </w:rPr>
        <w:t>eformulado</w:t>
      </w:r>
      <w:r>
        <w:rPr>
          <w:rFonts w:ascii="Century Gothic" w:eastAsia="Century Gothic" w:hAnsi="Century Gothic" w:cs="Century Gothic"/>
          <w:sz w:val="24"/>
          <w:szCs w:val="24"/>
        </w:rPr>
        <w:t xml:space="preserve"> </w:t>
      </w:r>
      <w:r w:rsidRPr="006C0C66">
        <w:rPr>
          <w:rFonts w:ascii="Century Gothic" w:eastAsia="Century Gothic" w:hAnsi="Century Gothic" w:cs="Century Gothic"/>
          <w:sz w:val="24"/>
          <w:highlight w:val="yellow"/>
          <w:szCs w:val="24"/>
        </w:rPr>
        <w:t xml:space="preserve">(ver Gráfico N° 7</w:t>
      </w:r>
      <w:r w:rsidR="006C0C66" w:rsidRPr="006C0C66">
        <w:rPr>
          <w:rFonts w:ascii="Century Gothic" w:eastAsia="Century Gothic" w:hAnsi="Century Gothic" w:cs="Century Gothic"/>
          <w:sz w:val="24"/>
          <w:highlight w:val="yellow"/>
          <w:szCs w:val="24"/>
        </w:rPr>
        <w:t xml:space="preserve"/>
      </w:r>
      <w:r w:rsidRPr="006C0C66">
        <w:rPr>
          <w:rFonts w:ascii="Century Gothic" w:eastAsia="Century Gothic" w:hAnsi="Century Gothic" w:cs="Century Gothic"/>
          <w:sz w:val="24"/>
          <w:highlight w:val="yellow"/>
          <w:szCs w:val="24"/>
        </w:rPr>
        <w:t>).</w:t>
      </w:r>
    </w:p>
    <w:p w14:paraId="56CDB117" w14:textId="49EC2BFD" w:rsidR="000D5962" w:rsidRDefault="00D030A2">
      <w:pPr>
        <w:keepNext/>
        <w:spacing w:after="0" w:line="288" w:lineRule="auto"/>
        <w:jc w:val="center"/>
        <w:rPr>
          <w:sz w:val="24"/>
          <w:szCs w:val="24"/>
        </w:rPr>
      </w:pPr>
      <w:r>
        <w:rPr>
          <w:rFonts w:ascii="Century Gothic" w:eastAsia="Century Gothic" w:hAnsi="Century Gothic" w:cs="Century Gothic"/>
          <w:b/>
          <w:sz w:val="24"/>
          <w:szCs w:val="24"/>
        </w:rPr>
        <w:t xml:space="preserve">Gráfico N° 7:</w:t>
      </w:r>
      <w:r w:rsidR="006C0C66">
        <w:rPr>
          <w:rFonts w:ascii="Century Gothic" w:eastAsia="Century Gothic" w:hAnsi="Century Gothic" w:cs="Century Gothic"/>
          <w:b/>
          <w:sz w:val="24"/>
          <w:szCs w:val="24"/>
        </w:rPr>
        <w:t xml:space="preserve"/>
      </w:r>
      <w:r>
        <w:rPr>
          <w:rFonts w:ascii="Century Gothic" w:eastAsia="Century Gothic" w:hAnsi="Century Gothic" w:cs="Century Gothic"/>
          <w:b/>
          <w:sz w:val="24"/>
          <w:szCs w:val="24"/>
        </w:rPr>
        <w:t xml:space="preserve"> Presupuesto agregado y consolidado, 2025 – 2027 (P)</w:t>
      </w:r>
    </w:p>
    <w:p w14:paraId="2C0F9B12" w14:textId="77777777" w:rsidR="000D5962" w:rsidRDefault="00D030A2">
      <w:pPr>
        <w:keepNext/>
        <w:spacing w:after="40" w:line="288" w:lineRule="auto"/>
        <w:jc w:val="center"/>
        <w:rPr>
          <w:sz w:val="24"/>
          <w:szCs w:val="24"/>
        </w:rPr>
      </w:pPr>
      <w:r>
        <w:rPr>
          <w:rFonts w:ascii="Century Gothic" w:eastAsia="Century Gothic" w:hAnsi="Century Gothic" w:cs="Century Gothic"/>
          <w:i/>
          <w:sz w:val="24"/>
          <w:szCs w:val="24"/>
        </w:rPr>
        <w:t>(En millones de bolivianos y porcentaje)</w:t>
      </w:r>
    </w:p>
    <w:p w14:paraId="6DBCCD10" w14:textId="09D04128" w:rsidR="000D5962" w:rsidRDefault="00C27D33">
      <w:pPr>
        <w:keepNext/>
        <w:jc w:val="center"/>
        <w:rPr>
          <w:sz w:val="24"/>
          <w:szCs w:val="24"/>
        </w:rPr>
      </w:pPr>
      <w:r>
        <w:rPr>
          <w:noProof/>
        </w:rPr>
        <w:drawing>
          <wp:inline distT="0" distB="0" distL="0" distR="0" wp14:anchorId="1B21A5C4" wp14:editId="417D952A">
            <wp:extent cx="6059805" cy="3980815"/>
            <wp:effectExtent l="0" t="0" r="0" b="0"/>
            <wp:docPr id="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059805" cy="3980815"/>
                    </a:xfrm>
                    <a:prstGeom prst="rect">
                      <a:avLst/>
                    </a:prstGeom>
                    <a:noFill/>
                  </pic:spPr>
                </pic:pic>
              </a:graphicData>
            </a:graphic>
          </wp:inline>
        </w:drawing>
      </w:r>
    </w:p>
    <w:p w14:paraId="3F519731" w14:textId="77777777" w:rsidR="007E2D1E" w:rsidRPr="007E2D1E" w:rsidRDefault="007E2D1E" w:rsidP="007E2D1E">
      <w:pPr>
        <w:spacing w:after="0" w:line="240" w:lineRule="auto" w:before="0"/>
        <w:ind w:left="720"/>
        <w:rPr>
          <w:rFonts w:ascii="Century Gothic" w:eastAsia="Century Gothic" w:hAnsi="Century Gothic" w:cs="Century Gothic"/>
          <w:b/>
          <w:sz w:val="16"/>
          <w:szCs w:val="16"/>
        </w:rPr>
      </w:pPr>
      <w:r w:rsidRPr="007E2D1E">
        <w:rPr>
          <w:rFonts w:ascii="Century Gothic" w:eastAsia="Century Gothic" w:hAnsi="Century Gothic" w:cs="Century Gothic"/>
          <w:b/>
          <w:sz w:val="16"/>
          <w:szCs w:val="16"/>
        </w:rPr>
        <w:t>Fuente: PGE 2025, 2026, PGE 2026 reformulado y bases del Proyecto de PGE 2027</w:t>
      </w:r>
    </w:p>
    <w:p w14:paraId="3822157B" w14:textId="77777777" w:rsidR="007E2D1E" w:rsidRPr="007E2D1E" w:rsidRDefault="007E2D1E" w:rsidP="007E2D1E">
      <w:pPr>
        <w:spacing w:after="0" w:line="240" w:lineRule="auto" w:before="0"/>
        <w:ind w:left="720"/>
        <w:rPr>
          <w:rFonts w:ascii="Century Gothic" w:eastAsia="Century Gothic" w:hAnsi="Century Gothic" w:cs="Century Gothic"/>
          <w:b/>
          <w:sz w:val="16"/>
          <w:szCs w:val="16"/>
        </w:rPr>
      </w:pPr>
      <w:r w:rsidRPr="007E2D1E">
        <w:rPr>
          <w:rFonts w:ascii="Century Gothic" w:eastAsia="Century Gothic" w:hAnsi="Century Gothic" w:cs="Century Gothic"/>
          <w:b/>
          <w:sz w:val="16"/>
          <w:szCs w:val="16"/>
        </w:rPr>
        <w:t>Elaboración: MEFP-VPCF-DGPGP-UGPPP</w:t>
      </w:r>
    </w:p>
    <w:p w14:paraId="64B00A2C" w14:textId="0E9EF1FE" w:rsidR="000D5962" w:rsidRPr="007E2D1E" w:rsidRDefault="007E2D1E" w:rsidP="007E2D1E">
      <w:pPr>
        <w:spacing w:after="0" w:line="240" w:lineRule="auto" w:before="0"/>
        <w:ind w:left="720"/>
        <w:rPr>
          <w:rFonts w:ascii="Century Gothic" w:eastAsia="Century Gothic" w:hAnsi="Century Gothic" w:cs="Century Gothic"/>
          <w:b/>
          <w:sz w:val="16"/>
          <w:szCs w:val="16"/>
        </w:rPr>
      </w:pPr>
      <w:r w:rsidRPr="007E2D1E">
        <w:rPr>
          <w:rFonts w:ascii="Century Gothic" w:eastAsia="Century Gothic" w:hAnsi="Century Gothic" w:cs="Century Gothic"/>
          <w:sz w:val="16"/>
          <w:szCs w:val="16"/>
        </w:rPr>
        <w:t>(R): PGE 2026 reformulado. (P): Proyecto PGE 2027, cifras preliminares.</w:t>
      </w:r>
    </w:p>
    <w:p w14:paraId="64B00A2C" w14:textId="77777777" w:rsidR="000D5962" w:rsidRDefault="000D5962">
      <w:pPr>
        <w:spacing w:after="40"/>
        <w:rPr>
          <w:sz w:val="24"/>
          <w:szCs w:val="24"/>
        </w:rPr>
      </w:pPr>
    </w:p>
    <w:p w14:paraId="508318EB" w14:textId="77777777" w:rsidR="000D5962" w:rsidRDefault="00D030A2">
      <w:pPr>
        <w:pStyle w:val="Ttulo2"/>
        <w:spacing w:line="288" w:lineRule="auto"/>
        <w:rPr>
          <w:sz w:val="24"/>
          <w:szCs w:val="24"/>
        </w:rPr>
      </w:pPr>
      <w:r>
        <w:rPr>
          <w:rFonts w:ascii="Century Gothic" w:eastAsia="Century Gothic" w:hAnsi="Century Gothic" w:cs="Century Gothic"/>
          <w:szCs w:val="24"/>
          <w:sz w:val="24"/>
        </w:rPr>
        <w:t>3.4. Presupuesto por Nivel Institucional (DANIELA)</w:t>
      </w:r>
    </w:p>
    <w:p w14:paraId="505FCE88" w14:textId="7AFFE8CA" w:rsidR="000D5962" w:rsidRPr="006C0C66" w:rsidRDefault="00C321D9">
      <w:pPr>
        <w:spacing w:line="288" w:lineRule="auto"/>
        <w:jc w:val="both"/>
        <w:rPr>
          <w:sz w:val="24"/>
          <w:szCs w:val="24"/>
        </w:rPr>
      </w:pPr>
      <w:r w:rsidRPr="006C0C66">
        <w:rPr>
          <w:rFonts w:ascii="Century Gothic" w:eastAsia="Century Gothic" w:hAnsi="Century Gothic" w:cs="Century Gothic"/>
          <w:sz w:val="24"/>
          <w:szCs w:val="24"/>
        </w:rPr>
        <w:t xml:space="preserve">Por nivel </w:t>
      </w:r>
      <w:r w:rsidR="00D030A2" w:rsidRPr="006C0C66">
        <w:rPr>
          <w:rFonts w:ascii="Century Gothic" w:eastAsia="Century Gothic" w:hAnsi="Century Gothic" w:cs="Century Gothic"/>
          <w:sz w:val="24"/>
          <w:szCs w:val="24"/>
        </w:rPr>
        <w:t xml:space="preserve">institucional, el </w:t>
      </w:r>
      <w:r w:rsidRPr="006C0C66">
        <w:rPr>
          <w:rFonts w:ascii="Century Gothic" w:eastAsia="Century Gothic" w:hAnsi="Century Gothic" w:cs="Century Gothic"/>
          <w:sz w:val="24"/>
          <w:szCs w:val="24"/>
        </w:rPr>
        <w:t>53,2</w:t>
      </w:r>
      <w:r w:rsidR="00D030A2" w:rsidRPr="006C0C66">
        <w:rPr>
          <w:rFonts w:ascii="Century Gothic" w:eastAsia="Century Gothic" w:hAnsi="Century Gothic" w:cs="Century Gothic"/>
          <w:sz w:val="24"/>
          <w:szCs w:val="24"/>
        </w:rPr>
        <w:t>% de los recursos consolidados de</w:t>
      </w:r>
      <w:r w:rsidRPr="006C0C66">
        <w:rPr>
          <w:rFonts w:ascii="Century Gothic" w:eastAsia="Century Gothic" w:hAnsi="Century Gothic" w:cs="Century Gothic"/>
          <w:sz w:val="24"/>
          <w:szCs w:val="24"/>
        </w:rPr>
        <w:t xml:space="preserve"> Proyecto de PGE gestión</w:t>
      </w:r>
      <w:r w:rsidR="00D030A2" w:rsidRPr="006C0C66">
        <w:rPr>
          <w:rFonts w:ascii="Century Gothic" w:eastAsia="Century Gothic" w:hAnsi="Century Gothic" w:cs="Century Gothic"/>
          <w:sz w:val="24"/>
          <w:szCs w:val="24"/>
        </w:rPr>
        <w:t xml:space="preserve"> 2027 corresponde a los Órganos del Estado y el </w:t>
      </w:r>
      <w:r w:rsidR="009B1F77" w:rsidRPr="006C0C66">
        <w:rPr>
          <w:rFonts w:ascii="Century Gothic" w:eastAsia="Century Gothic" w:hAnsi="Century Gothic" w:cs="Century Gothic"/>
          <w:sz w:val="24"/>
          <w:szCs w:val="24"/>
        </w:rPr>
        <w:t>33,3</w:t>
      </w:r>
      <w:r w:rsidR="00A23508" w:rsidRPr="006C0C66">
        <w:rPr>
          <w:rFonts w:ascii="Century Gothic" w:eastAsia="Century Gothic" w:hAnsi="Century Gothic" w:cs="Century Gothic"/>
          <w:sz w:val="24"/>
          <w:szCs w:val="24"/>
        </w:rPr>
        <w:t xml:space="preserve">% </w:t>
      </w:r>
      <w:r w:rsidR="00D030A2" w:rsidRPr="006C0C66">
        <w:rPr>
          <w:rFonts w:ascii="Century Gothic" w:eastAsia="Century Gothic" w:hAnsi="Century Gothic" w:cs="Century Gothic"/>
          <w:sz w:val="24"/>
          <w:szCs w:val="24"/>
        </w:rPr>
        <w:t xml:space="preserve">a las Empresas Públicas; el resto lo captan </w:t>
      </w:r>
      <w:r w:rsidR="006253D3" w:rsidRPr="006C0C66">
        <w:rPr>
          <w:rFonts w:ascii="Century Gothic" w:eastAsia="Century Gothic" w:hAnsi="Century Gothic" w:cs="Century Gothic"/>
          <w:sz w:val="24"/>
          <w:szCs w:val="24"/>
        </w:rPr>
        <w:t xml:space="preserve">las Entidades Descentralizadas </w:t>
      </w:r>
      <w:r w:rsidR="00D030A2" w:rsidRPr="006C0C66">
        <w:rPr>
          <w:rFonts w:ascii="Century Gothic" w:eastAsia="Century Gothic" w:hAnsi="Century Gothic" w:cs="Century Gothic"/>
          <w:sz w:val="24"/>
          <w:szCs w:val="24"/>
        </w:rPr>
        <w:t>(</w:t>
      </w:r>
      <w:r w:rsidR="006253D3" w:rsidRPr="006C0C66">
        <w:rPr>
          <w:rFonts w:ascii="Century Gothic" w:eastAsia="Century Gothic" w:hAnsi="Century Gothic" w:cs="Century Gothic"/>
          <w:sz w:val="24"/>
          <w:szCs w:val="24"/>
        </w:rPr>
        <w:t>3,8</w:t>
      </w:r>
      <w:r w:rsidR="00A23508" w:rsidRPr="006C0C66">
        <w:rPr>
          <w:rFonts w:ascii="Century Gothic" w:eastAsia="Century Gothic" w:hAnsi="Century Gothic" w:cs="Century Gothic"/>
          <w:sz w:val="24"/>
          <w:szCs w:val="24"/>
        </w:rPr>
        <w:t>%</w:t>
      </w:r>
      <w:r w:rsidR="00D030A2" w:rsidRPr="006C0C66">
        <w:rPr>
          <w:rFonts w:ascii="Century Gothic" w:eastAsia="Century Gothic" w:hAnsi="Century Gothic" w:cs="Century Gothic"/>
          <w:sz w:val="24"/>
          <w:szCs w:val="24"/>
        </w:rPr>
        <w:t xml:space="preserve">), </w:t>
      </w:r>
      <w:r w:rsidR="006253D3" w:rsidRPr="006C0C66">
        <w:rPr>
          <w:rFonts w:ascii="Century Gothic" w:eastAsia="Century Gothic" w:hAnsi="Century Gothic" w:cs="Century Gothic"/>
          <w:sz w:val="24"/>
          <w:szCs w:val="24"/>
        </w:rPr>
        <w:t xml:space="preserve">las Instituciones de Seguridad Social </w:t>
      </w:r>
      <w:r w:rsidR="00D030A2" w:rsidRPr="006C0C66">
        <w:rPr>
          <w:rFonts w:ascii="Century Gothic" w:eastAsia="Century Gothic" w:hAnsi="Century Gothic" w:cs="Century Gothic"/>
          <w:sz w:val="24"/>
          <w:szCs w:val="24"/>
        </w:rPr>
        <w:t>(</w:t>
      </w:r>
      <w:r w:rsidR="006253D3" w:rsidRPr="006C0C66">
        <w:rPr>
          <w:rFonts w:ascii="Century Gothic" w:eastAsia="Century Gothic" w:hAnsi="Century Gothic" w:cs="Century Gothic"/>
          <w:sz w:val="24"/>
          <w:szCs w:val="24"/>
        </w:rPr>
        <w:t>2,9</w:t>
      </w:r>
      <w:r w:rsidR="00A23508" w:rsidRPr="006C0C66">
        <w:rPr>
          <w:rFonts w:ascii="Century Gothic" w:eastAsia="Century Gothic" w:hAnsi="Century Gothic" w:cs="Century Gothic"/>
          <w:sz w:val="24"/>
          <w:szCs w:val="24"/>
        </w:rPr>
        <w:t>%</w:t>
      </w:r>
      <w:r w:rsidR="00D030A2" w:rsidRPr="006C0C66">
        <w:rPr>
          <w:rFonts w:ascii="Century Gothic" w:eastAsia="Century Gothic" w:hAnsi="Century Gothic" w:cs="Century Gothic"/>
          <w:sz w:val="24"/>
          <w:szCs w:val="24"/>
        </w:rPr>
        <w:t>), las Instituciones Financieras (</w:t>
      </w:r>
      <w:r w:rsidR="006253D3" w:rsidRPr="006C0C66">
        <w:rPr>
          <w:rFonts w:ascii="Century Gothic" w:eastAsia="Century Gothic" w:hAnsi="Century Gothic" w:cs="Century Gothic"/>
          <w:sz w:val="24"/>
          <w:szCs w:val="24"/>
        </w:rPr>
        <w:t>1,7</w:t>
      </w:r>
      <w:r w:rsidR="00D257C1" w:rsidRPr="006C0C66">
        <w:rPr>
          <w:rFonts w:ascii="Century Gothic" w:eastAsia="Century Gothic" w:hAnsi="Century Gothic" w:cs="Century Gothic"/>
          <w:sz w:val="24"/>
          <w:szCs w:val="24"/>
        </w:rPr>
        <w:t>%</w:t>
      </w:r>
      <w:r w:rsidR="00D030A2" w:rsidRPr="006C0C66">
        <w:rPr>
          <w:rFonts w:ascii="Century Gothic" w:eastAsia="Century Gothic" w:hAnsi="Century Gothic" w:cs="Century Gothic"/>
          <w:sz w:val="24"/>
          <w:szCs w:val="24"/>
        </w:rPr>
        <w:t>) y las ETA y Universidades Públicas (</w:t>
      </w:r>
      <w:r w:rsidR="006253D3" w:rsidRPr="006C0C66">
        <w:rPr>
          <w:rFonts w:ascii="Century Gothic" w:eastAsia="Century Gothic" w:hAnsi="Century Gothic" w:cs="Century Gothic"/>
          <w:sz w:val="24"/>
          <w:szCs w:val="24"/>
        </w:rPr>
        <w:t>5,1</w:t>
      </w:r>
      <w:r w:rsidR="00D257C1" w:rsidRPr="006C0C66">
        <w:rPr>
          <w:rFonts w:ascii="Century Gothic" w:eastAsia="Century Gothic" w:hAnsi="Century Gothic" w:cs="Century Gothic"/>
          <w:sz w:val="24"/>
          <w:szCs w:val="24"/>
        </w:rPr>
        <w:t>%</w:t>
      </w:r>
      <w:r w:rsidR="00D030A2" w:rsidRPr="006C0C66">
        <w:rPr>
          <w:rFonts w:ascii="Century Gothic" w:eastAsia="Century Gothic" w:hAnsi="Century Gothic" w:cs="Century Gothic"/>
          <w:sz w:val="24"/>
          <w:szCs w:val="24"/>
        </w:rPr>
        <w:t>).</w:t>
      </w:r>
    </w:p>
    <w:p w14:paraId="0683051C" w14:textId="0B580406" w:rsidR="000D5962" w:rsidRDefault="00D030A2">
      <w:pPr>
        <w:spacing w:line="288" w:lineRule="auto"/>
        <w:jc w:val="both"/>
        <w:rPr>
          <w:rFonts w:ascii="Century Gothic" w:eastAsia="Century Gothic" w:hAnsi="Century Gothic" w:cs="Century Gothic"/>
          <w:sz w:val="24"/>
          <w:szCs w:val="24"/>
        </w:rPr>
      </w:pPr>
      <w:r w:rsidRPr="006C0C66">
        <w:rPr>
          <w:rFonts w:ascii="Century Gothic" w:eastAsia="Century Gothic" w:hAnsi="Century Gothic" w:cs="Century Gothic"/>
          <w:sz w:val="24"/>
          <w:szCs w:val="24"/>
        </w:rPr>
        <w:t xml:space="preserve">Por el lado del gasto, los Órganos del Estado concentran el </w:t>
      </w:r>
      <w:r w:rsidR="006253D3" w:rsidRPr="006C0C66">
        <w:rPr>
          <w:rFonts w:ascii="Century Gothic" w:eastAsia="Century Gothic" w:hAnsi="Century Gothic" w:cs="Century Gothic"/>
          <w:sz w:val="24"/>
          <w:szCs w:val="24"/>
        </w:rPr>
        <w:t>38,1</w:t>
      </w:r>
      <w:r w:rsidR="00D257C1" w:rsidRPr="006C0C66">
        <w:rPr>
          <w:rFonts w:ascii="Century Gothic" w:eastAsia="Century Gothic" w:hAnsi="Century Gothic" w:cs="Century Gothic"/>
          <w:sz w:val="24"/>
          <w:szCs w:val="24"/>
        </w:rPr>
        <w:t xml:space="preserve">% </w:t>
      </w:r>
      <w:r w:rsidRPr="006C0C66">
        <w:rPr>
          <w:rFonts w:ascii="Century Gothic" w:eastAsia="Century Gothic" w:hAnsi="Century Gothic" w:cs="Century Gothic"/>
          <w:sz w:val="24"/>
          <w:szCs w:val="24"/>
        </w:rPr>
        <w:t xml:space="preserve">del consolidado, las Empresas Públicas el </w:t>
      </w:r>
      <w:r w:rsidR="006253D3" w:rsidRPr="006C0C66">
        <w:rPr>
          <w:rFonts w:ascii="Century Gothic" w:eastAsia="Century Gothic" w:hAnsi="Century Gothic" w:cs="Century Gothic"/>
          <w:sz w:val="24"/>
          <w:szCs w:val="24"/>
        </w:rPr>
        <w:t>31,6</w:t>
      </w:r>
      <w:r w:rsidR="00D257C1" w:rsidRPr="006C0C66">
        <w:rPr>
          <w:rFonts w:ascii="Century Gothic" w:eastAsia="Century Gothic" w:hAnsi="Century Gothic" w:cs="Century Gothic"/>
          <w:sz w:val="24"/>
          <w:szCs w:val="24"/>
        </w:rPr>
        <w:t>%</w:t>
      </w:r>
      <w:r w:rsidR="006253D3" w:rsidRPr="006C0C66">
        <w:rPr>
          <w:rFonts w:ascii="Century Gothic" w:eastAsia="Century Gothic" w:hAnsi="Century Gothic" w:cs="Century Gothic"/>
          <w:sz w:val="24"/>
          <w:szCs w:val="24"/>
        </w:rPr>
        <w:t>, las ETA y Universidades el 12,7%</w:t>
      </w:r>
      <w:r w:rsidR="00D257C1" w:rsidRPr="006C0C66">
        <w:rPr>
          <w:rFonts w:ascii="Century Gothic" w:eastAsia="Century Gothic" w:hAnsi="Century Gothic" w:cs="Century Gothic"/>
          <w:sz w:val="24"/>
          <w:szCs w:val="24"/>
        </w:rPr>
        <w:t xml:space="preserve"> </w:t>
      </w:r>
      <w:r w:rsidRPr="006C0C66">
        <w:rPr>
          <w:rFonts w:ascii="Century Gothic" w:eastAsia="Century Gothic" w:hAnsi="Century Gothic" w:cs="Century Gothic"/>
          <w:sz w:val="24"/>
          <w:szCs w:val="24"/>
        </w:rPr>
        <w:t xml:space="preserve">y las Entidades Descentralizadas el </w:t>
      </w:r>
      <w:r w:rsidR="006253D3" w:rsidRPr="006C0C66">
        <w:rPr>
          <w:rFonts w:ascii="Century Gothic" w:eastAsia="Century Gothic" w:hAnsi="Century Gothic" w:cs="Century Gothic"/>
          <w:sz w:val="24"/>
          <w:szCs w:val="24"/>
        </w:rPr>
        <w:t>11,3</w:t>
      </w:r>
      <w:r w:rsidR="00D257C1" w:rsidRPr="006C0C66">
        <w:rPr>
          <w:rFonts w:ascii="Century Gothic" w:eastAsia="Century Gothic" w:hAnsi="Century Gothic" w:cs="Century Gothic"/>
          <w:sz w:val="24"/>
          <w:szCs w:val="24"/>
        </w:rPr>
        <w:t>%</w:t>
      </w:r>
      <w:r w:rsidR="006253D3" w:rsidRPr="006C0C66">
        <w:rPr>
          <w:rFonts w:ascii="Century Gothic" w:eastAsia="Century Gothic" w:hAnsi="Century Gothic" w:cs="Century Gothic"/>
          <w:sz w:val="24"/>
          <w:szCs w:val="24"/>
        </w:rPr>
        <w:t>; el resto es captado por las instituciones financieras (3,5%) y las instituciones de Seguridad Social (</w:t>
      </w:r>
      <w:r w:rsidR="006C0C66" w:rsidRPr="006C0C66">
        <w:rPr>
          <w:rFonts w:ascii="Century Gothic" w:eastAsia="Century Gothic" w:hAnsi="Century Gothic" w:cs="Century Gothic"/>
          <w:sz w:val="24"/>
          <w:szCs w:val="24"/>
        </w:rPr>
        <w:t>2,8%</w:t>
      </w:r>
      <w:r w:rsidR="006253D3" w:rsidRPr="006C0C66">
        <w:rPr>
          <w:rFonts w:ascii="Century Gothic" w:eastAsia="Century Gothic" w:hAnsi="Century Gothic" w:cs="Century Gothic"/>
          <w:sz w:val="24"/>
          <w:szCs w:val="24"/>
        </w:rPr>
        <w:t>)</w:t>
      </w:r>
      <w:r w:rsidR="006C0C66">
        <w:rPr>
          <w:rFonts w:ascii="Century Gothic" w:eastAsia="Century Gothic" w:hAnsi="Century Gothic" w:cs="Century Gothic"/>
          <w:sz w:val="24"/>
          <w:szCs w:val="24"/>
        </w:rPr>
        <w:t xml:space="preserve"> </w:t>
      </w:r>
      <w:r w:rsidR="006C0C66" w:rsidRPr="006C0C66">
        <w:rPr>
          <w:rFonts w:ascii="Century Gothic" w:eastAsia="Century Gothic" w:hAnsi="Century Gothic" w:cs="Century Gothic"/>
          <w:sz w:val="24"/>
          <w:highlight w:val="yellow"/>
          <w:szCs w:val="24"/>
        </w:rPr>
        <w:t>(</w:t>
      </w:r>
      <w:r w:rsidR="006C0C66">
        <w:rPr>
          <w:rFonts w:ascii="Century Gothic" w:eastAsia="Century Gothic" w:hAnsi="Century Gothic" w:cs="Century Gothic"/>
          <w:sz w:val="24"/>
          <w:highlight w:val="yellow"/>
          <w:szCs w:val="24"/>
        </w:rPr>
        <w:t xml:space="preserve">ver Tabla N° 2</w:t>
      </w:r>
      <w:r w:rsidR="006C0C66" w:rsidRPr="006C0C66">
        <w:rPr>
          <w:rFonts w:ascii="Century Gothic" w:eastAsia="Century Gothic" w:hAnsi="Century Gothic" w:cs="Century Gothic"/>
          <w:sz w:val="24"/>
          <w:highlight w:val="yellow"/>
          <w:szCs w:val="24"/>
        </w:rPr>
        <w:t xml:space="preserve">)</w:t>
      </w:r>
      <w:r w:rsidR="006C0C66">
        <w:rPr>
          <w:rFonts w:ascii="Century Gothic" w:eastAsia="Century Gothic" w:hAnsi="Century Gothic" w:cs="Century Gothic"/>
          <w:sz w:val="24"/>
          <w:szCs w:val="24"/>
        </w:rPr>
        <w:t>.</w:t>
      </w:r>
    </w:p>
    <w:p w14:paraId="0A1356CF" w14:textId="0450062B" w:rsidR="00D257C1" w:rsidRPr="00A23508" w:rsidRDefault="00D257C1" w:rsidP="00D257C1">
      <w:pPr>
        <w:spacing w:after="0" w:line="288" w:lineRule="auto"/>
        <w:jc w:val="center"/>
        <w:rPr>
          <w:rFonts w:ascii="Century Gothic" w:eastAsia="Century Gothic" w:hAnsi="Century Gothic" w:cs="Century Gothic"/>
          <w:b/>
          <w:bCs/>
          <w:sz w:val="24"/>
          <w:szCs w:val="24"/>
        </w:rPr>
      </w:pPr>
      <w:r>
        <w:rPr>
          <w:rFonts w:ascii="Century Gothic" w:eastAsia="Century Gothic" w:hAnsi="Century Gothic" w:cs="Century Gothic"/>
          <w:b/>
          <w:bCs/>
          <w:sz w:val="24"/>
          <w:szCs w:val="24"/>
        </w:rPr>
        <w:t xml:space="preserve">Tabla N° 2:</w:t>
      </w:r>
      <w:r w:rsidRPr="00A23508">
        <w:rPr>
          <w:rFonts w:ascii="Century Gothic" w:eastAsia="Century Gothic" w:hAnsi="Century Gothic" w:cs="Century Gothic"/>
          <w:b/>
          <w:bCs/>
          <w:sz w:val="24"/>
          <w:szCs w:val="24"/>
        </w:rPr>
        <w:t xml:space="preserve"> Presupuesto consolidado por Nivel Institucional – Gestión 2027 (P)</w:t>
      </w:r>
    </w:p>
    <w:p w14:paraId="22F5E884" w14:textId="7C1F9BEE" w:rsidR="00D257C1" w:rsidRDefault="00D257C1" w:rsidP="00D257C1">
      <w:pPr>
        <w:spacing w:line="288" w:lineRule="auto"/>
        <w:jc w:val="center"/>
        <w:rPr>
          <w:rFonts w:ascii="Century Gothic" w:eastAsia="Century Gothic" w:hAnsi="Century Gothic" w:cs="Century Gothic"/>
          <w:sz w:val="24"/>
          <w:szCs w:val="24"/>
        </w:rPr>
      </w:pPr>
      <w:r w:rsidRPr="00A23508">
        <w:rPr>
          <w:rFonts w:ascii="Century Gothic" w:eastAsia="Century Gothic" w:hAnsi="Century Gothic" w:cs="Century Gothic"/>
          <w:sz w:val="24"/>
          <w:szCs w:val="24"/>
        </w:rPr>
        <w:t>(En millones de bolivianos</w:t>
      </w:r>
      <w:r>
        <w:rPr>
          <w:rFonts w:ascii="Century Gothic" w:eastAsia="Century Gothic" w:hAnsi="Century Gothic" w:cs="Century Gothic"/>
          <w:sz w:val="24"/>
          <w:szCs w:val="24"/>
        </w:rPr>
        <w:t xml:space="preserve"> y porcentajes)</w:t>
      </w:r>
    </w:p>
    <w:p w14:paraId="16AD043A" w14:textId="07D29D99" w:rsidR="00D257C1" w:rsidRDefault="006253D3" w:rsidP="00D257C1">
      <w:pPr>
        <w:spacing w:line="288" w:lineRule="auto"/>
        <w:jc w:val="center"/>
        <w:rPr>
          <w:rFonts w:ascii="Century Gothic" w:eastAsia="Century Gothic" w:hAnsi="Century Gothic" w:cs="Century Gothic"/>
          <w:sz w:val="24"/>
          <w:szCs w:val="24"/>
        </w:rPr>
      </w:pPr>
      <w:r w:rsidRPr="006253D3">
        <w:drawing>
          <wp:inline distT="0" distB="0" distL="0" distR="0" wp14:anchorId="0EEF87ED" wp14:editId="697C1D90">
            <wp:extent cx="5720080" cy="2303145"/>
            <wp:effectExtent l="0" t="0" r="0" b="1905"/>
            <wp:docPr id="8"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20080" cy="2303145"/>
                    </a:xfrm>
                    <a:prstGeom prst="rect">
                      <a:avLst/>
                    </a:prstGeom>
                    <a:noFill/>
                    <a:ln>
                      <a:noFill/>
                    </a:ln>
                  </pic:spPr>
                </pic:pic>
              </a:graphicData>
            </a:graphic>
          </wp:inline>
        </w:drawing>
      </w:r>
    </w:p>
    <w:p w14:paraId="7197894B" w14:textId="77777777" w:rsidR="00D257C1" w:rsidRDefault="00D257C1" w:rsidP="00D257C1">
      <w:pPr>
        <w:spacing w:after="0" w:line="240" w:lineRule="auto" w:before="0"/>
        <w:rPr>
          <w:rFonts w:ascii="Century Gothic" w:eastAsia="Century Gothic" w:hAnsi="Century Gothic" w:cs="Century Gothic"/>
          <w:bCs/>
          <w:sz w:val="16"/>
          <w:szCs w:val="16"/>
        </w:rPr>
      </w:pPr>
      <w:r w:rsidRPr="00A23508">
        <w:rPr>
          <w:rFonts w:ascii="Century Gothic" w:eastAsia="Century Gothic" w:hAnsi="Century Gothic" w:cs="Century Gothic"/>
          <w:b/>
          <w:sz w:val="16"/>
          <w:szCs w:val="16"/>
        </w:rPr>
        <w:t>Fuente:</w:t>
      </w:r>
      <w:r>
        <w:rPr>
          <w:rFonts w:ascii="Century Gothic" w:eastAsia="Century Gothic" w:hAnsi="Century Gothic" w:cs="Century Gothic"/>
          <w:sz w:val="16"/>
          <w:szCs w:val="16"/>
        </w:rPr>
        <w:t xml:space="preserve"> </w:t>
      </w:r>
      <w:r w:rsidRPr="00A23508">
        <w:rPr>
          <w:rFonts w:ascii="Century Gothic" w:eastAsia="Century Gothic" w:hAnsi="Century Gothic" w:cs="Century Gothic"/>
          <w:sz w:val="16"/>
          <w:szCs w:val="16"/>
        </w:rPr>
        <w:t>Bases del Proyecto de PGE 2027</w:t>
      </w:r>
    </w:p>
    <w:p w14:paraId="5D7AF8A2" w14:textId="77777777" w:rsidR="00D257C1" w:rsidRDefault="00D257C1" w:rsidP="00D257C1">
      <w:pPr>
        <w:spacing w:after="0" w:line="240" w:lineRule="auto" w:before="0"/>
        <w:rPr>
          <w:rFonts w:ascii="Century Gothic" w:eastAsia="Century Gothic" w:hAnsi="Century Gothic" w:cs="Century Gothic"/>
          <w:bCs/>
          <w:sz w:val="16"/>
          <w:szCs w:val="16"/>
        </w:rPr>
      </w:pPr>
      <w:r w:rsidRPr="007E2D1E">
        <w:rPr>
          <w:rFonts w:ascii="Century Gothic" w:eastAsia="Century Gothic" w:hAnsi="Century Gothic" w:cs="Century Gothic"/>
          <w:b/>
          <w:sz w:val="16"/>
          <w:szCs w:val="16"/>
        </w:rPr>
        <w:t>Elaboración: MEFP-VPCF-DGPGP-UGPPP</w:t>
      </w:r>
    </w:p>
    <w:p w14:paraId="51A13864" w14:textId="58B970AC" w:rsidR="00D257C1" w:rsidRDefault="00D257C1" w:rsidP="006C0C66">
      <w:pPr>
        <w:spacing w:after="0" w:line="240" w:lineRule="auto" w:before="0"/>
        <w:rPr>
          <w:rFonts w:ascii="Century Gothic" w:eastAsia="Century Gothic" w:hAnsi="Century Gothic" w:cs="Century Gothic"/>
          <w:b/>
          <w:sz w:val="16"/>
          <w:szCs w:val="16"/>
        </w:rPr>
      </w:pPr>
      <w:r w:rsidRPr="007E2D1E">
        <w:rPr>
          <w:rFonts w:ascii="Century Gothic" w:eastAsia="Century Gothic" w:hAnsi="Century Gothic" w:cs="Century Gothic"/>
          <w:sz w:val="16"/>
          <w:szCs w:val="16"/>
        </w:rPr>
        <w:t>(P): Proyecto PGE 2027, cifras preliminares.</w:t>
      </w:r>
    </w:p>
    <w:p w14:paraId="5E3657A9" w14:textId="77777777" w:rsidR="006C0C66" w:rsidRDefault="006C0C66" w:rsidP="006C0C66">
      <w:pPr>
        <w:spacing w:after="0" w:line="240" w:lineRule="auto" w:before="0"/>
        <w:rPr>
          <w:sz w:val="16"/>
          <w:szCs w:val="16"/>
        </w:rPr>
      </w:pPr>
      <w:r w:rsidRPr="006C0C66">
        <w:rPr>
          <w:rFonts w:ascii="Century Gothic" w:eastAsia="Century Gothic" w:hAnsi="Century Gothic" w:cs="Century Gothic"/>
          <w:sz w:val="16"/>
          <w:szCs w:val="16"/>
        </w:rPr>
        <w:t>(*):</w:t>
      </w:r>
      <w:r>
        <w:rPr>
          <w:rFonts w:ascii="Century Gothic" w:eastAsia="Century Gothic" w:hAnsi="Century Gothic" w:cs="Century Gothic"/>
          <w:sz w:val="16"/>
          <w:szCs w:val="16"/>
        </w:rPr>
        <w:t xml:space="preserve"> Incluye Instituciones de Control y Defensa del Estado.</w:t>
      </w:r>
    </w:p>
    <w:p w14:paraId="6926ABF0" w14:textId="77777777" w:rsidR="006C0C66" w:rsidRDefault="006C0C66" w:rsidP="00D257C1">
      <w:pPr>
        <w:spacing w:line="288" w:lineRule="auto"/>
        <w:rPr>
          <w:rFonts w:ascii="Century Gothic" w:eastAsia="Century Gothic" w:hAnsi="Century Gothic" w:cs="Century Gothic"/>
          <w:b/>
          <w:sz w:val="24"/>
          <w:szCs w:val="24"/>
        </w:rPr>
      </w:pPr>
    </w:p>
    <w:p w14:paraId="03890446" w14:textId="4B52ADEE" w:rsidR="00753AC5" w:rsidRPr="006C0C66" w:rsidRDefault="00753AC5" w:rsidP="006C0C66">
      <w:pPr>
        <w:spacing w:after="0" w:line="288" w:lineRule="auto"/>
        <w:jc w:val="both"/>
        <w:rPr>
          <w:rFonts w:ascii="Century Gothic" w:eastAsia="Century Gothic" w:hAnsi="Century Gothic" w:cs="Century Gothic"/>
          <w:sz w:val="24"/>
          <w:szCs w:val="24"/>
        </w:rPr>
      </w:pPr>
      <w:r w:rsidRPr="00753AC5">
        <w:rPr>
          <w:rFonts w:ascii="Century Gothic" w:eastAsia="Century Gothic" w:hAnsi="Century Gothic" w:cs="Century Gothic"/>
          <w:sz w:val="24"/>
          <w:szCs w:val="24"/>
        </w:rPr>
        <w:t>En el Proyecto de PG</w:t>
      </w:r>
      <w:r>
        <w:rPr>
          <w:rFonts w:ascii="Century Gothic" w:eastAsia="Century Gothic" w:hAnsi="Century Gothic" w:cs="Century Gothic"/>
          <w:sz w:val="24"/>
          <w:szCs w:val="24"/>
        </w:rPr>
        <w:t>E</w:t>
      </w:r>
      <w:r w:rsidRPr="00753AC5">
        <w:rPr>
          <w:rFonts w:ascii="Century Gothic" w:eastAsia="Century Gothic" w:hAnsi="Century Gothic" w:cs="Century Gothic"/>
          <w:sz w:val="24"/>
          <w:szCs w:val="24"/>
        </w:rPr>
        <w:t xml:space="preserve"> 2027, los niveles institucionales correspondientes a los Órganos del Estado y las Empresas presentan recursos superiores a </w:t>
      </w:r>
      <w:r w:rsidRPr="00753AC5">
        <w:rPr>
          <w:rFonts w:ascii="Century Gothic" w:eastAsia="Century Gothic" w:hAnsi="Century Gothic" w:cs="Century Gothic"/>
          <w:sz w:val="24"/>
          <w:szCs w:val="24"/>
        </w:rPr>
        <w:t>sus gastos</w:t>
      </w:r>
      <w:r w:rsidRPr="00753AC5">
        <w:rPr>
          <w:rFonts w:ascii="Century Gothic" w:eastAsia="Century Gothic" w:hAnsi="Century Gothic" w:cs="Century Gothic"/>
          <w:sz w:val="24"/>
          <w:szCs w:val="24"/>
        </w:rPr>
        <w:t xml:space="preserve">, situación que se evidencia en el presupuesto consolidado (véase Gráfico N° 8). Por el contrario, las Entidades Descentralizadas, las Entidades Territoriales Autónomas (ETA), las Universidades Públicas y las Instituciones Financieras registran gastos superiores a sus recursos, mientras que las Instituciones de Seguridad Social presentan un equilibrio entre ambos componentes presupuestarios.</w:t>
      </w:r>
    </w:p>
    <w:p w14:paraId="26368AF6" w14:textId="5D244D1A" w:rsidR="00A23508" w:rsidRPr="00A23508" w:rsidRDefault="00A23508" w:rsidP="00A23508">
      <w:pPr>
        <w:spacing w:after="0" w:line="288" w:lineRule="auto"/>
        <w:jc w:val="center"/>
        <w:rPr>
          <w:rFonts w:ascii="Century Gothic" w:eastAsia="Century Gothic" w:hAnsi="Century Gothic" w:cs="Century Gothic"/>
          <w:b/>
          <w:bCs/>
          <w:sz w:val="24"/>
          <w:szCs w:val="24"/>
        </w:rPr>
      </w:pPr>
      <w:r>
        <w:rPr>
          <w:rFonts w:ascii="Century Gothic" w:eastAsia="Century Gothic" w:hAnsi="Century Gothic" w:cs="Century Gothic"/>
          <w:b/>
          <w:bCs/>
          <w:sz w:val="24"/>
          <w:szCs w:val="24"/>
        </w:rPr>
        <w:lastRenderedPageBreak/>
        <w:t xml:space="preserve">Gráfico N° 8:</w:t>
      </w:r>
      <w:r w:rsidRPr="00A23508">
        <w:rPr>
          <w:rFonts w:ascii="Century Gothic" w:eastAsia="Century Gothic" w:hAnsi="Century Gothic" w:cs="Century Gothic"/>
          <w:b/>
          <w:bCs/>
          <w:sz w:val="24"/>
          <w:szCs w:val="24"/>
        </w:rPr>
        <w:t xml:space="preserve"> </w:t>
      </w:r>
      <w:r w:rsidR="00D257C1" w:rsidRPr="00A23508">
        <w:rPr>
          <w:rFonts w:ascii="Century Gothic" w:eastAsia="Century Gothic" w:hAnsi="Century Gothic" w:cs="Century Gothic"/>
          <w:b/>
          <w:bCs/>
          <w:sz w:val="24"/>
          <w:szCs w:val="24"/>
        </w:rPr>
        <w:t xml:space="preserve">Presupuesto </w:t>
      </w:r>
      <w:r w:rsidR="00D257C1">
        <w:rPr>
          <w:rFonts w:ascii="Century Gothic" w:eastAsia="Century Gothic" w:hAnsi="Century Gothic" w:cs="Century Gothic"/>
          <w:b/>
          <w:bCs/>
          <w:sz w:val="24"/>
          <w:szCs w:val="24"/>
        </w:rPr>
        <w:t xml:space="preserve">de recursos y gastos </w:t>
      </w:r>
      <w:r w:rsidRPr="00A23508">
        <w:rPr>
          <w:rFonts w:ascii="Century Gothic" w:eastAsia="Century Gothic" w:hAnsi="Century Gothic" w:cs="Century Gothic"/>
          <w:b/>
          <w:bCs/>
          <w:sz w:val="24"/>
          <w:szCs w:val="24"/>
        </w:rPr>
        <w:t>consolidado por Nivel Institucional – Gestión 2027 (P)</w:t>
      </w:r>
    </w:p>
    <w:p w14:paraId="5CA30352" w14:textId="217ECECA" w:rsidR="00A23508" w:rsidRDefault="00A23508" w:rsidP="00A23508">
      <w:pPr>
        <w:spacing w:line="288" w:lineRule="auto"/>
        <w:jc w:val="center"/>
        <w:rPr>
          <w:rFonts w:ascii="Century Gothic" w:eastAsia="Century Gothic" w:hAnsi="Century Gothic" w:cs="Century Gothic"/>
          <w:sz w:val="24"/>
          <w:szCs w:val="24"/>
        </w:rPr>
      </w:pPr>
      <w:r w:rsidRPr="00A23508">
        <w:rPr>
          <w:rFonts w:ascii="Century Gothic" w:eastAsia="Century Gothic" w:hAnsi="Century Gothic" w:cs="Century Gothic"/>
          <w:sz w:val="24"/>
          <w:szCs w:val="24"/>
        </w:rPr>
        <w:t>(En millones de bolivianos</w:t>
      </w:r>
      <w:r>
        <w:rPr>
          <w:rFonts w:ascii="Century Gothic" w:eastAsia="Century Gothic" w:hAnsi="Century Gothic" w:cs="Century Gothic"/>
          <w:sz w:val="24"/>
          <w:szCs w:val="24"/>
        </w:rPr>
        <w:t>)</w:t>
      </w:r>
    </w:p>
    <w:p w14:paraId="3D8F4097" w14:textId="3D898620" w:rsidR="00A23508" w:rsidRDefault="003F1785" w:rsidP="00A23508">
      <w:pPr>
        <w:spacing w:line="288" w:lineRule="auto"/>
        <w:rPr>
          <w:rFonts w:ascii="Century Gothic" w:eastAsia="Century Gothic" w:hAnsi="Century Gothic" w:cs="Century Gothic"/>
          <w:bCs/>
          <w:sz w:val="24"/>
          <w:szCs w:val="24"/>
        </w:rPr>
      </w:pPr>
      <w:r>
        <w:rPr>
          <w:rFonts w:ascii="Century Gothic" w:eastAsia="Century Gothic" w:hAnsi="Century Gothic" w:cs="Century Gothic"/>
          <w:bCs/>
          <w:noProof/>
          <w:sz w:val="14"/>
          <w:szCs w:val="14"/>
        </w:rPr>
        <w:drawing>
          <wp:inline distT="0" distB="0" distL="0" distR="0" wp14:anchorId="103F8EF6" wp14:editId="02244E4F">
            <wp:extent cx="5722013" cy="4157980"/>
            <wp:effectExtent l="0" t="0" r="0" b="0"/>
            <wp:docPr id="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25122" cy="4160239"/>
                    </a:xfrm>
                    <a:prstGeom prst="rect">
                      <a:avLst/>
                    </a:prstGeom>
                    <a:noFill/>
                  </pic:spPr>
                </pic:pic>
              </a:graphicData>
            </a:graphic>
          </wp:inline>
        </w:drawing>
      </w:r>
    </w:p>
    <w:p w14:paraId="278938A9" w14:textId="77777777" w:rsidR="00A23508" w:rsidRDefault="00A23508" w:rsidP="00A23508">
      <w:pPr>
        <w:spacing w:after="0" w:line="240" w:lineRule="auto" w:before="0"/>
        <w:rPr>
          <w:rFonts w:ascii="Century Gothic" w:eastAsia="Century Gothic" w:hAnsi="Century Gothic" w:cs="Century Gothic"/>
          <w:bCs/>
          <w:sz w:val="16"/>
          <w:szCs w:val="16"/>
        </w:rPr>
      </w:pPr>
      <w:r w:rsidRPr="00A23508">
        <w:rPr>
          <w:rFonts w:ascii="Century Gothic" w:eastAsia="Century Gothic" w:hAnsi="Century Gothic" w:cs="Century Gothic"/>
          <w:b/>
          <w:sz w:val="16"/>
          <w:szCs w:val="16"/>
        </w:rPr>
        <w:t>Fuente:</w:t>
      </w:r>
      <w:r>
        <w:rPr>
          <w:rFonts w:ascii="Century Gothic" w:eastAsia="Century Gothic" w:hAnsi="Century Gothic" w:cs="Century Gothic"/>
          <w:sz w:val="16"/>
          <w:szCs w:val="16"/>
        </w:rPr>
        <w:t xml:space="preserve"> </w:t>
      </w:r>
      <w:r w:rsidRPr="00A23508">
        <w:rPr>
          <w:rFonts w:ascii="Century Gothic" w:eastAsia="Century Gothic" w:hAnsi="Century Gothic" w:cs="Century Gothic"/>
          <w:sz w:val="16"/>
          <w:szCs w:val="16"/>
        </w:rPr>
        <w:t>Bases del Proyecto de PGE 2027</w:t>
      </w:r>
    </w:p>
    <w:p w14:paraId="564F780C" w14:textId="77777777" w:rsidR="00A23508" w:rsidRDefault="00A23508" w:rsidP="00A23508">
      <w:pPr>
        <w:spacing w:after="0" w:line="240" w:lineRule="auto" w:before="0"/>
        <w:rPr>
          <w:rFonts w:ascii="Century Gothic" w:eastAsia="Century Gothic" w:hAnsi="Century Gothic" w:cs="Century Gothic"/>
          <w:bCs/>
          <w:sz w:val="16"/>
          <w:szCs w:val="16"/>
        </w:rPr>
      </w:pPr>
      <w:r w:rsidRPr="007E2D1E">
        <w:rPr>
          <w:rFonts w:ascii="Century Gothic" w:eastAsia="Century Gothic" w:hAnsi="Century Gothic" w:cs="Century Gothic"/>
          <w:b/>
          <w:sz w:val="16"/>
          <w:szCs w:val="16"/>
        </w:rPr>
        <w:t>Elaboración: MEFP-VPCF-DGPGP-UGPPP</w:t>
      </w:r>
    </w:p>
    <w:p w14:paraId="41BD373B" w14:textId="1BBDD709" w:rsidR="00A23508" w:rsidRDefault="00A23508" w:rsidP="006C0C66">
      <w:pPr>
        <w:spacing w:after="0" w:line="240" w:lineRule="auto" w:before="0"/>
        <w:rPr>
          <w:rFonts w:ascii="Century Gothic" w:eastAsia="Century Gothic" w:hAnsi="Century Gothic" w:cs="Century Gothic"/>
          <w:b/>
          <w:sz w:val="16"/>
          <w:szCs w:val="16"/>
        </w:rPr>
      </w:pPr>
      <w:r w:rsidRPr="007E2D1E">
        <w:rPr>
          <w:rFonts w:ascii="Century Gothic" w:eastAsia="Century Gothic" w:hAnsi="Century Gothic" w:cs="Century Gothic"/>
          <w:sz w:val="16"/>
          <w:szCs w:val="16"/>
        </w:rPr>
        <w:t>(P): Proyecto PGE 2027, cifras preliminares.</w:t>
      </w:r>
    </w:p>
    <w:p w14:paraId="58D62252" w14:textId="77777777" w:rsidR="006C0C66" w:rsidRDefault="006C0C66" w:rsidP="006C0C66">
      <w:pPr>
        <w:spacing w:after="0" w:line="240" w:lineRule="auto" w:before="0"/>
        <w:rPr>
          <w:sz w:val="16"/>
          <w:szCs w:val="16"/>
        </w:rPr>
      </w:pPr>
      <w:r w:rsidRPr="006C0C66">
        <w:rPr>
          <w:rFonts w:ascii="Century Gothic" w:eastAsia="Century Gothic" w:hAnsi="Century Gothic" w:cs="Century Gothic"/>
          <w:sz w:val="16"/>
          <w:szCs w:val="16"/>
        </w:rPr>
        <w:t>(*):</w:t>
      </w:r>
      <w:r>
        <w:rPr>
          <w:rFonts w:ascii="Century Gothic" w:eastAsia="Century Gothic" w:hAnsi="Century Gothic" w:cs="Century Gothic"/>
          <w:sz w:val="16"/>
          <w:szCs w:val="16"/>
        </w:rPr>
        <w:t xml:space="preserve"> Incluye Instituciones de Control y Defensa del Estado.</w:t>
      </w:r>
    </w:p>
    <w:p w14:paraId="6B67C482" w14:textId="77777777" w:rsidR="000D5962" w:rsidRPr="000159EE" w:rsidRDefault="00D030A2">
      <w:pPr>
        <w:pStyle w:val="Ttulo2"/>
        <w:spacing w:line="288" w:lineRule="auto"/>
        <w:rPr>
          <w:highlight w:val="green"/>
          <w:sz w:val="24"/>
          <w:szCs w:val="24"/>
        </w:rPr>
      </w:pPr>
      <w:r w:rsidRPr="000159EE">
        <w:rPr>
          <w:rFonts w:ascii="Century Gothic" w:eastAsia="Century Gothic" w:hAnsi="Century Gothic" w:cs="Century Gothic"/>
          <w:szCs w:val="24"/>
          <w:highlight w:val="green"/>
          <w:sz w:val="24"/>
        </w:rPr>
        <w:t>3.5. Presupuesto de Recursos (FERNANDO)</w:t>
      </w:r>
    </w:p>
    <w:p w14:paraId="06EA980E" w14:textId="77777777" w:rsidR="000D5962" w:rsidRDefault="00D030A2">
      <w:pPr>
        <w:pStyle w:val="Ttulo3"/>
        <w:spacing w:line="288" w:lineRule="auto"/>
        <w:rPr>
          <w:sz w:val="24"/>
          <w:szCs w:val="24"/>
        </w:rPr>
      </w:pPr>
      <w:r w:rsidRPr="000159EE">
        <w:rPr>
          <w:rFonts w:ascii="Century Gothic" w:eastAsia="Century Gothic" w:hAnsi="Century Gothic" w:cs="Century Gothic"/>
          <w:sz w:val="24"/>
          <w:highlight w:val="green"/>
          <w:szCs w:val="24"/>
        </w:rPr>
        <w:t>3.5.1. Presupuesto Consolidado de Recursos (FERNANDO)</w:t>
      </w:r>
    </w:p>
    <w:p w14:paraId="70D8090E" w14:textId="77777777" w:rsidR="000D5962" w:rsidRDefault="00D030A2">
      <w:pPr>
        <w:spacing w:line="288" w:lineRule="auto"/>
        <w:jc w:val="both"/>
        <w:rPr>
          <w:sz w:val="24"/>
          <w:szCs w:val="24"/>
        </w:rPr>
      </w:pPr>
      <w:r>
        <w:rPr>
          <w:rFonts w:ascii="Century Gothic" w:eastAsia="Century Gothic" w:hAnsi="Century Gothic" w:cs="Century Gothic"/>
          <w:sz w:val="24"/>
          <w:szCs w:val="24"/>
        </w:rPr>
        <w:t xml:space="preserve">El presupuesto consolidado de recursos para la gestión 2027 asciende a Bs335.140 millones, 4,2% más que el PGE 2026 reformulado, y coincide con el presupuesto consolidado de gastos (ver Tabla N° 3).</w:t>
      </w:r>
      <w:r>
        <w:rPr>
          <w:rFonts w:ascii="Century Gothic" w:eastAsia="Century Gothic" w:hAnsi="Century Gothic" w:cs="Century Gothic"/>
          <w:sz w:val="24"/>
          <w:highlight w:val="yellow"/>
          <w:szCs w:val="24"/>
        </w:rPr>
      </w:r>
      <w:r>
        <w:rPr>
          <w:rFonts w:ascii="Century Gothic" w:eastAsia="Century Gothic" w:hAnsi="Century Gothic" w:cs="Century Gothic"/>
          <w:sz w:val="24"/>
          <w:szCs w:val="24"/>
        </w:rPr>
      </w:r>
    </w:p>
    <w:p w14:paraId="2AE0523A" w14:textId="77777777" w:rsidR="000D5962" w:rsidRDefault="00D030A2">
      <w:pPr>
        <w:keepNext/>
        <w:spacing w:after="0" w:line="288" w:lineRule="auto"/>
        <w:jc w:val="center"/>
        <w:rPr>
          <w:sz w:val="24"/>
          <w:szCs w:val="24"/>
        </w:rPr>
      </w:pPr>
      <w:r>
        <w:rPr>
          <w:rFonts w:ascii="Century Gothic" w:eastAsia="Century Gothic" w:hAnsi="Century Gothic" w:cs="Century Gothic"/>
          <w:b/>
          <w:sz w:val="24"/>
          <w:szCs w:val="24"/>
        </w:rPr>
        <w:t xml:space="preserve">Tabla N° 3: Presupuesto consolidado de recursos del PGE, 2025 – 2027 (P)</w:t>
      </w:r>
    </w:p>
    <w:p w14:paraId="7ABF4386" w14:textId="77777777" w:rsidR="000D5962" w:rsidRDefault="00D030A2">
      <w:pPr>
        <w:keepNext/>
        <w:spacing w:after="40" w:line="288" w:lineRule="auto"/>
        <w:jc w:val="center"/>
        <w:rPr>
          <w:sz w:val="24"/>
          <w:szCs w:val="24"/>
        </w:rPr>
      </w:pPr>
      <w:r>
        <w:rPr>
          <w:rFonts w:ascii="Century Gothic" w:eastAsia="Century Gothic" w:hAnsi="Century Gothic" w:cs="Century Gothic"/>
          <w:i/>
          <w:sz w:val="24"/>
          <w:szCs w:val="24"/>
        </w:rPr>
        <w:t>(En millones de bolivianos y porcentaje)</w:t>
      </w:r>
    </w:p>
    <w:tbl>
      <w:tblPr>
        <w:tblStyle w:val="Tablaconcuadrcula"/>
        <w:tblW w:w="0" w:type="auto"/>
        <w:jc w:val="center"/>
        <w:tblLayout w:type="fixed"/>
        <w:tblLook w:val="04A0" w:firstRow="1" w:lastRow="0" w:firstColumn="1" w:lastColumn="0" w:noHBand="0" w:noVBand="1"/>
      </w:tblPr>
      <w:tblGrid>
        <w:gridCol w:w="2391"/>
        <w:gridCol w:w="1097"/>
        <w:gridCol w:w="1097"/>
        <w:gridCol w:w="1097"/>
        <w:gridCol w:w="1097"/>
        <w:gridCol w:w="1001"/>
        <w:gridCol w:w="1194"/>
      </w:tblGrid>
      <w:tr w:rsidR="000D5962" w14:paraId="3B3FB0E9" w14:textId="77777777" w:rsidTr="00D9711F">
        <w:trPr>
          <w:cantSplit/>
          <w:tblHeader/>
          <w:jc w:val="center"/>
        </w:trPr>
        <w:tc>
          <w:tcPr>
            <w:tcW w:w="2391" w:type="dxa"/>
            <w:shd w:val="clear" w:color="auto" w:fill="D9E2F3"/>
            <w:vAlign w:val="center"/>
          </w:tcPr>
          <w:p w14:paraId="168E5E53" w14:textId="77777777" w:rsidR="000D5962" w:rsidRPr="00D9711F" w:rsidRDefault="00D030A2" w:rsidP="00D9711F">
            <w:pPr>
              <w:keepNext/>
              <w:jc w:val="center"/>
              <w:rPr>
                <w:sz w:val="22"/>
              </w:rPr>
            </w:pPr>
            <w:proofErr w:type="spellStart"/>
            <w:r w:rsidRPr="00D9711F">
              <w:rPr>
                <w:rFonts w:ascii="Century Gothic" w:eastAsia="Century Gothic" w:hAnsi="Century Gothic" w:cs="Century Gothic"/>
                <w:b/>
                <w:sz w:val="22"/>
              </w:rPr>
              <w:t>Detalle</w:t>
            </w:r>
            <w:proofErr w:type="spellEnd"/>
          </w:p>
        </w:tc>
        <w:tc>
          <w:tcPr>
            <w:tcW w:w="1097" w:type="dxa"/>
            <w:shd w:val="clear" w:color="auto" w:fill="D9E2F3"/>
            <w:vAlign w:val="center"/>
          </w:tcPr>
          <w:p w14:paraId="6EC54654" w14:textId="77777777" w:rsidR="000D5962" w:rsidRPr="00D9711F" w:rsidRDefault="00D030A2" w:rsidP="00D9711F">
            <w:pPr>
              <w:keepNext/>
              <w:jc w:val="center"/>
              <w:rPr>
                <w:sz w:val="22"/>
              </w:rPr>
            </w:pPr>
            <w:r w:rsidRPr="00D9711F">
              <w:rPr>
                <w:rFonts w:ascii="Century Gothic" w:eastAsia="Century Gothic" w:hAnsi="Century Gothic" w:cs="Century Gothic"/>
                <w:b/>
                <w:sz w:val="22"/>
              </w:rPr>
              <w:t>2025</w:t>
            </w:r>
          </w:p>
        </w:tc>
        <w:tc>
          <w:tcPr>
            <w:tcW w:w="1097" w:type="dxa"/>
            <w:shd w:val="clear" w:color="auto" w:fill="D9E2F3"/>
            <w:vAlign w:val="center"/>
          </w:tcPr>
          <w:p w14:paraId="2127FCDA" w14:textId="77777777" w:rsidR="000D5962" w:rsidRPr="00D9711F" w:rsidRDefault="00D030A2" w:rsidP="00D9711F">
            <w:pPr>
              <w:keepNext/>
              <w:jc w:val="center"/>
              <w:rPr>
                <w:sz w:val="22"/>
              </w:rPr>
            </w:pPr>
            <w:r w:rsidRPr="00D9711F">
              <w:rPr>
                <w:rFonts w:ascii="Century Gothic" w:eastAsia="Century Gothic" w:hAnsi="Century Gothic" w:cs="Century Gothic"/>
                <w:b/>
                <w:sz w:val="22"/>
              </w:rPr>
              <w:t>2026 (P)</w:t>
            </w:r>
          </w:p>
        </w:tc>
        <w:tc>
          <w:tcPr>
            <w:tcW w:w="1097" w:type="dxa"/>
            <w:shd w:val="clear" w:color="auto" w:fill="D9E2F3"/>
            <w:vAlign w:val="center"/>
          </w:tcPr>
          <w:p w14:paraId="161C063F" w14:textId="77777777" w:rsidR="000D5962" w:rsidRPr="00D9711F" w:rsidRDefault="00D030A2" w:rsidP="00D9711F">
            <w:pPr>
              <w:keepNext/>
              <w:jc w:val="center"/>
              <w:rPr>
                <w:sz w:val="22"/>
              </w:rPr>
            </w:pPr>
            <w:r w:rsidRPr="00D9711F">
              <w:rPr>
                <w:rFonts w:ascii="Century Gothic" w:eastAsia="Century Gothic" w:hAnsi="Century Gothic" w:cs="Century Gothic"/>
                <w:b/>
                <w:sz w:val="22"/>
              </w:rPr>
              <w:t>2026 (R)</w:t>
            </w:r>
          </w:p>
        </w:tc>
        <w:tc>
          <w:tcPr>
            <w:tcW w:w="1097" w:type="dxa"/>
            <w:shd w:val="clear" w:color="auto" w:fill="D9E2F3"/>
            <w:vAlign w:val="center"/>
          </w:tcPr>
          <w:p w14:paraId="4C286A90" w14:textId="77777777" w:rsidR="000D5962" w:rsidRPr="00D9711F" w:rsidRDefault="00D030A2" w:rsidP="00D9711F">
            <w:pPr>
              <w:keepNext/>
              <w:jc w:val="center"/>
              <w:rPr>
                <w:sz w:val="22"/>
              </w:rPr>
            </w:pPr>
            <w:r w:rsidRPr="00D9711F">
              <w:rPr>
                <w:rFonts w:ascii="Century Gothic" w:eastAsia="Century Gothic" w:hAnsi="Century Gothic" w:cs="Century Gothic"/>
                <w:b/>
                <w:sz w:val="22"/>
              </w:rPr>
              <w:t>2027 (P)</w:t>
            </w:r>
          </w:p>
        </w:tc>
        <w:tc>
          <w:tcPr>
            <w:tcW w:w="1001" w:type="dxa"/>
            <w:shd w:val="clear" w:color="auto" w:fill="D9E2F3"/>
            <w:vAlign w:val="center"/>
          </w:tcPr>
          <w:p w14:paraId="458D01AF" w14:textId="77777777" w:rsidR="000D5962" w:rsidRPr="00D9711F" w:rsidRDefault="00D030A2" w:rsidP="00D9711F">
            <w:pPr>
              <w:keepNext/>
              <w:jc w:val="center"/>
              <w:rPr>
                <w:sz w:val="22"/>
              </w:rPr>
            </w:pPr>
            <w:r w:rsidRPr="00D9711F">
              <w:rPr>
                <w:rFonts w:ascii="Century Gothic" w:eastAsia="Century Gothic" w:hAnsi="Century Gothic" w:cs="Century Gothic"/>
                <w:b/>
                <w:sz w:val="22"/>
              </w:rPr>
              <w:t>Part. % 2027</w:t>
            </w:r>
          </w:p>
        </w:tc>
        <w:tc>
          <w:tcPr>
            <w:tcW w:w="1194" w:type="dxa"/>
            <w:shd w:val="clear" w:color="auto" w:fill="D9E2F3"/>
            <w:vAlign w:val="center"/>
          </w:tcPr>
          <w:p w14:paraId="4D867B94" w14:textId="77777777" w:rsidR="000D5962" w:rsidRPr="00D9711F" w:rsidRDefault="00D030A2" w:rsidP="00D9711F">
            <w:pPr>
              <w:keepNext/>
              <w:jc w:val="center"/>
              <w:rPr>
                <w:sz w:val="22"/>
              </w:rPr>
            </w:pPr>
            <w:r w:rsidRPr="00D9711F">
              <w:rPr>
                <w:rFonts w:ascii="Century Gothic" w:eastAsia="Century Gothic" w:hAnsi="Century Gothic" w:cs="Century Gothic"/>
                <w:b/>
                <w:sz w:val="22"/>
              </w:rPr>
              <w:t>Var. % 27/26(R)</w:t>
            </w:r>
          </w:p>
        </w:tc>
      </w:tr>
      <w:tr w:rsidR="000D5962" w14:paraId="78810B23" w14:textId="77777777" w:rsidTr="00D9711F">
        <w:trPr>
          <w:cantSplit/>
          <w:jc w:val="center"/>
        </w:trPr>
        <w:tc>
          <w:tcPr>
            <w:tcW w:w="2391" w:type="dxa"/>
          </w:tcPr>
          <w:p w14:paraId="1572B3D0" w14:textId="77777777" w:rsidR="000D5962" w:rsidRPr="00D9711F" w:rsidRDefault="00D030A2">
            <w:pPr>
              <w:keepNext/>
              <w:spacing w:after="0"/>
              <w:rPr>
                <w:sz w:val="22"/>
              </w:rPr>
            </w:pPr>
            <w:r w:rsidRPr="00D9711F">
              <w:rPr>
                <w:rFonts w:ascii="Century Gothic" w:eastAsia="Century Gothic" w:hAnsi="Century Gothic" w:cs="Century Gothic"/>
                <w:sz w:val="22"/>
              </w:rPr>
              <w:t>Ingresos Corrientes</w:t>
            </w:r>
          </w:p>
        </w:tc>
        <w:tc>
          <w:tcPr>
            <w:tcW w:w="1097" w:type="dxa"/>
            <w:vAlign w:val="center"/>
          </w:tcPr>
          <w:p w14:paraId="6C68EBE1" w14:textId="77777777" w:rsidR="000D5962" w:rsidRPr="00D9711F" w:rsidRDefault="00D030A2" w:rsidP="00D9711F">
            <w:pPr>
              <w:keepNext/>
              <w:spacing w:after="0"/>
              <w:jc w:val="right"/>
              <w:rPr>
                <w:sz w:val="22"/>
              </w:rPr>
            </w:pPr>
            <w:r w:rsidRPr="00D9711F">
              <w:rPr>
                <w:rFonts w:ascii="Century Gothic" w:eastAsia="Century Gothic" w:hAnsi="Century Gothic" w:cs="Century Gothic"/>
                <w:sz w:val="22"/>
              </w:rPr>
              <w:t>175.232</w:t>
            </w:r>
          </w:p>
        </w:tc>
        <w:tc>
          <w:tcPr>
            <w:tcW w:w="1097" w:type="dxa"/>
            <w:vAlign w:val="center"/>
          </w:tcPr>
          <w:p w14:paraId="102E1538" w14:textId="77777777" w:rsidR="000D5962" w:rsidRPr="00D9711F" w:rsidRDefault="00D030A2" w:rsidP="00D9711F">
            <w:pPr>
              <w:keepNext/>
              <w:spacing w:after="0"/>
              <w:jc w:val="right"/>
              <w:rPr>
                <w:sz w:val="22"/>
              </w:rPr>
            </w:pPr>
            <w:r w:rsidRPr="00D9711F">
              <w:rPr>
                <w:rFonts w:ascii="Century Gothic" w:eastAsia="Century Gothic" w:hAnsi="Century Gothic" w:cs="Century Gothic"/>
                <w:sz w:val="22"/>
              </w:rPr>
              <w:t>177.686</w:t>
            </w:r>
          </w:p>
        </w:tc>
        <w:tc>
          <w:tcPr>
            <w:tcW w:w="1097" w:type="dxa"/>
            <w:vAlign w:val="center"/>
          </w:tcPr>
          <w:p w14:paraId="52F0D032" w14:textId="77777777" w:rsidR="000D5962" w:rsidRPr="00D9711F" w:rsidRDefault="00D030A2" w:rsidP="00D9711F">
            <w:pPr>
              <w:keepNext/>
              <w:spacing w:after="0"/>
              <w:jc w:val="right"/>
              <w:rPr>
                <w:sz w:val="22"/>
              </w:rPr>
            </w:pPr>
            <w:r w:rsidRPr="00D9711F">
              <w:rPr>
                <w:rFonts w:ascii="Century Gothic" w:eastAsia="Century Gothic" w:hAnsi="Century Gothic" w:cs="Century Gothic"/>
                <w:sz w:val="22"/>
              </w:rPr>
              <w:t>177.506</w:t>
            </w:r>
          </w:p>
        </w:tc>
        <w:tc>
          <w:tcPr>
            <w:tcW w:w="1097" w:type="dxa"/>
            <w:vAlign w:val="center"/>
          </w:tcPr>
          <w:p w14:paraId="7B6FF99C" w14:textId="77777777" w:rsidR="000D5962" w:rsidRPr="00D9711F" w:rsidRDefault="00D030A2" w:rsidP="00D9711F">
            <w:pPr>
              <w:keepNext/>
              <w:spacing w:after="0"/>
              <w:jc w:val="right"/>
              <w:rPr>
                <w:sz w:val="22"/>
              </w:rPr>
            </w:pPr>
            <w:r w:rsidRPr="00D9711F">
              <w:rPr>
                <w:rFonts w:ascii="Century Gothic" w:eastAsia="Century Gothic" w:hAnsi="Century Gothic" w:cs="Century Gothic"/>
                <w:sz w:val="22"/>
              </w:rPr>
              <w:t>201.016</w:t>
            </w:r>
          </w:p>
        </w:tc>
        <w:tc>
          <w:tcPr>
            <w:tcW w:w="1001" w:type="dxa"/>
            <w:vAlign w:val="center"/>
          </w:tcPr>
          <w:p w14:paraId="11C7C1A6" w14:textId="77777777" w:rsidR="000D5962" w:rsidRPr="00D9711F" w:rsidRDefault="00D030A2" w:rsidP="00D9711F">
            <w:pPr>
              <w:keepNext/>
              <w:spacing w:after="0"/>
              <w:jc w:val="right"/>
              <w:rPr>
                <w:sz w:val="22"/>
              </w:rPr>
            </w:pPr>
            <w:r w:rsidRPr="00D9711F">
              <w:rPr>
                <w:rFonts w:ascii="Century Gothic" w:eastAsia="Century Gothic" w:hAnsi="Century Gothic" w:cs="Century Gothic"/>
                <w:sz w:val="22"/>
              </w:rPr>
              <w:t>60,0%</w:t>
            </w:r>
          </w:p>
        </w:tc>
        <w:tc>
          <w:tcPr>
            <w:tcW w:w="1194" w:type="dxa"/>
            <w:vAlign w:val="center"/>
          </w:tcPr>
          <w:p w14:paraId="375CA70A" w14:textId="77777777" w:rsidR="000D5962" w:rsidRPr="00D9711F" w:rsidRDefault="00D030A2" w:rsidP="00D9711F">
            <w:pPr>
              <w:keepNext/>
              <w:spacing w:after="0"/>
              <w:jc w:val="right"/>
              <w:rPr>
                <w:sz w:val="22"/>
              </w:rPr>
            </w:pPr>
            <w:r w:rsidRPr="00D9711F">
              <w:rPr>
                <w:rFonts w:ascii="Century Gothic" w:eastAsia="Century Gothic" w:hAnsi="Century Gothic" w:cs="Century Gothic"/>
                <w:sz w:val="22"/>
              </w:rPr>
              <w:t>13,2%</w:t>
            </w:r>
          </w:p>
        </w:tc>
      </w:tr>
      <w:tr w:rsidR="000D5962" w14:paraId="3EB2A0E3" w14:textId="77777777" w:rsidTr="00D9711F">
        <w:trPr>
          <w:cantSplit/>
          <w:jc w:val="center"/>
        </w:trPr>
        <w:tc>
          <w:tcPr>
            <w:tcW w:w="2391" w:type="dxa"/>
          </w:tcPr>
          <w:p w14:paraId="09953C1F" w14:textId="77777777" w:rsidR="000D5962" w:rsidRPr="00D9711F" w:rsidRDefault="00D030A2">
            <w:pPr>
              <w:keepNext/>
              <w:spacing w:after="0"/>
              <w:rPr>
                <w:sz w:val="22"/>
              </w:rPr>
            </w:pPr>
            <w:r w:rsidRPr="00D9711F">
              <w:rPr>
                <w:rFonts w:ascii="Century Gothic" w:eastAsia="Century Gothic" w:hAnsi="Century Gothic" w:cs="Century Gothic"/>
                <w:sz w:val="22"/>
              </w:rPr>
              <w:t>Ingresos de Capital</w:t>
            </w:r>
          </w:p>
        </w:tc>
        <w:tc>
          <w:tcPr>
            <w:tcW w:w="1097" w:type="dxa"/>
            <w:vAlign w:val="center"/>
          </w:tcPr>
          <w:p w14:paraId="3D303539" w14:textId="77777777" w:rsidR="000D5962" w:rsidRPr="00D9711F" w:rsidRDefault="00D030A2" w:rsidP="00D9711F">
            <w:pPr>
              <w:keepNext/>
              <w:spacing w:after="0"/>
              <w:jc w:val="right"/>
              <w:rPr>
                <w:sz w:val="22"/>
              </w:rPr>
            </w:pPr>
            <w:r w:rsidRPr="00D9711F">
              <w:rPr>
                <w:rFonts w:ascii="Century Gothic" w:eastAsia="Century Gothic" w:hAnsi="Century Gothic" w:cs="Century Gothic"/>
                <w:sz w:val="22"/>
              </w:rPr>
              <w:t>735</w:t>
            </w:r>
          </w:p>
        </w:tc>
        <w:tc>
          <w:tcPr>
            <w:tcW w:w="1097" w:type="dxa"/>
            <w:vAlign w:val="center"/>
          </w:tcPr>
          <w:p w14:paraId="7D769BE0" w14:textId="77777777" w:rsidR="000D5962" w:rsidRPr="00D9711F" w:rsidRDefault="00D030A2" w:rsidP="00D9711F">
            <w:pPr>
              <w:keepNext/>
              <w:spacing w:after="0"/>
              <w:jc w:val="right"/>
              <w:rPr>
                <w:sz w:val="22"/>
              </w:rPr>
            </w:pPr>
            <w:r w:rsidRPr="00D9711F">
              <w:rPr>
                <w:rFonts w:ascii="Century Gothic" w:eastAsia="Century Gothic" w:hAnsi="Century Gothic" w:cs="Century Gothic"/>
                <w:sz w:val="22"/>
              </w:rPr>
              <w:t>563</w:t>
            </w:r>
          </w:p>
        </w:tc>
        <w:tc>
          <w:tcPr>
            <w:tcW w:w="1097" w:type="dxa"/>
            <w:vAlign w:val="center"/>
          </w:tcPr>
          <w:p w14:paraId="4A46EE37" w14:textId="77777777" w:rsidR="000D5962" w:rsidRPr="00D9711F" w:rsidRDefault="00D030A2" w:rsidP="00D9711F">
            <w:pPr>
              <w:keepNext/>
              <w:spacing w:after="0"/>
              <w:jc w:val="right"/>
              <w:rPr>
                <w:sz w:val="22"/>
              </w:rPr>
            </w:pPr>
            <w:r w:rsidRPr="00D9711F">
              <w:rPr>
                <w:rFonts w:ascii="Century Gothic" w:eastAsia="Century Gothic" w:hAnsi="Century Gothic" w:cs="Century Gothic"/>
                <w:sz w:val="22"/>
              </w:rPr>
              <w:t>572</w:t>
            </w:r>
          </w:p>
        </w:tc>
        <w:tc>
          <w:tcPr>
            <w:tcW w:w="1097" w:type="dxa"/>
            <w:vAlign w:val="center"/>
          </w:tcPr>
          <w:p w14:paraId="1E2D87FA" w14:textId="77777777" w:rsidR="000D5962" w:rsidRPr="00D9711F" w:rsidRDefault="00D030A2" w:rsidP="00D9711F">
            <w:pPr>
              <w:keepNext/>
              <w:spacing w:after="0"/>
              <w:jc w:val="right"/>
              <w:rPr>
                <w:sz w:val="22"/>
              </w:rPr>
            </w:pPr>
            <w:r w:rsidRPr="00D9711F">
              <w:rPr>
                <w:rFonts w:ascii="Century Gothic" w:eastAsia="Century Gothic" w:hAnsi="Century Gothic" w:cs="Century Gothic"/>
                <w:sz w:val="22"/>
              </w:rPr>
              <w:t>671</w:t>
            </w:r>
          </w:p>
        </w:tc>
        <w:tc>
          <w:tcPr>
            <w:tcW w:w="1001" w:type="dxa"/>
            <w:vAlign w:val="center"/>
          </w:tcPr>
          <w:p w14:paraId="53C64D0C" w14:textId="77777777" w:rsidR="000D5962" w:rsidRPr="00D9711F" w:rsidRDefault="00D030A2" w:rsidP="00D9711F">
            <w:pPr>
              <w:keepNext/>
              <w:spacing w:after="0"/>
              <w:jc w:val="right"/>
              <w:rPr>
                <w:sz w:val="22"/>
              </w:rPr>
            </w:pPr>
            <w:r w:rsidRPr="00D9711F">
              <w:rPr>
                <w:rFonts w:ascii="Century Gothic" w:eastAsia="Century Gothic" w:hAnsi="Century Gothic" w:cs="Century Gothic"/>
                <w:sz w:val="22"/>
              </w:rPr>
              <w:t>0,2%</w:t>
            </w:r>
          </w:p>
        </w:tc>
        <w:tc>
          <w:tcPr>
            <w:tcW w:w="1194" w:type="dxa"/>
            <w:vAlign w:val="center"/>
          </w:tcPr>
          <w:p w14:paraId="7986AD48" w14:textId="77777777" w:rsidR="000D5962" w:rsidRPr="00D9711F" w:rsidRDefault="00D030A2" w:rsidP="00D9711F">
            <w:pPr>
              <w:keepNext/>
              <w:spacing w:after="0"/>
              <w:jc w:val="right"/>
              <w:rPr>
                <w:sz w:val="22"/>
              </w:rPr>
            </w:pPr>
            <w:r w:rsidRPr="00D9711F">
              <w:rPr>
                <w:rFonts w:ascii="Century Gothic" w:eastAsia="Century Gothic" w:hAnsi="Century Gothic" w:cs="Century Gothic"/>
                <w:sz w:val="22"/>
              </w:rPr>
              <w:t>17,3%</w:t>
            </w:r>
          </w:p>
        </w:tc>
      </w:tr>
      <w:tr w:rsidR="000D5962" w14:paraId="775ADBCC" w14:textId="77777777" w:rsidTr="00D9711F">
        <w:trPr>
          <w:cantSplit/>
          <w:jc w:val="center"/>
        </w:trPr>
        <w:tc>
          <w:tcPr>
            <w:tcW w:w="2391" w:type="dxa"/>
          </w:tcPr>
          <w:p w14:paraId="65D2F682" w14:textId="77777777" w:rsidR="000D5962" w:rsidRPr="00D9711F" w:rsidRDefault="00D030A2">
            <w:pPr>
              <w:keepNext/>
              <w:spacing w:after="0"/>
              <w:rPr>
                <w:sz w:val="22"/>
              </w:rPr>
            </w:pPr>
            <w:r w:rsidRPr="00D9711F">
              <w:rPr>
                <w:rFonts w:ascii="Century Gothic" w:eastAsia="Century Gothic" w:hAnsi="Century Gothic" w:cs="Century Gothic"/>
                <w:sz w:val="22"/>
              </w:rPr>
              <w:t>Fuentes Financieras</w:t>
            </w:r>
          </w:p>
        </w:tc>
        <w:tc>
          <w:tcPr>
            <w:tcW w:w="1097" w:type="dxa"/>
            <w:vAlign w:val="center"/>
          </w:tcPr>
          <w:p w14:paraId="6947D575" w14:textId="77777777" w:rsidR="000D5962" w:rsidRPr="00D9711F" w:rsidRDefault="00D030A2" w:rsidP="00D9711F">
            <w:pPr>
              <w:keepNext/>
              <w:spacing w:after="0"/>
              <w:jc w:val="right"/>
              <w:rPr>
                <w:sz w:val="22"/>
              </w:rPr>
            </w:pPr>
            <w:r w:rsidRPr="00D9711F">
              <w:rPr>
                <w:rFonts w:ascii="Century Gothic" w:eastAsia="Century Gothic" w:hAnsi="Century Gothic" w:cs="Century Gothic"/>
                <w:sz w:val="22"/>
              </w:rPr>
              <w:t>120.598</w:t>
            </w:r>
          </w:p>
        </w:tc>
        <w:tc>
          <w:tcPr>
            <w:tcW w:w="1097" w:type="dxa"/>
            <w:vAlign w:val="center"/>
          </w:tcPr>
          <w:p w14:paraId="03D4C97E" w14:textId="77777777" w:rsidR="000D5962" w:rsidRPr="00D9711F" w:rsidRDefault="00D030A2" w:rsidP="00D9711F">
            <w:pPr>
              <w:keepNext/>
              <w:spacing w:after="0"/>
              <w:jc w:val="right"/>
              <w:rPr>
                <w:sz w:val="22"/>
              </w:rPr>
            </w:pPr>
            <w:r w:rsidRPr="00D9711F">
              <w:rPr>
                <w:rFonts w:ascii="Century Gothic" w:eastAsia="Century Gothic" w:hAnsi="Century Gothic" w:cs="Century Gothic"/>
                <w:sz w:val="22"/>
              </w:rPr>
              <w:t>120.083</w:t>
            </w:r>
          </w:p>
        </w:tc>
        <w:tc>
          <w:tcPr>
            <w:tcW w:w="1097" w:type="dxa"/>
            <w:vAlign w:val="center"/>
          </w:tcPr>
          <w:p w14:paraId="15428E0A" w14:textId="77777777" w:rsidR="000D5962" w:rsidRPr="00D9711F" w:rsidRDefault="00D030A2" w:rsidP="00D9711F">
            <w:pPr>
              <w:keepNext/>
              <w:spacing w:after="0"/>
              <w:jc w:val="right"/>
              <w:rPr>
                <w:sz w:val="22"/>
              </w:rPr>
            </w:pPr>
            <w:r w:rsidRPr="00D9711F">
              <w:rPr>
                <w:rFonts w:ascii="Century Gothic" w:eastAsia="Century Gothic" w:hAnsi="Century Gothic" w:cs="Century Gothic"/>
                <w:sz w:val="22"/>
              </w:rPr>
              <w:t>143.545</w:t>
            </w:r>
          </w:p>
        </w:tc>
        <w:tc>
          <w:tcPr>
            <w:tcW w:w="1097" w:type="dxa"/>
            <w:vAlign w:val="center"/>
          </w:tcPr>
          <w:p w14:paraId="354FD001" w14:textId="77777777" w:rsidR="000D5962" w:rsidRPr="00D9711F" w:rsidRDefault="00D030A2" w:rsidP="00D9711F">
            <w:pPr>
              <w:keepNext/>
              <w:spacing w:after="0"/>
              <w:jc w:val="right"/>
              <w:rPr>
                <w:sz w:val="22"/>
              </w:rPr>
            </w:pPr>
            <w:r w:rsidRPr="00D9711F">
              <w:rPr>
                <w:rFonts w:ascii="Century Gothic" w:eastAsia="Century Gothic" w:hAnsi="Century Gothic" w:cs="Century Gothic"/>
                <w:sz w:val="22"/>
              </w:rPr>
              <w:t>133.453</w:t>
            </w:r>
          </w:p>
        </w:tc>
        <w:tc>
          <w:tcPr>
            <w:tcW w:w="1001" w:type="dxa"/>
            <w:vAlign w:val="center"/>
          </w:tcPr>
          <w:p w14:paraId="51EB7CF2" w14:textId="77777777" w:rsidR="000D5962" w:rsidRPr="00D9711F" w:rsidRDefault="00D030A2" w:rsidP="00D9711F">
            <w:pPr>
              <w:keepNext/>
              <w:spacing w:after="0"/>
              <w:jc w:val="right"/>
              <w:rPr>
                <w:sz w:val="22"/>
              </w:rPr>
            </w:pPr>
            <w:r w:rsidRPr="00D9711F">
              <w:rPr>
                <w:rFonts w:ascii="Century Gothic" w:eastAsia="Century Gothic" w:hAnsi="Century Gothic" w:cs="Century Gothic"/>
                <w:sz w:val="22"/>
              </w:rPr>
              <w:t>39,8%</w:t>
            </w:r>
          </w:p>
        </w:tc>
        <w:tc>
          <w:tcPr>
            <w:tcW w:w="1194" w:type="dxa"/>
            <w:vAlign w:val="center"/>
          </w:tcPr>
          <w:p w14:paraId="52252DCC" w14:textId="77777777" w:rsidR="000D5962" w:rsidRPr="00D9711F" w:rsidRDefault="00D030A2" w:rsidP="00D9711F">
            <w:pPr>
              <w:keepNext/>
              <w:spacing w:after="0"/>
              <w:jc w:val="right"/>
              <w:rPr>
                <w:sz w:val="22"/>
              </w:rPr>
            </w:pPr>
            <w:r w:rsidRPr="00D9711F">
              <w:rPr>
                <w:rFonts w:ascii="Century Gothic" w:eastAsia="Century Gothic" w:hAnsi="Century Gothic" w:cs="Century Gothic"/>
                <w:sz w:val="22"/>
              </w:rPr>
              <w:t>-7,0%</w:t>
            </w:r>
          </w:p>
        </w:tc>
      </w:tr>
      <w:tr w:rsidR="000D5962" w14:paraId="43F174A6" w14:textId="77777777" w:rsidTr="00D9711F">
        <w:trPr>
          <w:cantSplit/>
          <w:jc w:val="center"/>
        </w:trPr>
        <w:tc>
          <w:tcPr>
            <w:tcW w:w="2391" w:type="dxa"/>
            <w:shd w:val="clear" w:color="auto" w:fill="F2F2F2"/>
          </w:tcPr>
          <w:p w14:paraId="73AF2881" w14:textId="77777777" w:rsidR="000D5962" w:rsidRPr="00D9711F" w:rsidRDefault="00D030A2">
            <w:pPr>
              <w:spacing w:after="0"/>
              <w:rPr>
                <w:sz w:val="22"/>
              </w:rPr>
            </w:pPr>
            <w:r w:rsidRPr="00D9711F">
              <w:rPr>
                <w:rFonts w:ascii="Century Gothic" w:eastAsia="Century Gothic" w:hAnsi="Century Gothic" w:cs="Century Gothic"/>
                <w:b/>
                <w:sz w:val="22"/>
              </w:rPr>
              <w:t>TOTAL</w:t>
            </w:r>
          </w:p>
        </w:tc>
        <w:tc>
          <w:tcPr>
            <w:tcW w:w="1097" w:type="dxa"/>
            <w:shd w:val="clear" w:color="auto" w:fill="F2F2F2"/>
            <w:vAlign w:val="center"/>
          </w:tcPr>
          <w:p w14:paraId="21B1BF65" w14:textId="77777777" w:rsidR="000D5962" w:rsidRPr="00D9711F" w:rsidRDefault="00D030A2" w:rsidP="00D9711F">
            <w:pPr>
              <w:spacing w:after="0"/>
              <w:jc w:val="right"/>
              <w:rPr>
                <w:sz w:val="22"/>
              </w:rPr>
            </w:pPr>
            <w:r w:rsidRPr="00D9711F">
              <w:rPr>
                <w:rFonts w:ascii="Century Gothic" w:eastAsia="Century Gothic" w:hAnsi="Century Gothic" w:cs="Century Gothic"/>
                <w:b/>
                <w:sz w:val="22"/>
              </w:rPr>
              <w:t>296.566</w:t>
            </w:r>
          </w:p>
        </w:tc>
        <w:tc>
          <w:tcPr>
            <w:tcW w:w="1097" w:type="dxa"/>
            <w:shd w:val="clear" w:color="auto" w:fill="F2F2F2"/>
            <w:vAlign w:val="center"/>
          </w:tcPr>
          <w:p w14:paraId="3B085A23" w14:textId="77777777" w:rsidR="000D5962" w:rsidRPr="00D9711F" w:rsidRDefault="00D030A2" w:rsidP="00D9711F">
            <w:pPr>
              <w:spacing w:after="0"/>
              <w:jc w:val="right"/>
              <w:rPr>
                <w:sz w:val="22"/>
              </w:rPr>
            </w:pPr>
            <w:r w:rsidRPr="00D9711F">
              <w:rPr>
                <w:rFonts w:ascii="Century Gothic" w:eastAsia="Century Gothic" w:hAnsi="Century Gothic" w:cs="Century Gothic"/>
                <w:b/>
                <w:sz w:val="22"/>
              </w:rPr>
              <w:t>298.332</w:t>
            </w:r>
          </w:p>
        </w:tc>
        <w:tc>
          <w:tcPr>
            <w:tcW w:w="1097" w:type="dxa"/>
            <w:shd w:val="clear" w:color="auto" w:fill="F2F2F2"/>
            <w:vAlign w:val="center"/>
          </w:tcPr>
          <w:p w14:paraId="4A76BF64" w14:textId="77777777" w:rsidR="000D5962" w:rsidRPr="00D9711F" w:rsidRDefault="00D030A2" w:rsidP="00D9711F">
            <w:pPr>
              <w:spacing w:after="0"/>
              <w:jc w:val="right"/>
              <w:rPr>
                <w:sz w:val="22"/>
              </w:rPr>
            </w:pPr>
            <w:r w:rsidRPr="00D9711F">
              <w:rPr>
                <w:rFonts w:ascii="Century Gothic" w:eastAsia="Century Gothic" w:hAnsi="Century Gothic" w:cs="Century Gothic"/>
                <w:b/>
                <w:sz w:val="22"/>
              </w:rPr>
              <w:t>321.623</w:t>
            </w:r>
          </w:p>
        </w:tc>
        <w:tc>
          <w:tcPr>
            <w:tcW w:w="1097" w:type="dxa"/>
            <w:shd w:val="clear" w:color="auto" w:fill="F2F2F2"/>
            <w:vAlign w:val="center"/>
          </w:tcPr>
          <w:p w14:paraId="48992E87" w14:textId="77777777" w:rsidR="000D5962" w:rsidRPr="00D9711F" w:rsidRDefault="00D030A2" w:rsidP="00D9711F">
            <w:pPr>
              <w:spacing w:after="0"/>
              <w:jc w:val="right"/>
              <w:rPr>
                <w:sz w:val="22"/>
              </w:rPr>
            </w:pPr>
            <w:r w:rsidRPr="00D9711F">
              <w:rPr>
                <w:rFonts w:ascii="Century Gothic" w:eastAsia="Century Gothic" w:hAnsi="Century Gothic" w:cs="Century Gothic"/>
                <w:b/>
                <w:sz w:val="22"/>
              </w:rPr>
              <w:t>335.140</w:t>
            </w:r>
          </w:p>
        </w:tc>
        <w:tc>
          <w:tcPr>
            <w:tcW w:w="1001" w:type="dxa"/>
            <w:shd w:val="clear" w:color="auto" w:fill="F2F2F2"/>
            <w:vAlign w:val="center"/>
          </w:tcPr>
          <w:p w14:paraId="379ACAA8" w14:textId="77777777" w:rsidR="000D5962" w:rsidRPr="00D9711F" w:rsidRDefault="00D030A2" w:rsidP="00D9711F">
            <w:pPr>
              <w:spacing w:after="0"/>
              <w:jc w:val="right"/>
              <w:rPr>
                <w:sz w:val="22"/>
              </w:rPr>
            </w:pPr>
            <w:r w:rsidRPr="00D9711F">
              <w:rPr>
                <w:rFonts w:ascii="Century Gothic" w:eastAsia="Century Gothic" w:hAnsi="Century Gothic" w:cs="Century Gothic"/>
                <w:b/>
                <w:sz w:val="22"/>
              </w:rPr>
              <w:t>100,0%</w:t>
            </w:r>
          </w:p>
        </w:tc>
        <w:tc>
          <w:tcPr>
            <w:tcW w:w="1194" w:type="dxa"/>
            <w:shd w:val="clear" w:color="auto" w:fill="F2F2F2"/>
            <w:vAlign w:val="center"/>
          </w:tcPr>
          <w:p w14:paraId="485D7229" w14:textId="77777777" w:rsidR="000D5962" w:rsidRPr="00D9711F" w:rsidRDefault="00D030A2" w:rsidP="00D9711F">
            <w:pPr>
              <w:spacing w:after="0"/>
              <w:jc w:val="right"/>
              <w:rPr>
                <w:sz w:val="22"/>
              </w:rPr>
            </w:pPr>
            <w:r w:rsidRPr="00D9711F">
              <w:rPr>
                <w:rFonts w:ascii="Century Gothic" w:eastAsia="Century Gothic" w:hAnsi="Century Gothic" w:cs="Century Gothic"/>
                <w:b/>
                <w:sz w:val="22"/>
              </w:rPr>
              <w:t>4,2%</w:t>
            </w:r>
          </w:p>
        </w:tc>
      </w:tr>
    </w:tbl>
    <w:p w14:paraId="2114D168" w14:textId="77777777" w:rsidR="000D5962" w:rsidRDefault="00D030A2">
      <w:pPr>
        <w:spacing w:after="0" w:line="240" w:lineRule="auto" w:before="0"/>
        <w:rPr>
          <w:sz w:val="16"/>
          <w:szCs w:val="16"/>
        </w:rPr>
      </w:pPr>
      <w:r>
        <w:rPr>
          <w:rFonts w:ascii="Century Gothic" w:eastAsia="Century Gothic" w:hAnsi="Century Gothic" w:cs="Century Gothic"/>
          <w:b/>
          <w:sz w:val="16"/>
          <w:szCs w:val="16"/>
        </w:rPr>
        <w:t xml:space="preserve">Fuente: </w:t>
      </w:r>
      <w:r>
        <w:rPr>
          <w:rFonts w:ascii="Century Gothic" w:eastAsia="Century Gothic" w:hAnsi="Century Gothic" w:cs="Century Gothic"/>
          <w:sz w:val="16"/>
          <w:szCs w:val="16"/>
        </w:rPr>
        <w:t>PGE 2025, Proyecto de PGE 2026, PGE 2026 reformulado y bases del Proyecto de PGE 2027</w:t>
      </w:r>
    </w:p>
    <w:p w14:paraId="36B25919" w14:textId="77777777" w:rsidR="000D5962" w:rsidRDefault="00D030A2">
      <w:pPr>
        <w:spacing w:after="0" w:line="240" w:lineRule="auto" w:before="0"/>
        <w:rPr>
          <w:sz w:val="16"/>
          <w:szCs w:val="16"/>
        </w:rPr>
      </w:pPr>
      <w:r>
        <w:rPr>
          <w:rFonts w:ascii="Century Gothic" w:eastAsia="Century Gothic" w:hAnsi="Century Gothic" w:cs="Century Gothic"/>
          <w:b/>
          <w:sz w:val="16"/>
          <w:szCs w:val="16"/>
        </w:rPr>
        <w:t xml:space="preserve">Elaboración: </w:t>
      </w:r>
      <w:r>
        <w:rPr>
          <w:rFonts w:ascii="Century Gothic" w:eastAsia="Century Gothic" w:hAnsi="Century Gothic" w:cs="Century Gothic"/>
          <w:sz w:val="16"/>
          <w:szCs w:val="16"/>
        </w:rPr>
        <w:t>MEFP-VPCF-DGPGP-UGPPP</w:t>
      </w:r>
    </w:p>
    <w:p w14:paraId="7310F782" w14:textId="77777777" w:rsidR="000D5962" w:rsidRDefault="00D030A2">
      <w:pPr>
        <w:spacing w:after="0" w:line="240" w:lineRule="auto" w:before="0"/>
        <w:rPr>
          <w:sz w:val="16"/>
          <w:szCs w:val="16"/>
        </w:rPr>
      </w:pPr>
      <w:r>
        <w:rPr>
          <w:rFonts w:ascii="Century Gothic" w:eastAsia="Century Gothic" w:hAnsi="Century Gothic" w:cs="Century Gothic"/>
          <w:sz w:val="16"/>
          <w:szCs w:val="16"/>
        </w:rPr>
        <w:t>(R): PGE 2026 reformulado. (P): Proyecto PGE 2027, cifras preliminares.</w:t>
      </w:r>
    </w:p>
    <w:p w14:paraId="6CF437DA" w14:textId="77777777" w:rsidR="000D5962" w:rsidRDefault="000D5962">
      <w:pPr>
        <w:spacing w:after="40"/>
        <w:rPr>
          <w:sz w:val="24"/>
          <w:szCs w:val="24"/>
        </w:rPr>
      </w:pPr>
    </w:p>
    <w:p w14:paraId="700F8953" w14:textId="77777777" w:rsidR="000D5962" w:rsidRDefault="00D030A2">
      <w:pPr>
        <w:spacing w:line="288" w:lineRule="auto"/>
        <w:jc w:val="both"/>
        <w:rPr>
          <w:sz w:val="24"/>
          <w:szCs w:val="24"/>
        </w:rPr>
      </w:pPr>
      <w:r>
        <w:rPr>
          <w:rFonts w:ascii="Century Gothic" w:eastAsia="Century Gothic" w:hAnsi="Century Gothic" w:cs="Century Gothic"/>
          <w:sz w:val="24"/>
          <w:szCs w:val="24"/>
        </w:rPr>
        <w:t xml:space="preserve">Los recursos se explican por tres grandes grupos: Ingresos Corrientes, que ascienden a Bs201.016 millones con un incremento de 13,2% respecto a 2026; Ingresos de Capital, que pasan de Bs572 millones a Bs671 millones; y Fuentes Financieras, que disminuyen 7,0% al pasar de Bs143.545 millones a Bs133.453 millones (ver Tabla N° 4).</w:t>
      </w:r>
    </w:p>
    <w:p w14:paraId="1F141AFB" w14:textId="77777777" w:rsidR="000D5962" w:rsidRDefault="00D030A2">
      <w:pPr>
        <w:keepNext/>
        <w:spacing w:after="0" w:line="288" w:lineRule="auto"/>
        <w:jc w:val="center"/>
        <w:rPr>
          <w:sz w:val="24"/>
          <w:szCs w:val="24"/>
        </w:rPr>
      </w:pPr>
      <w:r>
        <w:rPr>
          <w:rFonts w:ascii="Century Gothic" w:eastAsia="Century Gothic" w:hAnsi="Century Gothic" w:cs="Century Gothic"/>
          <w:b/>
          <w:sz w:val="24"/>
          <w:szCs w:val="24"/>
        </w:rPr>
        <w:lastRenderedPageBreak/>
        <w:t xml:space="preserve">Tabla N° 4: Presupuesto consolidado de recursos del PGE, 2027 (P)</w:t>
      </w:r>
    </w:p>
    <w:p w14:paraId="615BE354" w14:textId="77777777" w:rsidR="000D5962" w:rsidRDefault="00D030A2">
      <w:pPr>
        <w:keepNext/>
        <w:spacing w:after="40" w:line="288" w:lineRule="auto"/>
        <w:jc w:val="center"/>
        <w:rPr>
          <w:sz w:val="24"/>
          <w:szCs w:val="24"/>
        </w:rPr>
      </w:pPr>
      <w:r>
        <w:rPr>
          <w:rFonts w:ascii="Century Gothic" w:eastAsia="Century Gothic" w:hAnsi="Century Gothic" w:cs="Century Gothic"/>
          <w:i/>
          <w:sz w:val="24"/>
          <w:szCs w:val="24"/>
        </w:rPr>
        <w:t>(En millones de bolivianos y porcentaje)</w:t>
      </w:r>
    </w:p>
    <w:tbl>
      <w:tblPr>
        <w:tblStyle w:val="Tablaconcuadrcula"/>
        <w:tblW w:w="9008" w:type="dxa"/>
        <w:jc w:val="center"/>
        <w:tblLayout w:type="fixed"/>
        <w:tblLook w:val="04A0" w:firstRow="1" w:lastRow="0" w:firstColumn="1" w:lastColumn="0" w:noHBand="0" w:noVBand="1"/>
      </w:tblPr>
      <w:tblGrid>
        <w:gridCol w:w="3603"/>
        <w:gridCol w:w="1351"/>
        <w:gridCol w:w="1351"/>
        <w:gridCol w:w="1351"/>
        <w:gridCol w:w="1352"/>
      </w:tblGrid>
      <w:tr w:rsidR="000D5962" w14:paraId="29169E18" w14:textId="77777777">
        <w:trPr>
          <w:cantSplit/>
          <w:tblHeader/>
          <w:jc w:val="center"/>
        </w:trPr>
        <w:tc>
          <w:tcPr>
            <w:tcW w:w="3603" w:type="dxa"/>
            <w:shd w:val="clear" w:color="auto" w:fill="D9E2F3"/>
          </w:tcPr>
          <w:p w14:paraId="1D2CE6AF" w14:textId="77777777" w:rsidR="000D5962" w:rsidRDefault="00D030A2">
            <w:pPr>
              <w:keepNext/>
              <w:jc w:val="center"/>
            </w:pPr>
            <w:r>
              <w:rPr>
                <w:rFonts w:ascii="Century Gothic" w:eastAsia="Century Gothic" w:hAnsi="Century Gothic" w:cs="Century Gothic"/>
                <w:b/>
                <w:sz w:val="22"/>
              </w:rPr>
              <w:t>Detalle</w:t>
            </w:r>
          </w:p>
        </w:tc>
        <w:tc>
          <w:tcPr>
            <w:tcW w:w="1351" w:type="dxa"/>
            <w:shd w:val="clear" w:color="auto" w:fill="D9E2F3"/>
          </w:tcPr>
          <w:p w14:paraId="5E9A80E5" w14:textId="77777777" w:rsidR="000D5962" w:rsidRDefault="00D030A2">
            <w:pPr>
              <w:keepNext/>
              <w:jc w:val="center"/>
            </w:pPr>
            <w:r>
              <w:rPr>
                <w:rFonts w:ascii="Century Gothic" w:eastAsia="Century Gothic" w:hAnsi="Century Gothic" w:cs="Century Gothic"/>
                <w:b/>
                <w:sz w:val="22"/>
              </w:rPr>
              <w:t>2026 (R)</w:t>
            </w:r>
          </w:p>
        </w:tc>
        <w:tc>
          <w:tcPr>
            <w:tcW w:w="1351" w:type="dxa"/>
            <w:shd w:val="clear" w:color="auto" w:fill="D9E2F3"/>
          </w:tcPr>
          <w:p w14:paraId="684FA94E" w14:textId="77777777" w:rsidR="000D5962" w:rsidRDefault="00D030A2">
            <w:pPr>
              <w:keepNext/>
              <w:jc w:val="center"/>
            </w:pPr>
            <w:r>
              <w:rPr>
                <w:rFonts w:ascii="Century Gothic" w:eastAsia="Century Gothic" w:hAnsi="Century Gothic" w:cs="Century Gothic"/>
                <w:b/>
                <w:sz w:val="22"/>
              </w:rPr>
              <w:t>2027 (P)</w:t>
            </w:r>
          </w:p>
        </w:tc>
        <w:tc>
          <w:tcPr>
            <w:tcW w:w="1351" w:type="dxa"/>
            <w:shd w:val="clear" w:color="auto" w:fill="D9E2F3"/>
          </w:tcPr>
          <w:p w14:paraId="531F068D" w14:textId="77777777" w:rsidR="000D5962" w:rsidRDefault="00D030A2">
            <w:pPr>
              <w:keepNext/>
              <w:jc w:val="center"/>
            </w:pPr>
            <w:r>
              <w:rPr>
                <w:rFonts w:ascii="Century Gothic" w:eastAsia="Century Gothic" w:hAnsi="Century Gothic" w:cs="Century Gothic"/>
                <w:b/>
                <w:sz w:val="22"/>
              </w:rPr>
              <w:t>Part. % 2027</w:t>
            </w:r>
          </w:p>
        </w:tc>
        <w:tc>
          <w:tcPr>
            <w:tcW w:w="1352" w:type="dxa"/>
            <w:shd w:val="clear" w:color="auto" w:fill="D9E2F3"/>
          </w:tcPr>
          <w:p w14:paraId="684B3AAB" w14:textId="77777777" w:rsidR="000D5962" w:rsidRDefault="00D030A2">
            <w:pPr>
              <w:keepNext/>
              <w:jc w:val="center"/>
            </w:pPr>
            <w:r>
              <w:rPr>
                <w:rFonts w:ascii="Century Gothic" w:eastAsia="Century Gothic" w:hAnsi="Century Gothic" w:cs="Century Gothic"/>
                <w:b/>
                <w:sz w:val="22"/>
              </w:rPr>
              <w:t>Var. %</w:t>
            </w:r>
          </w:p>
        </w:tc>
      </w:tr>
      <w:tr w:rsidR="000D5962" w14:paraId="192A38A6" w14:textId="77777777">
        <w:trPr>
          <w:cantSplit/>
          <w:jc w:val="center"/>
        </w:trPr>
        <w:tc>
          <w:tcPr>
            <w:tcW w:w="3603" w:type="dxa"/>
            <w:shd w:val="clear" w:color="auto" w:fill="F2F2F2"/>
          </w:tcPr>
          <w:p w14:paraId="63BBCEBE" w14:textId="77777777" w:rsidR="000D5962" w:rsidRDefault="00D030A2">
            <w:pPr>
              <w:keepNext/>
              <w:spacing w:after="0"/>
            </w:pPr>
            <w:r>
              <w:rPr>
                <w:rFonts w:ascii="Century Gothic" w:eastAsia="Century Gothic" w:hAnsi="Century Gothic" w:cs="Century Gothic"/>
                <w:b/>
                <w:sz w:val="22"/>
              </w:rPr>
              <w:t>INGRESOS CORRIENTES</w:t>
            </w:r>
          </w:p>
        </w:tc>
        <w:tc>
          <w:tcPr>
            <w:tcW w:w="1351" w:type="dxa"/>
            <w:shd w:val="clear" w:color="auto" w:fill="F2F2F2"/>
          </w:tcPr>
          <w:p w14:paraId="36F72890" w14:textId="77777777" w:rsidR="000D5962" w:rsidRDefault="00D030A2">
            <w:pPr>
              <w:keepNext/>
              <w:spacing w:after="0"/>
              <w:jc w:val="right"/>
            </w:pPr>
            <w:r>
              <w:rPr>
                <w:rFonts w:ascii="Century Gothic" w:eastAsia="Century Gothic" w:hAnsi="Century Gothic" w:cs="Century Gothic"/>
                <w:b/>
                <w:sz w:val="22"/>
              </w:rPr>
              <w:t>177.506</w:t>
            </w:r>
          </w:p>
        </w:tc>
        <w:tc>
          <w:tcPr>
            <w:tcW w:w="1351" w:type="dxa"/>
            <w:shd w:val="clear" w:color="auto" w:fill="F2F2F2"/>
          </w:tcPr>
          <w:p w14:paraId="42DBF879" w14:textId="77777777" w:rsidR="000D5962" w:rsidRDefault="00D030A2">
            <w:pPr>
              <w:keepNext/>
              <w:spacing w:after="0"/>
              <w:jc w:val="right"/>
            </w:pPr>
            <w:r>
              <w:rPr>
                <w:rFonts w:ascii="Century Gothic" w:eastAsia="Century Gothic" w:hAnsi="Century Gothic" w:cs="Century Gothic"/>
                <w:b/>
                <w:sz w:val="22"/>
              </w:rPr>
              <w:t>201.016</w:t>
            </w:r>
          </w:p>
        </w:tc>
        <w:tc>
          <w:tcPr>
            <w:tcW w:w="1351" w:type="dxa"/>
            <w:shd w:val="clear" w:color="auto" w:fill="F2F2F2"/>
          </w:tcPr>
          <w:p w14:paraId="0BD823D6" w14:textId="77777777" w:rsidR="000D5962" w:rsidRDefault="00D030A2">
            <w:pPr>
              <w:keepNext/>
              <w:spacing w:after="0"/>
              <w:jc w:val="right"/>
            </w:pPr>
            <w:r>
              <w:rPr>
                <w:rFonts w:ascii="Century Gothic" w:eastAsia="Century Gothic" w:hAnsi="Century Gothic" w:cs="Century Gothic"/>
                <w:b/>
                <w:sz w:val="22"/>
              </w:rPr>
              <w:t>60,0%</w:t>
            </w:r>
          </w:p>
        </w:tc>
        <w:tc>
          <w:tcPr>
            <w:tcW w:w="1352" w:type="dxa"/>
            <w:shd w:val="clear" w:color="auto" w:fill="F2F2F2"/>
          </w:tcPr>
          <w:p w14:paraId="7DE36F1A" w14:textId="77777777" w:rsidR="000D5962" w:rsidRDefault="00D030A2">
            <w:pPr>
              <w:keepNext/>
              <w:spacing w:after="0"/>
              <w:jc w:val="right"/>
            </w:pPr>
            <w:r>
              <w:rPr>
                <w:rFonts w:ascii="Century Gothic" w:eastAsia="Century Gothic" w:hAnsi="Century Gothic" w:cs="Century Gothic"/>
                <w:b/>
                <w:sz w:val="22"/>
              </w:rPr>
              <w:t>13,2%</w:t>
            </w:r>
          </w:p>
        </w:tc>
      </w:tr>
      <w:tr w:rsidR="000D5962" w14:paraId="6D9DB35C" w14:textId="77777777">
        <w:trPr>
          <w:cantSplit/>
          <w:jc w:val="center"/>
        </w:trPr>
        <w:tc>
          <w:tcPr>
            <w:tcW w:w="3603" w:type="dxa"/>
          </w:tcPr>
          <w:p w14:paraId="03CC0A0E" w14:textId="77777777" w:rsidR="000D5962" w:rsidRDefault="00D030A2">
            <w:pPr>
              <w:keepNext/>
              <w:spacing w:after="0"/>
            </w:pPr>
            <w:r>
              <w:rPr>
                <w:rFonts w:ascii="Century Gothic" w:eastAsia="Century Gothic" w:hAnsi="Century Gothic" w:cs="Century Gothic"/>
                <w:sz w:val="22"/>
              </w:rPr>
              <w:t xml:space="preserve">   Ingresos de Operación</w:t>
            </w:r>
          </w:p>
        </w:tc>
        <w:tc>
          <w:tcPr>
            <w:tcW w:w="1351" w:type="dxa"/>
          </w:tcPr>
          <w:p w14:paraId="45AA7515" w14:textId="77777777" w:rsidR="000D5962" w:rsidRDefault="00D030A2">
            <w:pPr>
              <w:keepNext/>
              <w:spacing w:after="0"/>
              <w:jc w:val="right"/>
            </w:pPr>
            <w:r>
              <w:rPr>
                <w:rFonts w:ascii="Century Gothic" w:eastAsia="Century Gothic" w:hAnsi="Century Gothic" w:cs="Century Gothic"/>
                <w:sz w:val="22"/>
              </w:rPr>
              <w:t>81.290</w:t>
            </w:r>
          </w:p>
        </w:tc>
        <w:tc>
          <w:tcPr>
            <w:tcW w:w="1351" w:type="dxa"/>
          </w:tcPr>
          <w:p w14:paraId="375A70BC" w14:textId="77777777" w:rsidR="000D5962" w:rsidRDefault="00D030A2">
            <w:pPr>
              <w:keepNext/>
              <w:spacing w:after="0"/>
              <w:jc w:val="right"/>
            </w:pPr>
            <w:r>
              <w:rPr>
                <w:rFonts w:ascii="Century Gothic" w:eastAsia="Century Gothic" w:hAnsi="Century Gothic" w:cs="Century Gothic"/>
                <w:sz w:val="22"/>
              </w:rPr>
              <w:t>98.406</w:t>
            </w:r>
          </w:p>
        </w:tc>
        <w:tc>
          <w:tcPr>
            <w:tcW w:w="1351" w:type="dxa"/>
          </w:tcPr>
          <w:p w14:paraId="23A3A86D" w14:textId="77777777" w:rsidR="000D5962" w:rsidRDefault="00D030A2">
            <w:pPr>
              <w:keepNext/>
              <w:spacing w:after="0"/>
              <w:jc w:val="right"/>
            </w:pPr>
            <w:r>
              <w:rPr>
                <w:rFonts w:ascii="Century Gothic" w:eastAsia="Century Gothic" w:hAnsi="Century Gothic" w:cs="Century Gothic"/>
                <w:sz w:val="22"/>
              </w:rPr>
              <w:t>29,4%</w:t>
            </w:r>
          </w:p>
        </w:tc>
        <w:tc>
          <w:tcPr>
            <w:tcW w:w="1352" w:type="dxa"/>
          </w:tcPr>
          <w:p w14:paraId="5881260D" w14:textId="77777777" w:rsidR="000D5962" w:rsidRDefault="00D030A2">
            <w:pPr>
              <w:keepNext/>
              <w:spacing w:after="0"/>
              <w:jc w:val="right"/>
            </w:pPr>
            <w:r>
              <w:rPr>
                <w:rFonts w:ascii="Century Gothic" w:eastAsia="Century Gothic" w:hAnsi="Century Gothic" w:cs="Century Gothic"/>
                <w:sz w:val="22"/>
              </w:rPr>
              <w:t>21,1%</w:t>
            </w:r>
          </w:p>
        </w:tc>
      </w:tr>
      <w:tr w:rsidR="000D5962" w14:paraId="25116ACE" w14:textId="77777777">
        <w:trPr>
          <w:cantSplit/>
          <w:jc w:val="center"/>
        </w:trPr>
        <w:tc>
          <w:tcPr>
            <w:tcW w:w="3603" w:type="dxa"/>
          </w:tcPr>
          <w:p w14:paraId="55F6CD2D" w14:textId="77777777" w:rsidR="000D5962" w:rsidRDefault="00D030A2" w:rsidP="00D9711F">
            <w:pPr>
              <w:keepNext/>
              <w:spacing w:after="0"/>
              <w:ind w:left="179"/>
            </w:pPr>
            <w:proofErr w:type="spellStart"/>
            <w:r>
              <w:rPr>
                <w:rFonts w:ascii="Century Gothic" w:eastAsia="Century Gothic" w:hAnsi="Century Gothic" w:cs="Century Gothic"/>
                <w:sz w:val="22"/>
              </w:rPr>
              <w:t>Venta</w:t>
            </w:r>
            <w:proofErr w:type="spellEnd"/>
            <w:r>
              <w:rPr>
                <w:rFonts w:ascii="Century Gothic" w:eastAsia="Century Gothic" w:hAnsi="Century Gothic" w:cs="Century Gothic"/>
                <w:sz w:val="22"/>
              </w:rPr>
              <w:t xml:space="preserve"> de </w:t>
            </w:r>
            <w:proofErr w:type="spellStart"/>
            <w:r>
              <w:rPr>
                <w:rFonts w:ascii="Century Gothic" w:eastAsia="Century Gothic" w:hAnsi="Century Gothic" w:cs="Century Gothic"/>
                <w:sz w:val="22"/>
              </w:rPr>
              <w:t>Bienes</w:t>
            </w:r>
            <w:proofErr w:type="spellEnd"/>
            <w:r>
              <w:rPr>
                <w:rFonts w:ascii="Century Gothic" w:eastAsia="Century Gothic" w:hAnsi="Century Gothic" w:cs="Century Gothic"/>
                <w:sz w:val="22"/>
              </w:rPr>
              <w:t xml:space="preserve"> y </w:t>
            </w:r>
            <w:proofErr w:type="spellStart"/>
            <w:r>
              <w:rPr>
                <w:rFonts w:ascii="Century Gothic" w:eastAsia="Century Gothic" w:hAnsi="Century Gothic" w:cs="Century Gothic"/>
                <w:sz w:val="22"/>
              </w:rPr>
              <w:t>Servicios</w:t>
            </w:r>
            <w:proofErr w:type="spellEnd"/>
            <w:r>
              <w:rPr>
                <w:rFonts w:ascii="Century Gothic" w:eastAsia="Century Gothic" w:hAnsi="Century Gothic" w:cs="Century Gothic"/>
                <w:sz w:val="22"/>
              </w:rPr>
              <w:t xml:space="preserve"> de las </w:t>
            </w:r>
            <w:proofErr w:type="spellStart"/>
            <w:r>
              <w:rPr>
                <w:rFonts w:ascii="Century Gothic" w:eastAsia="Century Gothic" w:hAnsi="Century Gothic" w:cs="Century Gothic"/>
                <w:sz w:val="22"/>
              </w:rPr>
              <w:t>Administraciones</w:t>
            </w:r>
            <w:proofErr w:type="spellEnd"/>
            <w:r>
              <w:rPr>
                <w:rFonts w:ascii="Century Gothic" w:eastAsia="Century Gothic" w:hAnsi="Century Gothic" w:cs="Century Gothic"/>
                <w:sz w:val="22"/>
              </w:rPr>
              <w:t xml:space="preserve"> </w:t>
            </w:r>
            <w:proofErr w:type="spellStart"/>
            <w:r>
              <w:rPr>
                <w:rFonts w:ascii="Century Gothic" w:eastAsia="Century Gothic" w:hAnsi="Century Gothic" w:cs="Century Gothic"/>
                <w:sz w:val="22"/>
              </w:rPr>
              <w:t>Públicas</w:t>
            </w:r>
            <w:proofErr w:type="spellEnd"/>
          </w:p>
        </w:tc>
        <w:tc>
          <w:tcPr>
            <w:tcW w:w="1351" w:type="dxa"/>
          </w:tcPr>
          <w:p w14:paraId="782A21D1" w14:textId="77777777" w:rsidR="000D5962" w:rsidRDefault="00D030A2">
            <w:pPr>
              <w:keepNext/>
              <w:spacing w:after="0"/>
              <w:jc w:val="right"/>
            </w:pPr>
            <w:r>
              <w:rPr>
                <w:rFonts w:ascii="Century Gothic" w:eastAsia="Century Gothic" w:hAnsi="Century Gothic" w:cs="Century Gothic"/>
                <w:sz w:val="22"/>
              </w:rPr>
              <w:t>4.418</w:t>
            </w:r>
          </w:p>
        </w:tc>
        <w:tc>
          <w:tcPr>
            <w:tcW w:w="1351" w:type="dxa"/>
          </w:tcPr>
          <w:p w14:paraId="03605367" w14:textId="77777777" w:rsidR="000D5962" w:rsidRDefault="00D030A2">
            <w:pPr>
              <w:keepNext/>
              <w:spacing w:after="0"/>
              <w:jc w:val="right"/>
            </w:pPr>
            <w:r>
              <w:rPr>
                <w:rFonts w:ascii="Century Gothic" w:eastAsia="Century Gothic" w:hAnsi="Century Gothic" w:cs="Century Gothic"/>
                <w:sz w:val="22"/>
              </w:rPr>
              <w:t>4.632</w:t>
            </w:r>
          </w:p>
        </w:tc>
        <w:tc>
          <w:tcPr>
            <w:tcW w:w="1351" w:type="dxa"/>
          </w:tcPr>
          <w:p w14:paraId="216C4F4A" w14:textId="77777777" w:rsidR="000D5962" w:rsidRDefault="00D030A2">
            <w:pPr>
              <w:keepNext/>
              <w:spacing w:after="0"/>
              <w:jc w:val="right"/>
            </w:pPr>
            <w:r>
              <w:rPr>
                <w:rFonts w:ascii="Century Gothic" w:eastAsia="Century Gothic" w:hAnsi="Century Gothic" w:cs="Century Gothic"/>
                <w:sz w:val="22"/>
              </w:rPr>
              <w:t>1,4%</w:t>
            </w:r>
          </w:p>
        </w:tc>
        <w:tc>
          <w:tcPr>
            <w:tcW w:w="1352" w:type="dxa"/>
          </w:tcPr>
          <w:p w14:paraId="532A9E8D" w14:textId="77777777" w:rsidR="000D5962" w:rsidRDefault="00D030A2">
            <w:pPr>
              <w:keepNext/>
              <w:spacing w:after="0"/>
              <w:jc w:val="right"/>
            </w:pPr>
            <w:r>
              <w:rPr>
                <w:rFonts w:ascii="Century Gothic" w:eastAsia="Century Gothic" w:hAnsi="Century Gothic" w:cs="Century Gothic"/>
                <w:sz w:val="22"/>
              </w:rPr>
              <w:t>4,8%</w:t>
            </w:r>
          </w:p>
        </w:tc>
      </w:tr>
      <w:tr w:rsidR="000D5962" w14:paraId="73C8EAAA" w14:textId="77777777">
        <w:trPr>
          <w:cantSplit/>
          <w:jc w:val="center"/>
        </w:trPr>
        <w:tc>
          <w:tcPr>
            <w:tcW w:w="3603" w:type="dxa"/>
          </w:tcPr>
          <w:p w14:paraId="283B23AC" w14:textId="77777777" w:rsidR="000D5962" w:rsidRDefault="00D030A2">
            <w:pPr>
              <w:keepNext/>
              <w:spacing w:after="0"/>
            </w:pPr>
            <w:r>
              <w:rPr>
                <w:rFonts w:ascii="Century Gothic" w:eastAsia="Century Gothic" w:hAnsi="Century Gothic" w:cs="Century Gothic"/>
                <w:sz w:val="22"/>
              </w:rPr>
              <w:t xml:space="preserve">   Ingresos Tributarios</w:t>
            </w:r>
          </w:p>
        </w:tc>
        <w:tc>
          <w:tcPr>
            <w:tcW w:w="1351" w:type="dxa"/>
          </w:tcPr>
          <w:p w14:paraId="7FD45838" w14:textId="77777777" w:rsidR="000D5962" w:rsidRDefault="00D030A2">
            <w:pPr>
              <w:keepNext/>
              <w:spacing w:after="0"/>
              <w:jc w:val="right"/>
            </w:pPr>
            <w:r>
              <w:rPr>
                <w:rFonts w:ascii="Century Gothic" w:eastAsia="Century Gothic" w:hAnsi="Century Gothic" w:cs="Century Gothic"/>
                <w:sz w:val="22"/>
              </w:rPr>
              <w:t>64.002</w:t>
            </w:r>
          </w:p>
        </w:tc>
        <w:tc>
          <w:tcPr>
            <w:tcW w:w="1351" w:type="dxa"/>
          </w:tcPr>
          <w:p w14:paraId="10495B47" w14:textId="77777777" w:rsidR="000D5962" w:rsidRDefault="00D030A2">
            <w:pPr>
              <w:keepNext/>
              <w:spacing w:after="0"/>
              <w:jc w:val="right"/>
            </w:pPr>
            <w:r>
              <w:rPr>
                <w:rFonts w:ascii="Century Gothic" w:eastAsia="Century Gothic" w:hAnsi="Century Gothic" w:cs="Century Gothic"/>
                <w:sz w:val="22"/>
              </w:rPr>
              <w:t>68.744</w:t>
            </w:r>
          </w:p>
        </w:tc>
        <w:tc>
          <w:tcPr>
            <w:tcW w:w="1351" w:type="dxa"/>
          </w:tcPr>
          <w:p w14:paraId="693F5AE1" w14:textId="77777777" w:rsidR="000D5962" w:rsidRDefault="00D030A2">
            <w:pPr>
              <w:keepNext/>
              <w:spacing w:after="0"/>
              <w:jc w:val="right"/>
            </w:pPr>
            <w:r>
              <w:rPr>
                <w:rFonts w:ascii="Century Gothic" w:eastAsia="Century Gothic" w:hAnsi="Century Gothic" w:cs="Century Gothic"/>
                <w:sz w:val="22"/>
              </w:rPr>
              <w:t>20,5%</w:t>
            </w:r>
          </w:p>
        </w:tc>
        <w:tc>
          <w:tcPr>
            <w:tcW w:w="1352" w:type="dxa"/>
          </w:tcPr>
          <w:p w14:paraId="3E8E4A65" w14:textId="77777777" w:rsidR="000D5962" w:rsidRDefault="00D030A2">
            <w:pPr>
              <w:keepNext/>
              <w:spacing w:after="0"/>
              <w:jc w:val="right"/>
            </w:pPr>
            <w:r>
              <w:rPr>
                <w:rFonts w:ascii="Century Gothic" w:eastAsia="Century Gothic" w:hAnsi="Century Gothic" w:cs="Century Gothic"/>
                <w:sz w:val="22"/>
              </w:rPr>
              <w:t>7,4%</w:t>
            </w:r>
          </w:p>
        </w:tc>
      </w:tr>
      <w:tr w:rsidR="000D5962" w14:paraId="15C7A50D" w14:textId="77777777">
        <w:trPr>
          <w:cantSplit/>
          <w:jc w:val="center"/>
        </w:trPr>
        <w:tc>
          <w:tcPr>
            <w:tcW w:w="3603" w:type="dxa"/>
          </w:tcPr>
          <w:p w14:paraId="7DDF8420" w14:textId="77777777" w:rsidR="000D5962" w:rsidRDefault="00D030A2">
            <w:pPr>
              <w:keepNext/>
              <w:spacing w:after="0"/>
            </w:pPr>
            <w:r>
              <w:rPr>
                <w:rFonts w:ascii="Century Gothic" w:eastAsia="Century Gothic" w:hAnsi="Century Gothic" w:cs="Century Gothic"/>
                <w:sz w:val="22"/>
              </w:rPr>
              <w:t xml:space="preserve">   Regalías</w:t>
            </w:r>
          </w:p>
        </w:tc>
        <w:tc>
          <w:tcPr>
            <w:tcW w:w="1351" w:type="dxa"/>
          </w:tcPr>
          <w:p w14:paraId="02DCAFF2" w14:textId="77777777" w:rsidR="000D5962" w:rsidRDefault="00D030A2">
            <w:pPr>
              <w:keepNext/>
              <w:spacing w:after="0"/>
              <w:jc w:val="right"/>
            </w:pPr>
            <w:r>
              <w:rPr>
                <w:rFonts w:ascii="Century Gothic" w:eastAsia="Century Gothic" w:hAnsi="Century Gothic" w:cs="Century Gothic"/>
                <w:sz w:val="22"/>
              </w:rPr>
              <w:t>2.253</w:t>
            </w:r>
          </w:p>
        </w:tc>
        <w:tc>
          <w:tcPr>
            <w:tcW w:w="1351" w:type="dxa"/>
          </w:tcPr>
          <w:p w14:paraId="6756952D" w14:textId="77777777" w:rsidR="000D5962" w:rsidRDefault="00D030A2">
            <w:pPr>
              <w:keepNext/>
              <w:spacing w:after="0"/>
              <w:jc w:val="right"/>
            </w:pPr>
            <w:r>
              <w:rPr>
                <w:rFonts w:ascii="Century Gothic" w:eastAsia="Century Gothic" w:hAnsi="Century Gothic" w:cs="Century Gothic"/>
                <w:sz w:val="22"/>
              </w:rPr>
              <w:t>4.494</w:t>
            </w:r>
          </w:p>
        </w:tc>
        <w:tc>
          <w:tcPr>
            <w:tcW w:w="1351" w:type="dxa"/>
          </w:tcPr>
          <w:p w14:paraId="7FA5DD60" w14:textId="77777777" w:rsidR="000D5962" w:rsidRDefault="00D030A2">
            <w:pPr>
              <w:keepNext/>
              <w:spacing w:after="0"/>
              <w:jc w:val="right"/>
            </w:pPr>
            <w:r>
              <w:rPr>
                <w:rFonts w:ascii="Century Gothic" w:eastAsia="Century Gothic" w:hAnsi="Century Gothic" w:cs="Century Gothic"/>
                <w:sz w:val="22"/>
              </w:rPr>
              <w:t>1,3%</w:t>
            </w:r>
          </w:p>
        </w:tc>
        <w:tc>
          <w:tcPr>
            <w:tcW w:w="1352" w:type="dxa"/>
          </w:tcPr>
          <w:p w14:paraId="192AB0A7" w14:textId="77777777" w:rsidR="000D5962" w:rsidRDefault="00D030A2">
            <w:pPr>
              <w:keepNext/>
              <w:spacing w:after="0"/>
              <w:jc w:val="right"/>
            </w:pPr>
            <w:r>
              <w:rPr>
                <w:rFonts w:ascii="Century Gothic" w:eastAsia="Century Gothic" w:hAnsi="Century Gothic" w:cs="Century Gothic"/>
                <w:sz w:val="22"/>
              </w:rPr>
              <w:t>99,5%</w:t>
            </w:r>
          </w:p>
        </w:tc>
      </w:tr>
      <w:tr w:rsidR="000D5962" w14:paraId="3646AB5B" w14:textId="77777777">
        <w:trPr>
          <w:cantSplit/>
          <w:jc w:val="center"/>
        </w:trPr>
        <w:tc>
          <w:tcPr>
            <w:tcW w:w="3603" w:type="dxa"/>
          </w:tcPr>
          <w:p w14:paraId="2713A7E9" w14:textId="77777777" w:rsidR="000D5962" w:rsidRDefault="00D030A2">
            <w:pPr>
              <w:keepNext/>
              <w:spacing w:after="0"/>
            </w:pPr>
            <w:r>
              <w:rPr>
                <w:rFonts w:ascii="Century Gothic" w:eastAsia="Century Gothic" w:hAnsi="Century Gothic" w:cs="Century Gothic"/>
                <w:sz w:val="22"/>
              </w:rPr>
              <w:t xml:space="preserve">   Contribuciones de la Seguridad social</w:t>
            </w:r>
          </w:p>
        </w:tc>
        <w:tc>
          <w:tcPr>
            <w:tcW w:w="1351" w:type="dxa"/>
          </w:tcPr>
          <w:p w14:paraId="381D545C" w14:textId="77777777" w:rsidR="000D5962" w:rsidRDefault="00D030A2">
            <w:pPr>
              <w:keepNext/>
              <w:spacing w:after="0"/>
              <w:jc w:val="right"/>
            </w:pPr>
            <w:r>
              <w:rPr>
                <w:rFonts w:ascii="Century Gothic" w:eastAsia="Century Gothic" w:hAnsi="Century Gothic" w:cs="Century Gothic"/>
                <w:sz w:val="22"/>
              </w:rPr>
              <w:t>9.116</w:t>
            </w:r>
          </w:p>
        </w:tc>
        <w:tc>
          <w:tcPr>
            <w:tcW w:w="1351" w:type="dxa"/>
          </w:tcPr>
          <w:p w14:paraId="583A2889" w14:textId="77777777" w:rsidR="000D5962" w:rsidRDefault="00D030A2">
            <w:pPr>
              <w:keepNext/>
              <w:spacing w:after="0"/>
              <w:jc w:val="right"/>
            </w:pPr>
            <w:r>
              <w:rPr>
                <w:rFonts w:ascii="Century Gothic" w:eastAsia="Century Gothic" w:hAnsi="Century Gothic" w:cs="Century Gothic"/>
                <w:sz w:val="22"/>
              </w:rPr>
              <w:t>10.158</w:t>
            </w:r>
          </w:p>
        </w:tc>
        <w:tc>
          <w:tcPr>
            <w:tcW w:w="1351" w:type="dxa"/>
          </w:tcPr>
          <w:p w14:paraId="4A31E4D0" w14:textId="77777777" w:rsidR="000D5962" w:rsidRDefault="00D030A2">
            <w:pPr>
              <w:keepNext/>
              <w:spacing w:after="0"/>
              <w:jc w:val="right"/>
            </w:pPr>
            <w:r>
              <w:rPr>
                <w:rFonts w:ascii="Century Gothic" w:eastAsia="Century Gothic" w:hAnsi="Century Gothic" w:cs="Century Gothic"/>
                <w:sz w:val="22"/>
              </w:rPr>
              <w:t>3,0%</w:t>
            </w:r>
          </w:p>
        </w:tc>
        <w:tc>
          <w:tcPr>
            <w:tcW w:w="1352" w:type="dxa"/>
          </w:tcPr>
          <w:p w14:paraId="7723DF9E" w14:textId="77777777" w:rsidR="000D5962" w:rsidRDefault="00D030A2">
            <w:pPr>
              <w:keepNext/>
              <w:spacing w:after="0"/>
              <w:jc w:val="right"/>
            </w:pPr>
            <w:r>
              <w:rPr>
                <w:rFonts w:ascii="Century Gothic" w:eastAsia="Century Gothic" w:hAnsi="Century Gothic" w:cs="Century Gothic"/>
                <w:sz w:val="22"/>
              </w:rPr>
              <w:t>11,4%</w:t>
            </w:r>
          </w:p>
        </w:tc>
      </w:tr>
      <w:tr w:rsidR="000D5962" w14:paraId="00F8DF20" w14:textId="77777777">
        <w:trPr>
          <w:cantSplit/>
          <w:jc w:val="center"/>
        </w:trPr>
        <w:tc>
          <w:tcPr>
            <w:tcW w:w="3603" w:type="dxa"/>
          </w:tcPr>
          <w:p w14:paraId="50289EBF" w14:textId="77777777" w:rsidR="000D5962" w:rsidRDefault="00D030A2">
            <w:pPr>
              <w:keepNext/>
              <w:spacing w:after="0"/>
            </w:pPr>
            <w:r>
              <w:rPr>
                <w:rFonts w:ascii="Century Gothic" w:eastAsia="Century Gothic" w:hAnsi="Century Gothic" w:cs="Century Gothic"/>
                <w:sz w:val="22"/>
              </w:rPr>
              <w:t xml:space="preserve">   Donaciones Corrientes</w:t>
            </w:r>
          </w:p>
        </w:tc>
        <w:tc>
          <w:tcPr>
            <w:tcW w:w="1351" w:type="dxa"/>
          </w:tcPr>
          <w:p w14:paraId="415ED350" w14:textId="77777777" w:rsidR="000D5962" w:rsidRDefault="00D030A2">
            <w:pPr>
              <w:keepNext/>
              <w:spacing w:after="0"/>
              <w:jc w:val="right"/>
            </w:pPr>
            <w:r>
              <w:rPr>
                <w:rFonts w:ascii="Century Gothic" w:eastAsia="Century Gothic" w:hAnsi="Century Gothic" w:cs="Century Gothic"/>
                <w:sz w:val="22"/>
              </w:rPr>
              <w:t>115</w:t>
            </w:r>
          </w:p>
        </w:tc>
        <w:tc>
          <w:tcPr>
            <w:tcW w:w="1351" w:type="dxa"/>
          </w:tcPr>
          <w:p w14:paraId="6DDD7A4D" w14:textId="77777777" w:rsidR="000D5962" w:rsidRDefault="00D030A2">
            <w:pPr>
              <w:keepNext/>
              <w:spacing w:after="0"/>
              <w:jc w:val="right"/>
            </w:pPr>
            <w:r>
              <w:rPr>
                <w:rFonts w:ascii="Century Gothic" w:eastAsia="Century Gothic" w:hAnsi="Century Gothic" w:cs="Century Gothic"/>
                <w:sz w:val="22"/>
              </w:rPr>
              <w:t>87</w:t>
            </w:r>
          </w:p>
        </w:tc>
        <w:tc>
          <w:tcPr>
            <w:tcW w:w="1351" w:type="dxa"/>
          </w:tcPr>
          <w:p w14:paraId="64A9DECC" w14:textId="77777777" w:rsidR="000D5962" w:rsidRDefault="00D030A2">
            <w:pPr>
              <w:keepNext/>
              <w:spacing w:after="0"/>
              <w:jc w:val="right"/>
            </w:pPr>
            <w:r>
              <w:rPr>
                <w:rFonts w:ascii="Century Gothic" w:eastAsia="Century Gothic" w:hAnsi="Century Gothic" w:cs="Century Gothic"/>
                <w:sz w:val="22"/>
              </w:rPr>
              <w:t>0,0%</w:t>
            </w:r>
          </w:p>
        </w:tc>
        <w:tc>
          <w:tcPr>
            <w:tcW w:w="1352" w:type="dxa"/>
          </w:tcPr>
          <w:p w14:paraId="63D517A4" w14:textId="77777777" w:rsidR="000D5962" w:rsidRDefault="00D030A2">
            <w:pPr>
              <w:keepNext/>
              <w:spacing w:after="0"/>
              <w:jc w:val="right"/>
            </w:pPr>
            <w:r>
              <w:rPr>
                <w:rFonts w:ascii="Century Gothic" w:eastAsia="Century Gothic" w:hAnsi="Century Gothic" w:cs="Century Gothic"/>
                <w:sz w:val="22"/>
              </w:rPr>
              <w:t>-24,0%</w:t>
            </w:r>
          </w:p>
        </w:tc>
      </w:tr>
      <w:tr w:rsidR="000D5962" w14:paraId="70B7E884" w14:textId="77777777">
        <w:trPr>
          <w:cantSplit/>
          <w:jc w:val="center"/>
        </w:trPr>
        <w:tc>
          <w:tcPr>
            <w:tcW w:w="3603" w:type="dxa"/>
          </w:tcPr>
          <w:p w14:paraId="66947B5B" w14:textId="77777777" w:rsidR="000D5962" w:rsidRDefault="00D030A2">
            <w:pPr>
              <w:keepNext/>
              <w:spacing w:after="0"/>
            </w:pPr>
            <w:r>
              <w:rPr>
                <w:rFonts w:ascii="Century Gothic" w:eastAsia="Century Gothic" w:hAnsi="Century Gothic" w:cs="Century Gothic"/>
                <w:sz w:val="22"/>
              </w:rPr>
              <w:t xml:space="preserve">   Transferencias Corrientes</w:t>
            </w:r>
          </w:p>
        </w:tc>
        <w:tc>
          <w:tcPr>
            <w:tcW w:w="1351" w:type="dxa"/>
          </w:tcPr>
          <w:p w14:paraId="694D3CC1" w14:textId="77777777" w:rsidR="000D5962" w:rsidRDefault="00D030A2">
            <w:pPr>
              <w:keepNext/>
              <w:spacing w:after="0"/>
              <w:jc w:val="right"/>
            </w:pPr>
            <w:r>
              <w:rPr>
                <w:rFonts w:ascii="Century Gothic" w:eastAsia="Century Gothic" w:hAnsi="Century Gothic" w:cs="Century Gothic"/>
                <w:sz w:val="22"/>
              </w:rPr>
              <w:t>564</w:t>
            </w:r>
          </w:p>
        </w:tc>
        <w:tc>
          <w:tcPr>
            <w:tcW w:w="1351" w:type="dxa"/>
          </w:tcPr>
          <w:p w14:paraId="5320B697" w14:textId="77777777" w:rsidR="000D5962" w:rsidRDefault="00D030A2">
            <w:pPr>
              <w:keepNext/>
              <w:spacing w:after="0"/>
              <w:jc w:val="right"/>
            </w:pPr>
            <w:r>
              <w:rPr>
                <w:rFonts w:ascii="Century Gothic" w:eastAsia="Century Gothic" w:hAnsi="Century Gothic" w:cs="Century Gothic"/>
                <w:sz w:val="22"/>
              </w:rPr>
              <w:t>663</w:t>
            </w:r>
          </w:p>
        </w:tc>
        <w:tc>
          <w:tcPr>
            <w:tcW w:w="1351" w:type="dxa"/>
          </w:tcPr>
          <w:p w14:paraId="2909B013" w14:textId="77777777" w:rsidR="000D5962" w:rsidRDefault="00D030A2">
            <w:pPr>
              <w:keepNext/>
              <w:spacing w:after="0"/>
              <w:jc w:val="right"/>
            </w:pPr>
            <w:r>
              <w:rPr>
                <w:rFonts w:ascii="Century Gothic" w:eastAsia="Century Gothic" w:hAnsi="Century Gothic" w:cs="Century Gothic"/>
                <w:sz w:val="22"/>
              </w:rPr>
              <w:t>0,2%</w:t>
            </w:r>
          </w:p>
        </w:tc>
        <w:tc>
          <w:tcPr>
            <w:tcW w:w="1352" w:type="dxa"/>
          </w:tcPr>
          <w:p w14:paraId="73B48DFC" w14:textId="77777777" w:rsidR="000D5962" w:rsidRDefault="00D030A2">
            <w:pPr>
              <w:keepNext/>
              <w:spacing w:after="0"/>
              <w:jc w:val="right"/>
            </w:pPr>
            <w:r>
              <w:rPr>
                <w:rFonts w:ascii="Century Gothic" w:eastAsia="Century Gothic" w:hAnsi="Century Gothic" w:cs="Century Gothic"/>
                <w:sz w:val="22"/>
              </w:rPr>
              <w:t>17,6%</w:t>
            </w:r>
          </w:p>
        </w:tc>
      </w:tr>
      <w:tr w:rsidR="000D5962" w14:paraId="7A0B2790" w14:textId="77777777">
        <w:trPr>
          <w:cantSplit/>
          <w:jc w:val="center"/>
        </w:trPr>
        <w:tc>
          <w:tcPr>
            <w:tcW w:w="3603" w:type="dxa"/>
          </w:tcPr>
          <w:p w14:paraId="5A60066A" w14:textId="77777777" w:rsidR="000D5962" w:rsidRDefault="00D030A2">
            <w:pPr>
              <w:keepNext/>
              <w:spacing w:after="0"/>
            </w:pPr>
            <w:r>
              <w:rPr>
                <w:rFonts w:ascii="Century Gothic" w:eastAsia="Century Gothic" w:hAnsi="Century Gothic" w:cs="Century Gothic"/>
                <w:sz w:val="22"/>
              </w:rPr>
              <w:t xml:space="preserve">   Otros Ingresos Corrientes</w:t>
            </w:r>
          </w:p>
        </w:tc>
        <w:tc>
          <w:tcPr>
            <w:tcW w:w="1351" w:type="dxa"/>
          </w:tcPr>
          <w:p w14:paraId="30E2F117" w14:textId="77777777" w:rsidR="000D5962" w:rsidRDefault="00D030A2">
            <w:pPr>
              <w:keepNext/>
              <w:spacing w:after="0"/>
              <w:jc w:val="right"/>
            </w:pPr>
            <w:r>
              <w:rPr>
                <w:rFonts w:ascii="Century Gothic" w:eastAsia="Century Gothic" w:hAnsi="Century Gothic" w:cs="Century Gothic"/>
                <w:sz w:val="22"/>
              </w:rPr>
              <w:t>15.748</w:t>
            </w:r>
          </w:p>
        </w:tc>
        <w:tc>
          <w:tcPr>
            <w:tcW w:w="1351" w:type="dxa"/>
          </w:tcPr>
          <w:p w14:paraId="0D47DE5E" w14:textId="77777777" w:rsidR="000D5962" w:rsidRDefault="00D030A2">
            <w:pPr>
              <w:keepNext/>
              <w:spacing w:after="0"/>
              <w:jc w:val="right"/>
            </w:pPr>
            <w:r>
              <w:rPr>
                <w:rFonts w:ascii="Century Gothic" w:eastAsia="Century Gothic" w:hAnsi="Century Gothic" w:cs="Century Gothic"/>
                <w:sz w:val="22"/>
              </w:rPr>
              <w:t>13.831</w:t>
            </w:r>
          </w:p>
        </w:tc>
        <w:tc>
          <w:tcPr>
            <w:tcW w:w="1351" w:type="dxa"/>
          </w:tcPr>
          <w:p w14:paraId="192A7BEA" w14:textId="77777777" w:rsidR="000D5962" w:rsidRDefault="00D030A2">
            <w:pPr>
              <w:keepNext/>
              <w:spacing w:after="0"/>
              <w:jc w:val="right"/>
            </w:pPr>
            <w:r>
              <w:rPr>
                <w:rFonts w:ascii="Century Gothic" w:eastAsia="Century Gothic" w:hAnsi="Century Gothic" w:cs="Century Gothic"/>
                <w:sz w:val="22"/>
              </w:rPr>
              <w:t>4,1%</w:t>
            </w:r>
          </w:p>
        </w:tc>
        <w:tc>
          <w:tcPr>
            <w:tcW w:w="1352" w:type="dxa"/>
          </w:tcPr>
          <w:p w14:paraId="0DE08997" w14:textId="77777777" w:rsidR="000D5962" w:rsidRDefault="00D030A2">
            <w:pPr>
              <w:keepNext/>
              <w:spacing w:after="0"/>
              <w:jc w:val="right"/>
            </w:pPr>
            <w:r>
              <w:rPr>
                <w:rFonts w:ascii="Century Gothic" w:eastAsia="Century Gothic" w:hAnsi="Century Gothic" w:cs="Century Gothic"/>
                <w:sz w:val="22"/>
              </w:rPr>
              <w:t>-12,2%</w:t>
            </w:r>
          </w:p>
        </w:tc>
      </w:tr>
      <w:tr w:rsidR="000D5962" w14:paraId="5A0D2EE4" w14:textId="77777777">
        <w:trPr>
          <w:cantSplit/>
          <w:jc w:val="center"/>
        </w:trPr>
        <w:tc>
          <w:tcPr>
            <w:tcW w:w="3603" w:type="dxa"/>
            <w:shd w:val="clear" w:color="auto" w:fill="F2F2F2"/>
          </w:tcPr>
          <w:p w14:paraId="18F9CAFB" w14:textId="77777777" w:rsidR="000D5962" w:rsidRDefault="00D030A2">
            <w:pPr>
              <w:keepNext/>
              <w:spacing w:after="0"/>
            </w:pPr>
            <w:r>
              <w:rPr>
                <w:rFonts w:ascii="Century Gothic" w:eastAsia="Century Gothic" w:hAnsi="Century Gothic" w:cs="Century Gothic"/>
                <w:b/>
                <w:sz w:val="22"/>
              </w:rPr>
              <w:t>INGRESOS DE CAPITAL</w:t>
            </w:r>
          </w:p>
        </w:tc>
        <w:tc>
          <w:tcPr>
            <w:tcW w:w="1351" w:type="dxa"/>
            <w:shd w:val="clear" w:color="auto" w:fill="F2F2F2"/>
          </w:tcPr>
          <w:p w14:paraId="41ECC8D7" w14:textId="77777777" w:rsidR="000D5962" w:rsidRDefault="00D030A2">
            <w:pPr>
              <w:keepNext/>
              <w:spacing w:after="0"/>
              <w:jc w:val="right"/>
            </w:pPr>
            <w:r>
              <w:rPr>
                <w:rFonts w:ascii="Century Gothic" w:eastAsia="Century Gothic" w:hAnsi="Century Gothic" w:cs="Century Gothic"/>
                <w:b/>
                <w:sz w:val="22"/>
              </w:rPr>
              <w:t>572</w:t>
            </w:r>
          </w:p>
        </w:tc>
        <w:tc>
          <w:tcPr>
            <w:tcW w:w="1351" w:type="dxa"/>
            <w:shd w:val="clear" w:color="auto" w:fill="F2F2F2"/>
          </w:tcPr>
          <w:p w14:paraId="33E1A8C9" w14:textId="77777777" w:rsidR="000D5962" w:rsidRDefault="00D030A2">
            <w:pPr>
              <w:keepNext/>
              <w:spacing w:after="0"/>
              <w:jc w:val="right"/>
            </w:pPr>
            <w:r>
              <w:rPr>
                <w:rFonts w:ascii="Century Gothic" w:eastAsia="Century Gothic" w:hAnsi="Century Gothic" w:cs="Century Gothic"/>
                <w:b/>
                <w:sz w:val="22"/>
              </w:rPr>
              <w:t>671</w:t>
            </w:r>
          </w:p>
        </w:tc>
        <w:tc>
          <w:tcPr>
            <w:tcW w:w="1351" w:type="dxa"/>
            <w:shd w:val="clear" w:color="auto" w:fill="F2F2F2"/>
          </w:tcPr>
          <w:p w14:paraId="73150833" w14:textId="77777777" w:rsidR="000D5962" w:rsidRDefault="00D030A2">
            <w:pPr>
              <w:keepNext/>
              <w:spacing w:after="0"/>
              <w:jc w:val="right"/>
            </w:pPr>
            <w:r>
              <w:rPr>
                <w:rFonts w:ascii="Century Gothic" w:eastAsia="Century Gothic" w:hAnsi="Century Gothic" w:cs="Century Gothic"/>
                <w:b/>
                <w:sz w:val="22"/>
              </w:rPr>
              <w:t>0,2%</w:t>
            </w:r>
          </w:p>
        </w:tc>
        <w:tc>
          <w:tcPr>
            <w:tcW w:w="1352" w:type="dxa"/>
            <w:shd w:val="clear" w:color="auto" w:fill="F2F2F2"/>
          </w:tcPr>
          <w:p w14:paraId="08E87CEC" w14:textId="77777777" w:rsidR="000D5962" w:rsidRDefault="00D030A2">
            <w:pPr>
              <w:keepNext/>
              <w:spacing w:after="0"/>
              <w:jc w:val="right"/>
            </w:pPr>
            <w:r>
              <w:rPr>
                <w:rFonts w:ascii="Century Gothic" w:eastAsia="Century Gothic" w:hAnsi="Century Gothic" w:cs="Century Gothic"/>
                <w:b/>
                <w:sz w:val="22"/>
              </w:rPr>
              <w:t>17,3%</w:t>
            </w:r>
          </w:p>
        </w:tc>
      </w:tr>
      <w:tr w:rsidR="000D5962" w14:paraId="4B08C6D7" w14:textId="77777777">
        <w:trPr>
          <w:cantSplit/>
          <w:jc w:val="center"/>
        </w:trPr>
        <w:tc>
          <w:tcPr>
            <w:tcW w:w="3603" w:type="dxa"/>
          </w:tcPr>
          <w:p w14:paraId="46CCD3C5" w14:textId="77777777" w:rsidR="000D5962" w:rsidRDefault="00D030A2">
            <w:pPr>
              <w:keepNext/>
              <w:spacing w:after="0"/>
            </w:pPr>
            <w:r>
              <w:rPr>
                <w:rFonts w:ascii="Century Gothic" w:eastAsia="Century Gothic" w:hAnsi="Century Gothic" w:cs="Century Gothic"/>
                <w:sz w:val="22"/>
              </w:rPr>
              <w:t xml:space="preserve">   Donaciones de Capital</w:t>
            </w:r>
          </w:p>
        </w:tc>
        <w:tc>
          <w:tcPr>
            <w:tcW w:w="1351" w:type="dxa"/>
          </w:tcPr>
          <w:p w14:paraId="3AE4F878" w14:textId="77777777" w:rsidR="000D5962" w:rsidRDefault="00D030A2">
            <w:pPr>
              <w:keepNext/>
              <w:spacing w:after="0"/>
              <w:jc w:val="right"/>
            </w:pPr>
            <w:r>
              <w:rPr>
                <w:rFonts w:ascii="Century Gothic" w:eastAsia="Century Gothic" w:hAnsi="Century Gothic" w:cs="Century Gothic"/>
                <w:sz w:val="22"/>
              </w:rPr>
              <w:t>240</w:t>
            </w:r>
          </w:p>
        </w:tc>
        <w:tc>
          <w:tcPr>
            <w:tcW w:w="1351" w:type="dxa"/>
          </w:tcPr>
          <w:p w14:paraId="7D1CED81" w14:textId="77777777" w:rsidR="000D5962" w:rsidRDefault="00D030A2">
            <w:pPr>
              <w:keepNext/>
              <w:spacing w:after="0"/>
              <w:jc w:val="right"/>
            </w:pPr>
            <w:r>
              <w:rPr>
                <w:rFonts w:ascii="Century Gothic" w:eastAsia="Century Gothic" w:hAnsi="Century Gothic" w:cs="Century Gothic"/>
                <w:sz w:val="22"/>
              </w:rPr>
              <w:t>268</w:t>
            </w:r>
          </w:p>
        </w:tc>
        <w:tc>
          <w:tcPr>
            <w:tcW w:w="1351" w:type="dxa"/>
          </w:tcPr>
          <w:p w14:paraId="59D06CDE" w14:textId="77777777" w:rsidR="000D5962" w:rsidRDefault="00D030A2">
            <w:pPr>
              <w:keepNext/>
              <w:spacing w:after="0"/>
              <w:jc w:val="right"/>
            </w:pPr>
            <w:r>
              <w:rPr>
                <w:rFonts w:ascii="Century Gothic" w:eastAsia="Century Gothic" w:hAnsi="Century Gothic" w:cs="Century Gothic"/>
                <w:sz w:val="22"/>
              </w:rPr>
              <w:t>0,1%</w:t>
            </w:r>
          </w:p>
        </w:tc>
        <w:tc>
          <w:tcPr>
            <w:tcW w:w="1352" w:type="dxa"/>
          </w:tcPr>
          <w:p w14:paraId="2BED55FE" w14:textId="77777777" w:rsidR="000D5962" w:rsidRDefault="00D030A2">
            <w:pPr>
              <w:keepNext/>
              <w:spacing w:after="0"/>
              <w:jc w:val="right"/>
            </w:pPr>
            <w:r>
              <w:rPr>
                <w:rFonts w:ascii="Century Gothic" w:eastAsia="Century Gothic" w:hAnsi="Century Gothic" w:cs="Century Gothic"/>
                <w:sz w:val="22"/>
              </w:rPr>
              <w:t>11,9%</w:t>
            </w:r>
          </w:p>
        </w:tc>
      </w:tr>
      <w:tr w:rsidR="000D5962" w14:paraId="5F28A546" w14:textId="77777777">
        <w:trPr>
          <w:cantSplit/>
          <w:jc w:val="center"/>
        </w:trPr>
        <w:tc>
          <w:tcPr>
            <w:tcW w:w="3603" w:type="dxa"/>
          </w:tcPr>
          <w:p w14:paraId="2AC11095" w14:textId="77777777" w:rsidR="000D5962" w:rsidRDefault="00D030A2">
            <w:pPr>
              <w:keepNext/>
              <w:spacing w:after="0"/>
            </w:pPr>
            <w:r>
              <w:rPr>
                <w:rFonts w:ascii="Century Gothic" w:eastAsia="Century Gothic" w:hAnsi="Century Gothic" w:cs="Century Gothic"/>
                <w:sz w:val="22"/>
              </w:rPr>
              <w:t xml:space="preserve">   Transferencias de Capital</w:t>
            </w:r>
          </w:p>
        </w:tc>
        <w:tc>
          <w:tcPr>
            <w:tcW w:w="1351" w:type="dxa"/>
          </w:tcPr>
          <w:p w14:paraId="4BA5DBE0" w14:textId="77777777" w:rsidR="000D5962" w:rsidRDefault="00D030A2">
            <w:pPr>
              <w:keepNext/>
              <w:spacing w:after="0"/>
              <w:jc w:val="right"/>
            </w:pPr>
            <w:r>
              <w:rPr>
                <w:rFonts w:ascii="Century Gothic" w:eastAsia="Century Gothic" w:hAnsi="Century Gothic" w:cs="Century Gothic"/>
                <w:sz w:val="22"/>
              </w:rPr>
              <w:t>12</w:t>
            </w:r>
          </w:p>
        </w:tc>
        <w:tc>
          <w:tcPr>
            <w:tcW w:w="1351" w:type="dxa"/>
          </w:tcPr>
          <w:p w14:paraId="34F0FF9C" w14:textId="77777777" w:rsidR="000D5962" w:rsidRDefault="00D030A2">
            <w:pPr>
              <w:keepNext/>
              <w:spacing w:after="0"/>
              <w:jc w:val="right"/>
            </w:pPr>
            <w:r>
              <w:rPr>
                <w:rFonts w:ascii="Century Gothic" w:eastAsia="Century Gothic" w:hAnsi="Century Gothic" w:cs="Century Gothic"/>
                <w:sz w:val="22"/>
              </w:rPr>
              <w:t>10</w:t>
            </w:r>
          </w:p>
        </w:tc>
        <w:tc>
          <w:tcPr>
            <w:tcW w:w="1351" w:type="dxa"/>
          </w:tcPr>
          <w:p w14:paraId="1C8AD858" w14:textId="77777777" w:rsidR="000D5962" w:rsidRDefault="00D030A2">
            <w:pPr>
              <w:keepNext/>
              <w:spacing w:after="0"/>
              <w:jc w:val="right"/>
            </w:pPr>
            <w:r>
              <w:rPr>
                <w:rFonts w:ascii="Century Gothic" w:eastAsia="Century Gothic" w:hAnsi="Century Gothic" w:cs="Century Gothic"/>
                <w:sz w:val="22"/>
              </w:rPr>
              <w:t>0,0%</w:t>
            </w:r>
          </w:p>
        </w:tc>
        <w:tc>
          <w:tcPr>
            <w:tcW w:w="1352" w:type="dxa"/>
          </w:tcPr>
          <w:p w14:paraId="159A6530" w14:textId="77777777" w:rsidR="000D5962" w:rsidRDefault="00D030A2">
            <w:pPr>
              <w:keepNext/>
              <w:spacing w:after="0"/>
              <w:jc w:val="right"/>
            </w:pPr>
            <w:r>
              <w:rPr>
                <w:rFonts w:ascii="Century Gothic" w:eastAsia="Century Gothic" w:hAnsi="Century Gothic" w:cs="Century Gothic"/>
                <w:sz w:val="22"/>
              </w:rPr>
              <w:t>-16,5%</w:t>
            </w:r>
          </w:p>
        </w:tc>
      </w:tr>
      <w:tr w:rsidR="000D5962" w14:paraId="5AC7ABC2" w14:textId="77777777">
        <w:trPr>
          <w:cantSplit/>
          <w:jc w:val="center"/>
        </w:trPr>
        <w:tc>
          <w:tcPr>
            <w:tcW w:w="3603" w:type="dxa"/>
          </w:tcPr>
          <w:p w14:paraId="3559492B" w14:textId="77777777" w:rsidR="000D5962" w:rsidRDefault="00D030A2">
            <w:pPr>
              <w:keepNext/>
              <w:spacing w:after="0"/>
            </w:pPr>
            <w:r>
              <w:rPr>
                <w:rFonts w:ascii="Century Gothic" w:eastAsia="Century Gothic" w:hAnsi="Century Gothic" w:cs="Century Gothic"/>
                <w:sz w:val="22"/>
              </w:rPr>
              <w:t xml:space="preserve">   Otros Recursos de Capital</w:t>
            </w:r>
          </w:p>
        </w:tc>
        <w:tc>
          <w:tcPr>
            <w:tcW w:w="1351" w:type="dxa"/>
          </w:tcPr>
          <w:p w14:paraId="3D58CF30" w14:textId="77777777" w:rsidR="000D5962" w:rsidRDefault="00D030A2">
            <w:pPr>
              <w:keepNext/>
              <w:spacing w:after="0"/>
              <w:jc w:val="right"/>
            </w:pPr>
            <w:r>
              <w:rPr>
                <w:rFonts w:ascii="Century Gothic" w:eastAsia="Century Gothic" w:hAnsi="Century Gothic" w:cs="Century Gothic"/>
                <w:sz w:val="22"/>
              </w:rPr>
              <w:t>321</w:t>
            </w:r>
          </w:p>
        </w:tc>
        <w:tc>
          <w:tcPr>
            <w:tcW w:w="1351" w:type="dxa"/>
          </w:tcPr>
          <w:p w14:paraId="131132BE" w14:textId="77777777" w:rsidR="000D5962" w:rsidRDefault="00D030A2">
            <w:pPr>
              <w:keepNext/>
              <w:spacing w:after="0"/>
              <w:jc w:val="right"/>
            </w:pPr>
            <w:r>
              <w:rPr>
                <w:rFonts w:ascii="Century Gothic" w:eastAsia="Century Gothic" w:hAnsi="Century Gothic" w:cs="Century Gothic"/>
                <w:sz w:val="22"/>
              </w:rPr>
              <w:t>393</w:t>
            </w:r>
          </w:p>
        </w:tc>
        <w:tc>
          <w:tcPr>
            <w:tcW w:w="1351" w:type="dxa"/>
          </w:tcPr>
          <w:p w14:paraId="15D44F62" w14:textId="77777777" w:rsidR="000D5962" w:rsidRDefault="00D030A2">
            <w:pPr>
              <w:keepNext/>
              <w:spacing w:after="0"/>
              <w:jc w:val="right"/>
            </w:pPr>
            <w:r>
              <w:rPr>
                <w:rFonts w:ascii="Century Gothic" w:eastAsia="Century Gothic" w:hAnsi="Century Gothic" w:cs="Century Gothic"/>
                <w:sz w:val="22"/>
              </w:rPr>
              <w:t>0,1%</w:t>
            </w:r>
          </w:p>
        </w:tc>
        <w:tc>
          <w:tcPr>
            <w:tcW w:w="1352" w:type="dxa"/>
          </w:tcPr>
          <w:p w14:paraId="0CF62A76" w14:textId="77777777" w:rsidR="000D5962" w:rsidRDefault="00D030A2">
            <w:pPr>
              <w:keepNext/>
              <w:spacing w:after="0"/>
              <w:jc w:val="right"/>
            </w:pPr>
            <w:r>
              <w:rPr>
                <w:rFonts w:ascii="Century Gothic" w:eastAsia="Century Gothic" w:hAnsi="Century Gothic" w:cs="Century Gothic"/>
                <w:sz w:val="22"/>
              </w:rPr>
              <w:t>22,4%</w:t>
            </w:r>
          </w:p>
        </w:tc>
      </w:tr>
      <w:tr w:rsidR="000D5962" w14:paraId="47E12DE4" w14:textId="77777777">
        <w:trPr>
          <w:cantSplit/>
          <w:jc w:val="center"/>
        </w:trPr>
        <w:tc>
          <w:tcPr>
            <w:tcW w:w="3603" w:type="dxa"/>
            <w:shd w:val="clear" w:color="auto" w:fill="F2F2F2"/>
          </w:tcPr>
          <w:p w14:paraId="391528D7" w14:textId="77777777" w:rsidR="000D5962" w:rsidRDefault="00D030A2">
            <w:pPr>
              <w:keepNext/>
              <w:spacing w:after="0"/>
            </w:pPr>
            <w:r>
              <w:rPr>
                <w:rFonts w:ascii="Century Gothic" w:eastAsia="Century Gothic" w:hAnsi="Century Gothic" w:cs="Century Gothic"/>
                <w:b/>
                <w:sz w:val="22"/>
              </w:rPr>
              <w:t>FUENTES FINANCIERAS</w:t>
            </w:r>
          </w:p>
        </w:tc>
        <w:tc>
          <w:tcPr>
            <w:tcW w:w="1351" w:type="dxa"/>
            <w:shd w:val="clear" w:color="auto" w:fill="F2F2F2"/>
          </w:tcPr>
          <w:p w14:paraId="7BCC8124" w14:textId="77777777" w:rsidR="000D5962" w:rsidRDefault="00D030A2">
            <w:pPr>
              <w:keepNext/>
              <w:spacing w:after="0"/>
              <w:jc w:val="right"/>
            </w:pPr>
            <w:r>
              <w:rPr>
                <w:rFonts w:ascii="Century Gothic" w:eastAsia="Century Gothic" w:hAnsi="Century Gothic" w:cs="Century Gothic"/>
                <w:b/>
                <w:sz w:val="22"/>
              </w:rPr>
              <w:t>143.545</w:t>
            </w:r>
          </w:p>
        </w:tc>
        <w:tc>
          <w:tcPr>
            <w:tcW w:w="1351" w:type="dxa"/>
            <w:shd w:val="clear" w:color="auto" w:fill="F2F2F2"/>
          </w:tcPr>
          <w:p w14:paraId="6F833564" w14:textId="77777777" w:rsidR="000D5962" w:rsidRDefault="00D030A2">
            <w:pPr>
              <w:keepNext/>
              <w:spacing w:after="0"/>
              <w:jc w:val="right"/>
            </w:pPr>
            <w:r>
              <w:rPr>
                <w:rFonts w:ascii="Century Gothic" w:eastAsia="Century Gothic" w:hAnsi="Century Gothic" w:cs="Century Gothic"/>
                <w:b/>
                <w:sz w:val="22"/>
              </w:rPr>
              <w:t>133.453</w:t>
            </w:r>
          </w:p>
        </w:tc>
        <w:tc>
          <w:tcPr>
            <w:tcW w:w="1351" w:type="dxa"/>
            <w:shd w:val="clear" w:color="auto" w:fill="F2F2F2"/>
          </w:tcPr>
          <w:p w14:paraId="17A42C26" w14:textId="77777777" w:rsidR="000D5962" w:rsidRDefault="00D030A2">
            <w:pPr>
              <w:keepNext/>
              <w:spacing w:after="0"/>
              <w:jc w:val="right"/>
            </w:pPr>
            <w:r>
              <w:rPr>
                <w:rFonts w:ascii="Century Gothic" w:eastAsia="Century Gothic" w:hAnsi="Century Gothic" w:cs="Century Gothic"/>
                <w:b/>
                <w:sz w:val="22"/>
              </w:rPr>
              <w:t>39,8%</w:t>
            </w:r>
          </w:p>
        </w:tc>
        <w:tc>
          <w:tcPr>
            <w:tcW w:w="1352" w:type="dxa"/>
            <w:shd w:val="clear" w:color="auto" w:fill="F2F2F2"/>
          </w:tcPr>
          <w:p w14:paraId="103E7A29" w14:textId="77777777" w:rsidR="000D5962" w:rsidRDefault="00D030A2">
            <w:pPr>
              <w:keepNext/>
              <w:spacing w:after="0"/>
              <w:jc w:val="right"/>
            </w:pPr>
            <w:r>
              <w:rPr>
                <w:rFonts w:ascii="Century Gothic" w:eastAsia="Century Gothic" w:hAnsi="Century Gothic" w:cs="Century Gothic"/>
                <w:b/>
                <w:sz w:val="22"/>
              </w:rPr>
              <w:t>-7,0%</w:t>
            </w:r>
          </w:p>
        </w:tc>
      </w:tr>
      <w:tr w:rsidR="000D5962" w14:paraId="7367A2C8" w14:textId="77777777">
        <w:trPr>
          <w:cantSplit/>
          <w:jc w:val="center"/>
        </w:trPr>
        <w:tc>
          <w:tcPr>
            <w:tcW w:w="3603" w:type="dxa"/>
          </w:tcPr>
          <w:p w14:paraId="24AA6A1B" w14:textId="77777777" w:rsidR="000D5962" w:rsidRDefault="00D030A2">
            <w:pPr>
              <w:keepNext/>
              <w:spacing w:after="0"/>
            </w:pPr>
            <w:r>
              <w:rPr>
                <w:rFonts w:ascii="Century Gothic" w:eastAsia="Century Gothic" w:hAnsi="Century Gothic" w:cs="Century Gothic"/>
                <w:sz w:val="22"/>
              </w:rPr>
              <w:t xml:space="preserve">   Financiamiento Externo</w:t>
            </w:r>
          </w:p>
        </w:tc>
        <w:tc>
          <w:tcPr>
            <w:tcW w:w="1351" w:type="dxa"/>
          </w:tcPr>
          <w:p w14:paraId="38B56553" w14:textId="77777777" w:rsidR="000D5962" w:rsidRDefault="00D030A2">
            <w:pPr>
              <w:keepNext/>
              <w:spacing w:after="0"/>
              <w:jc w:val="right"/>
            </w:pPr>
            <w:r>
              <w:rPr>
                <w:rFonts w:ascii="Century Gothic" w:eastAsia="Century Gothic" w:hAnsi="Century Gothic" w:cs="Century Gothic"/>
                <w:sz w:val="22"/>
              </w:rPr>
              <w:t>47.411</w:t>
            </w:r>
          </w:p>
        </w:tc>
        <w:tc>
          <w:tcPr>
            <w:tcW w:w="1351" w:type="dxa"/>
          </w:tcPr>
          <w:p w14:paraId="21FD00FD" w14:textId="77777777" w:rsidR="000D5962" w:rsidRDefault="00D030A2">
            <w:pPr>
              <w:keepNext/>
              <w:spacing w:after="0"/>
              <w:jc w:val="right"/>
            </w:pPr>
            <w:r>
              <w:rPr>
                <w:rFonts w:ascii="Century Gothic" w:eastAsia="Century Gothic" w:hAnsi="Century Gothic" w:cs="Century Gothic"/>
                <w:sz w:val="22"/>
              </w:rPr>
              <w:t>80.106</w:t>
            </w:r>
          </w:p>
        </w:tc>
        <w:tc>
          <w:tcPr>
            <w:tcW w:w="1351" w:type="dxa"/>
          </w:tcPr>
          <w:p w14:paraId="021BA99A" w14:textId="77777777" w:rsidR="000D5962" w:rsidRDefault="00D030A2">
            <w:pPr>
              <w:keepNext/>
              <w:spacing w:after="0"/>
              <w:jc w:val="right"/>
            </w:pPr>
            <w:r>
              <w:rPr>
                <w:rFonts w:ascii="Century Gothic" w:eastAsia="Century Gothic" w:hAnsi="Century Gothic" w:cs="Century Gothic"/>
                <w:sz w:val="22"/>
              </w:rPr>
              <w:t>23,9%</w:t>
            </w:r>
          </w:p>
        </w:tc>
        <w:tc>
          <w:tcPr>
            <w:tcW w:w="1352" w:type="dxa"/>
          </w:tcPr>
          <w:p w14:paraId="7A463B8E" w14:textId="77777777" w:rsidR="000D5962" w:rsidRDefault="00D030A2">
            <w:pPr>
              <w:keepNext/>
              <w:spacing w:after="0"/>
              <w:jc w:val="right"/>
            </w:pPr>
            <w:r>
              <w:rPr>
                <w:rFonts w:ascii="Century Gothic" w:eastAsia="Century Gothic" w:hAnsi="Century Gothic" w:cs="Century Gothic"/>
                <w:sz w:val="22"/>
              </w:rPr>
              <w:t>69,0%</w:t>
            </w:r>
          </w:p>
        </w:tc>
      </w:tr>
      <w:tr w:rsidR="000D5962" w14:paraId="6771CF27" w14:textId="77777777">
        <w:trPr>
          <w:cantSplit/>
          <w:jc w:val="center"/>
        </w:trPr>
        <w:tc>
          <w:tcPr>
            <w:tcW w:w="3603" w:type="dxa"/>
          </w:tcPr>
          <w:p w14:paraId="69DCCEA9" w14:textId="77777777" w:rsidR="000D5962" w:rsidRDefault="00D030A2">
            <w:pPr>
              <w:keepNext/>
              <w:spacing w:after="0"/>
            </w:pPr>
            <w:r>
              <w:rPr>
                <w:rFonts w:ascii="Century Gothic" w:eastAsia="Century Gothic" w:hAnsi="Century Gothic" w:cs="Century Gothic"/>
                <w:sz w:val="22"/>
              </w:rPr>
              <w:t xml:space="preserve">   Otras Fuentes Internas</w:t>
            </w:r>
          </w:p>
        </w:tc>
        <w:tc>
          <w:tcPr>
            <w:tcW w:w="1351" w:type="dxa"/>
          </w:tcPr>
          <w:p w14:paraId="56F11AE9" w14:textId="77777777" w:rsidR="000D5962" w:rsidRDefault="00D030A2">
            <w:pPr>
              <w:keepNext/>
              <w:spacing w:after="0"/>
              <w:jc w:val="right"/>
            </w:pPr>
            <w:r>
              <w:rPr>
                <w:rFonts w:ascii="Century Gothic" w:eastAsia="Century Gothic" w:hAnsi="Century Gothic" w:cs="Century Gothic"/>
                <w:sz w:val="22"/>
              </w:rPr>
              <w:t>96.134</w:t>
            </w:r>
          </w:p>
        </w:tc>
        <w:tc>
          <w:tcPr>
            <w:tcW w:w="1351" w:type="dxa"/>
          </w:tcPr>
          <w:p w14:paraId="7AA23D99" w14:textId="77777777" w:rsidR="000D5962" w:rsidRDefault="00D030A2">
            <w:pPr>
              <w:keepNext/>
              <w:spacing w:after="0"/>
              <w:jc w:val="right"/>
            </w:pPr>
            <w:r>
              <w:rPr>
                <w:rFonts w:ascii="Century Gothic" w:eastAsia="Century Gothic" w:hAnsi="Century Gothic" w:cs="Century Gothic"/>
                <w:sz w:val="22"/>
              </w:rPr>
              <w:t>53.347</w:t>
            </w:r>
          </w:p>
        </w:tc>
        <w:tc>
          <w:tcPr>
            <w:tcW w:w="1351" w:type="dxa"/>
          </w:tcPr>
          <w:p w14:paraId="3D22186F" w14:textId="77777777" w:rsidR="000D5962" w:rsidRDefault="00D030A2">
            <w:pPr>
              <w:keepNext/>
              <w:spacing w:after="0"/>
              <w:jc w:val="right"/>
            </w:pPr>
            <w:r>
              <w:rPr>
                <w:rFonts w:ascii="Century Gothic" w:eastAsia="Century Gothic" w:hAnsi="Century Gothic" w:cs="Century Gothic"/>
                <w:sz w:val="22"/>
              </w:rPr>
              <w:t>15,9%</w:t>
            </w:r>
          </w:p>
        </w:tc>
        <w:tc>
          <w:tcPr>
            <w:tcW w:w="1352" w:type="dxa"/>
          </w:tcPr>
          <w:p w14:paraId="60102BEB" w14:textId="77777777" w:rsidR="000D5962" w:rsidRDefault="00D030A2">
            <w:pPr>
              <w:keepNext/>
              <w:spacing w:after="0"/>
              <w:jc w:val="right"/>
            </w:pPr>
            <w:r>
              <w:rPr>
                <w:rFonts w:ascii="Century Gothic" w:eastAsia="Century Gothic" w:hAnsi="Century Gothic" w:cs="Century Gothic"/>
                <w:sz w:val="22"/>
              </w:rPr>
              <w:t>-44,5%</w:t>
            </w:r>
          </w:p>
        </w:tc>
      </w:tr>
      <w:tr w:rsidR="000D5962" w14:paraId="37E78734" w14:textId="77777777">
        <w:trPr>
          <w:cantSplit/>
          <w:jc w:val="center"/>
        </w:trPr>
        <w:tc>
          <w:tcPr>
            <w:tcW w:w="3603" w:type="dxa"/>
            <w:shd w:val="clear" w:color="auto" w:fill="F2F2F2"/>
          </w:tcPr>
          <w:p w14:paraId="142503E1" w14:textId="77777777" w:rsidR="000D5962" w:rsidRDefault="00D030A2">
            <w:pPr>
              <w:spacing w:after="0"/>
            </w:pPr>
            <w:r>
              <w:rPr>
                <w:rFonts w:ascii="Century Gothic" w:eastAsia="Century Gothic" w:hAnsi="Century Gothic" w:cs="Century Gothic"/>
                <w:b/>
                <w:sz w:val="22"/>
              </w:rPr>
              <w:t>TOTAL</w:t>
            </w:r>
          </w:p>
        </w:tc>
        <w:tc>
          <w:tcPr>
            <w:tcW w:w="1351" w:type="dxa"/>
            <w:shd w:val="clear" w:color="auto" w:fill="F2F2F2"/>
          </w:tcPr>
          <w:p w14:paraId="6B129A1D" w14:textId="77777777" w:rsidR="000D5962" w:rsidRDefault="00D030A2">
            <w:pPr>
              <w:spacing w:after="0"/>
              <w:jc w:val="right"/>
            </w:pPr>
            <w:r>
              <w:rPr>
                <w:rFonts w:ascii="Century Gothic" w:eastAsia="Century Gothic" w:hAnsi="Century Gothic" w:cs="Century Gothic"/>
                <w:b/>
                <w:sz w:val="22"/>
              </w:rPr>
              <w:t>321.623</w:t>
            </w:r>
          </w:p>
        </w:tc>
        <w:tc>
          <w:tcPr>
            <w:tcW w:w="1351" w:type="dxa"/>
            <w:shd w:val="clear" w:color="auto" w:fill="F2F2F2"/>
          </w:tcPr>
          <w:p w14:paraId="43AF4066" w14:textId="77777777" w:rsidR="000D5962" w:rsidRDefault="00D030A2">
            <w:pPr>
              <w:spacing w:after="0"/>
              <w:jc w:val="right"/>
            </w:pPr>
            <w:r>
              <w:rPr>
                <w:rFonts w:ascii="Century Gothic" w:eastAsia="Century Gothic" w:hAnsi="Century Gothic" w:cs="Century Gothic"/>
                <w:b/>
                <w:sz w:val="22"/>
              </w:rPr>
              <w:t>335.140</w:t>
            </w:r>
          </w:p>
        </w:tc>
        <w:tc>
          <w:tcPr>
            <w:tcW w:w="1351" w:type="dxa"/>
            <w:shd w:val="clear" w:color="auto" w:fill="F2F2F2"/>
          </w:tcPr>
          <w:p w14:paraId="35465841" w14:textId="77777777" w:rsidR="000D5962" w:rsidRDefault="00D030A2">
            <w:pPr>
              <w:spacing w:after="0"/>
              <w:jc w:val="right"/>
            </w:pPr>
            <w:r>
              <w:rPr>
                <w:rFonts w:ascii="Century Gothic" w:eastAsia="Century Gothic" w:hAnsi="Century Gothic" w:cs="Century Gothic"/>
                <w:b/>
                <w:sz w:val="22"/>
              </w:rPr>
              <w:t>100,0%</w:t>
            </w:r>
          </w:p>
        </w:tc>
        <w:tc>
          <w:tcPr>
            <w:tcW w:w="1352" w:type="dxa"/>
            <w:shd w:val="clear" w:color="auto" w:fill="F2F2F2"/>
          </w:tcPr>
          <w:p w14:paraId="66B48F3A" w14:textId="77777777" w:rsidR="000D5962" w:rsidRDefault="00D030A2">
            <w:pPr>
              <w:spacing w:after="0"/>
              <w:jc w:val="right"/>
            </w:pPr>
            <w:r>
              <w:rPr>
                <w:rFonts w:ascii="Century Gothic" w:eastAsia="Century Gothic" w:hAnsi="Century Gothic" w:cs="Century Gothic"/>
                <w:b/>
                <w:sz w:val="22"/>
              </w:rPr>
              <w:t>4,2%</w:t>
            </w:r>
          </w:p>
        </w:tc>
      </w:tr>
    </w:tbl>
    <w:p w14:paraId="483A9548" w14:textId="77777777" w:rsidR="000D5962" w:rsidRDefault="00D030A2">
      <w:pPr>
        <w:spacing w:after="0" w:line="240" w:lineRule="auto" w:before="0"/>
        <w:rPr>
          <w:sz w:val="16"/>
          <w:szCs w:val="16"/>
        </w:rPr>
      </w:pPr>
      <w:r>
        <w:rPr>
          <w:rFonts w:ascii="Century Gothic" w:eastAsia="Century Gothic" w:hAnsi="Century Gothic" w:cs="Century Gothic"/>
          <w:b/>
          <w:sz w:val="16"/>
          <w:szCs w:val="16"/>
        </w:rPr>
        <w:t xml:space="preserve">Fuente: </w:t>
      </w:r>
      <w:r>
        <w:rPr>
          <w:rFonts w:ascii="Century Gothic" w:eastAsia="Century Gothic" w:hAnsi="Century Gothic" w:cs="Century Gothic"/>
          <w:sz w:val="16"/>
          <w:szCs w:val="16"/>
        </w:rPr>
        <w:t>Bases de formulación del Proyecto de PGE 2027 (corte al 24-10-2026) y PGE 2026 reformulado</w:t>
      </w:r>
    </w:p>
    <w:p w14:paraId="0A7DB843" w14:textId="77777777" w:rsidR="000D5962" w:rsidRDefault="00D030A2">
      <w:pPr>
        <w:spacing w:after="0" w:line="240" w:lineRule="auto" w:before="0"/>
        <w:rPr>
          <w:sz w:val="16"/>
          <w:szCs w:val="16"/>
        </w:rPr>
      </w:pPr>
      <w:r>
        <w:rPr>
          <w:rFonts w:ascii="Century Gothic" w:eastAsia="Century Gothic" w:hAnsi="Century Gothic" w:cs="Century Gothic"/>
          <w:b/>
          <w:sz w:val="16"/>
          <w:szCs w:val="16"/>
        </w:rPr>
        <w:t xml:space="preserve">Elaboración: </w:t>
      </w:r>
      <w:r>
        <w:rPr>
          <w:rFonts w:ascii="Century Gothic" w:eastAsia="Century Gothic" w:hAnsi="Century Gothic" w:cs="Century Gothic"/>
          <w:sz w:val="16"/>
          <w:szCs w:val="16"/>
        </w:rPr>
        <w:t>MEFP-VPCF-DGPGP-UGPPP</w:t>
      </w:r>
    </w:p>
    <w:p w14:paraId="1412924C" w14:textId="77777777" w:rsidR="000D5962" w:rsidRDefault="00D030A2">
      <w:pPr>
        <w:spacing w:after="0" w:line="240" w:lineRule="auto" w:before="0"/>
        <w:rPr>
          <w:sz w:val="16"/>
          <w:szCs w:val="16"/>
        </w:rPr>
      </w:pPr>
      <w:r>
        <w:rPr>
          <w:rFonts w:ascii="Century Gothic" w:eastAsia="Century Gothic" w:hAnsi="Century Gothic" w:cs="Century Gothic"/>
          <w:sz w:val="16"/>
          <w:szCs w:val="16"/>
        </w:rPr>
        <w:t>(R): PGE 2026 reformulado. (P): Proyecto PGE 2027, cifras preliminares.</w:t>
      </w:r>
    </w:p>
    <w:p w14:paraId="27832AAE" w14:textId="77777777" w:rsidR="000D5962" w:rsidRDefault="000D5962">
      <w:pPr>
        <w:spacing w:after="40"/>
        <w:rPr>
          <w:sz w:val="24"/>
          <w:szCs w:val="24"/>
        </w:rPr>
      </w:pPr>
    </w:p>
    <w:p w14:paraId="6E090A1C" w14:textId="77777777" w:rsidR="000D5962" w:rsidRDefault="00D030A2">
      <w:pPr>
        <w:pStyle w:val="Ttulo3"/>
        <w:spacing w:line="288" w:lineRule="auto"/>
        <w:rPr>
          <w:sz w:val="24"/>
          <w:szCs w:val="24"/>
        </w:rPr>
      </w:pPr>
      <w:r w:rsidRPr="000159EE">
        <w:rPr>
          <w:rFonts w:ascii="Century Gothic" w:eastAsia="Century Gothic" w:hAnsi="Century Gothic" w:cs="Century Gothic"/>
          <w:sz w:val="24"/>
          <w:highlight w:val="green"/>
          <w:szCs w:val="24"/>
        </w:rPr>
        <w:t>3.5.2. Ingresos Corrientes (FERNANDO)</w:t>
      </w:r>
    </w:p>
    <w:p w14:paraId="6BD5B726" w14:textId="77777777" w:rsidR="000D5962" w:rsidRDefault="00D030A2">
      <w:pPr>
        <w:spacing w:line="288" w:lineRule="auto"/>
        <w:jc w:val="both"/>
        <w:rPr>
          <w:sz w:val="24"/>
          <w:szCs w:val="24"/>
        </w:rPr>
      </w:pPr>
      <w:r>
        <w:rPr>
          <w:rFonts w:ascii="Century Gothic" w:eastAsia="Century Gothic" w:hAnsi="Century Gothic" w:cs="Century Gothic"/>
          <w:sz w:val="24"/>
          <w:szCs w:val="24"/>
        </w:rPr>
        <w:t xml:space="preserve">Los Ingresos Corrientes consolidados alcanzan Bs201.016 millones, el 60,0% del total de recursos. Destacan los Ingresos de Operación de las empresas públicas, con Bs98.406 millones (21,1% más que en 2026), de los cuales Yacimientos Petrolíferos Fiscales Bolivianos (YPFB) concentra Bs71.240 millones</w:t>
      </w:r>
      <w:r>
        <w:rPr>
          <w:rFonts w:ascii="Century Gothic" w:eastAsia="Century Gothic" w:hAnsi="Century Gothic" w:cs="Century Gothic"/>
          <w:sz w:val="24"/>
          <w:highlight w:val="yellow"/>
          <w:szCs w:val="24"/>
        </w:rPr>
        <w:t xml:space="preserve"/>
      </w:r>
      <w:r>
        <w:rPr>
          <w:rFonts w:ascii="Century Gothic" w:eastAsia="Century Gothic" w:hAnsi="Century Gothic" w:cs="Century Gothic"/>
          <w:sz w:val="24"/>
          <w:szCs w:val="24"/>
        </w:rPr>
        <w:t>, y los Ingresos Tributarios, con Bs68.744 millones, 7,4% más que en 2026.</w:t>
      </w:r>
    </w:p>
    <w:p w14:paraId="00E02B10" w14:textId="77777777" w:rsidR="000D5962" w:rsidRDefault="00D030A2">
      <w:pPr>
        <w:spacing w:line="288" w:lineRule="auto"/>
        <w:jc w:val="both"/>
        <w:rPr>
          <w:sz w:val="24"/>
          <w:szCs w:val="24"/>
        </w:rPr>
      </w:pPr>
      <w:r>
        <w:rPr>
          <w:rFonts w:ascii="Century Gothic" w:eastAsia="Century Gothic" w:hAnsi="Century Gothic" w:cs="Century Gothic"/>
          <w:sz w:val="24"/>
          <w:szCs w:val="24"/>
        </w:rPr>
        <w:t xml:space="preserve">La recaudación tributaria sin IDH ni IEHD prevista para 2027 alcanza Bs61.200 millones. Los principales impuestos son IVA MI con Bs14.859 millones, IUE con Bs14.508 millones, RESTO con Bs11.055 millones y IVA M con Bs10.146 millones (ver Gráfico N° 9).</w:t>
      </w:r>
      <w:r>
        <w:rPr>
          <w:rFonts w:ascii="Century Gothic" w:eastAsia="Century Gothic" w:hAnsi="Century Gothic" w:cs="Century Gothic"/>
          <w:sz w:val="24"/>
          <w:highlight w:val="yellow"/>
          <w:szCs w:val="24"/>
        </w:rPr>
        <w:t xml:space="preserve"/>
      </w:r>
    </w:p>
    <w:p w14:paraId="32E0BAD6" w14:textId="77777777" w:rsidR="000D5962" w:rsidRDefault="00D030A2">
      <w:pPr>
        <w:keepNext/>
        <w:spacing w:after="0" w:line="288" w:lineRule="auto"/>
        <w:jc w:val="center"/>
        <w:rPr>
          <w:sz w:val="24"/>
          <w:szCs w:val="24"/>
        </w:rPr>
      </w:pPr>
      <w:r>
        <w:rPr>
          <w:rFonts w:ascii="Century Gothic" w:eastAsia="Century Gothic" w:hAnsi="Century Gothic" w:cs="Century Gothic"/>
          <w:b/>
          <w:sz w:val="24"/>
          <w:szCs w:val="24"/>
        </w:rPr>
        <w:lastRenderedPageBreak/>
        <w:t xml:space="preserve">Gráfico N° 9: Ingresos tributarios sin IDH ni IEHD, 2027 (P)</w:t>
      </w:r>
    </w:p>
    <w:p w14:paraId="726C7C28" w14:textId="77777777" w:rsidR="000D5962" w:rsidRDefault="00D030A2">
      <w:pPr>
        <w:keepNext/>
        <w:spacing w:after="40" w:line="288" w:lineRule="auto"/>
        <w:jc w:val="center"/>
        <w:rPr>
          <w:sz w:val="24"/>
          <w:szCs w:val="24"/>
        </w:rPr>
      </w:pPr>
      <w:r>
        <w:rPr>
          <w:rFonts w:ascii="Century Gothic" w:eastAsia="Century Gothic" w:hAnsi="Century Gothic" w:cs="Century Gothic"/>
          <w:i/>
          <w:sz w:val="24"/>
          <w:szCs w:val="24"/>
        </w:rPr>
        <w:t>(En millones de bolivianos y porcentaje)</w:t>
      </w:r>
    </w:p>
    <w:p w14:paraId="46E3FCC2" w14:textId="77777777" w:rsidR="000D5962" w:rsidRDefault="00D030A2">
      <w:pPr>
        <w:keepNext/>
        <w:jc w:val="center"/>
        <w:rPr>
          <w:sz w:val="24"/>
          <w:szCs w:val="24"/>
        </w:rPr>
      </w:pPr>
      <w:r>
        <w:rPr>
          <w:rFonts w:ascii="Century Gothic" w:eastAsia="Century Gothic" w:hAnsi="Century Gothic" w:cs="Century Gothic"/>
          <w:noProof/>
          <w:sz w:val="22"/>
        </w:rPr>
        <w:drawing>
          <wp:inline distT="0" distB="0" distL="0" distR="0" wp14:anchorId="0ECF63BC" wp14:editId="57FB17F4">
            <wp:extent cx="5400000" cy="4200000"/>
            <wp:effectExtent l="0" t="0" r="10795" b="10160"/>
            <wp:docPr id="10" name="Gráfico 8"/>
            <wp:cNvGraphicFramePr/>
            <a:graphic xmlns:a="http://schemas.openxmlformats.org/drawingml/2006/main">
              <a:graphicData uri="http://schemas.openxmlformats.org/drawingml/2006/chart">
                <c:chart xmlns:c="http://schemas.openxmlformats.org/drawingml/2006/chart" r:id="rId36"/>
              </a:graphicData>
            </a:graphic>
          </wp:inline>
        </w:drawing>
      </w:r>
    </w:p>
    <w:p w14:paraId="33648834" w14:textId="77777777" w:rsidR="000D5962" w:rsidRDefault="00D030A2">
      <w:pPr>
        <w:spacing w:after="0" w:line="240" w:lineRule="auto" w:before="0"/>
        <w:rPr>
          <w:sz w:val="16"/>
          <w:szCs w:val="16"/>
        </w:rPr>
      </w:pPr>
      <w:r>
        <w:rPr>
          <w:rFonts w:ascii="Century Gothic" w:eastAsia="Century Gothic" w:hAnsi="Century Gothic" w:cs="Century Gothic"/>
          <w:b/>
          <w:sz w:val="16"/>
          <w:szCs w:val="16"/>
        </w:rPr>
        <w:t xml:space="preserve">Fuente: </w:t>
      </w:r>
      <w:r>
        <w:rPr>
          <w:rFonts w:ascii="Century Gothic" w:eastAsia="Century Gothic" w:hAnsi="Century Gothic" w:cs="Century Gothic"/>
          <w:sz w:val="16"/>
          <w:szCs w:val="16"/>
        </w:rPr>
        <w:t>Proyecto de PGE 2027</w:t>
      </w:r>
    </w:p>
    <w:p w14:paraId="32C9F1AF" w14:textId="77777777" w:rsidR="000D5962" w:rsidRDefault="00D030A2">
      <w:pPr>
        <w:spacing w:after="0" w:line="240" w:lineRule="auto" w:before="0"/>
        <w:rPr>
          <w:sz w:val="16"/>
          <w:szCs w:val="16"/>
        </w:rPr>
      </w:pPr>
      <w:r>
        <w:rPr>
          <w:rFonts w:ascii="Century Gothic" w:eastAsia="Century Gothic" w:hAnsi="Century Gothic" w:cs="Century Gothic"/>
          <w:b/>
          <w:sz w:val="16"/>
          <w:szCs w:val="16"/>
        </w:rPr>
        <w:t xml:space="preserve">Elaboración: </w:t>
      </w:r>
      <w:r>
        <w:rPr>
          <w:rFonts w:ascii="Century Gothic" w:eastAsia="Century Gothic" w:hAnsi="Century Gothic" w:cs="Century Gothic"/>
          <w:sz w:val="16"/>
          <w:szCs w:val="16"/>
        </w:rPr>
        <w:t>MEFP-VPCF-DGPGP-UGPPP</w:t>
      </w:r>
    </w:p>
    <w:p w14:paraId="0849824C" w14:textId="77777777" w:rsidR="000D5962" w:rsidRDefault="00D030A2">
      <w:pPr>
        <w:spacing w:after="0" w:line="240" w:lineRule="auto" w:before="0"/>
        <w:rPr>
          <w:sz w:val="16"/>
          <w:szCs w:val="16"/>
        </w:rPr>
      </w:pPr>
      <w:r>
        <w:rPr>
          <w:rFonts w:ascii="Century Gothic" w:eastAsia="Century Gothic" w:hAnsi="Century Gothic" w:cs="Century Gothic"/>
          <w:sz w:val="16"/>
          <w:szCs w:val="16"/>
        </w:rPr>
        <w:t>(P): Proyecto PGE 2027.</w:t>
      </w:r>
    </w:p>
    <w:p w14:paraId="0718482C" w14:textId="77777777" w:rsidR="000D5962" w:rsidRDefault="00D030A2">
      <w:pPr>
        <w:spacing w:after="0" w:line="240" w:lineRule="auto" w:before="0"/>
        <w:rPr>
          <w:sz w:val="16"/>
          <w:szCs w:val="16"/>
        </w:rPr>
      </w:pPr>
      <w:r>
        <w:rPr>
          <w:rFonts w:ascii="Century Gothic" w:eastAsia="Century Gothic" w:hAnsi="Century Gothic" w:cs="Century Gothic"/>
          <w:sz w:val="16"/>
          <w:szCs w:val="16"/>
        </w:rPr>
        <w:t>IVA MI: IVA mercado interno; IVA M: IVA importaciones; IUE: Impuesto sobre las Utilidades de las Empresas; IT: Impuesto a las Transacciones; GA: Gravamen Arancelario.</w:t>
      </w:r>
    </w:p>
    <w:p w14:paraId="49957A0E" w14:textId="77777777" w:rsidR="000D5962" w:rsidRDefault="000D5962">
      <w:pPr>
        <w:spacing w:after="40"/>
        <w:rPr>
          <w:sz w:val="24"/>
          <w:szCs w:val="24"/>
        </w:rPr>
      </w:pPr>
    </w:p>
    <w:p w14:paraId="06783C2A" w14:textId="77777777" w:rsidR="000D5962" w:rsidRDefault="00D030A2">
      <w:pPr>
        <w:spacing w:line="288" w:lineRule="auto"/>
        <w:jc w:val="both"/>
        <w:rPr>
          <w:sz w:val="24"/>
          <w:szCs w:val="24"/>
        </w:rPr>
      </w:pPr>
      <w:r>
        <w:rPr>
          <w:rFonts w:ascii="Century Gothic" w:eastAsia="Century Gothic" w:hAnsi="Century Gothic" w:cs="Century Gothic"/>
          <w:sz w:val="24"/>
          <w:szCs w:val="24"/>
        </w:rPr>
        <w:t>El PGE contempla también la recaudación de los impuestos de dominio de las ETA establecidos por ley (a la propiedad de bienes inmuebles y vehículos automotores y a sus transferencias, entre otros).</w:t>
      </w:r>
    </w:p>
    <w:p w14:paraId="4DA8B8E6" w14:textId="77777777" w:rsidR="000D5962" w:rsidRDefault="00D030A2">
      <w:pPr>
        <w:pStyle w:val="Ttulo3"/>
        <w:spacing w:line="288" w:lineRule="auto"/>
        <w:rPr>
          <w:sz w:val="24"/>
          <w:szCs w:val="24"/>
        </w:rPr>
      </w:pPr>
      <w:r w:rsidRPr="000159EE">
        <w:rPr>
          <w:rFonts w:ascii="Century Gothic" w:eastAsia="Century Gothic" w:hAnsi="Century Gothic" w:cs="Century Gothic"/>
          <w:sz w:val="24"/>
          <w:highlight w:val="green"/>
          <w:szCs w:val="24"/>
        </w:rPr>
        <w:t>3.5.3. Ingresos de Capital y Otras Fuentes (FERNANDO)</w:t>
      </w:r>
    </w:p>
    <w:p w14:paraId="5CCA3EBF" w14:textId="77777777" w:rsidR="000D5962" w:rsidRDefault="00D030A2">
      <w:pPr>
        <w:spacing w:line="288" w:lineRule="auto"/>
        <w:jc w:val="both"/>
        <w:rPr>
          <w:sz w:val="24"/>
          <w:szCs w:val="24"/>
        </w:rPr>
      </w:pPr>
      <w:r>
        <w:rPr>
          <w:rFonts w:ascii="Century Gothic" w:eastAsia="Century Gothic" w:hAnsi="Century Gothic" w:cs="Century Gothic"/>
          <w:sz w:val="24"/>
          <w:szCs w:val="24"/>
        </w:rPr>
        <w:t>Los Ingresos de Capital ascienden a Bs671 millones (0,2% del total) y corresponden a Otros Recursos de Capital (Bs393 millones), Donaciones de Capital (Bs268 millones) y Transferencias de Capital (Bs10 millones).</w:t>
      </w:r>
    </w:p>
    <w:p w14:paraId="55D61481" w14:textId="77777777" w:rsidR="000D5962" w:rsidRDefault="00D030A2">
      <w:pPr>
        <w:spacing w:line="288" w:lineRule="auto"/>
        <w:jc w:val="both"/>
        <w:rPr>
          <w:sz w:val="24"/>
          <w:szCs w:val="24"/>
        </w:rPr>
      </w:pPr>
      <w:r>
        <w:rPr>
          <w:rFonts w:ascii="Century Gothic" w:eastAsia="Century Gothic" w:hAnsi="Century Gothic" w:cs="Century Gothic"/>
          <w:sz w:val="24"/>
          <w:szCs w:val="24"/>
        </w:rPr>
        <w:t xml:space="preserve">Las Fuentes Financieras representan el 39,8% del presupuesto consolidado de recursos, con Bs133.453 millones: el Financiamiento Externo alcanza Bs80.106 millones y Otras Fuentes Internas Bs53.347 millones, 44,5% menos que en 2026.</w:t>
      </w:r>
      <w:r>
        <w:rPr>
          <w:rFonts w:ascii="Century Gothic" w:eastAsia="Century Gothic" w:hAnsi="Century Gothic" w:cs="Century Gothic"/>
          <w:sz w:val="24"/>
          <w:highlight w:val="yellow"/>
          <w:szCs w:val="24"/>
        </w:rPr>
        <w:t xml:space="preserve"/>
      </w:r>
    </w:p>
    <w:p w14:paraId="10DD8104" w14:textId="77777777" w:rsidR="000D5962" w:rsidRDefault="00D030A2">
      <w:pPr>
        <w:pStyle w:val="Ttulo2"/>
        <w:spacing w:line="288" w:lineRule="auto"/>
        <w:rPr>
          <w:sz w:val="24"/>
          <w:szCs w:val="24"/>
        </w:rPr>
      </w:pPr>
      <w:r>
        <w:rPr>
          <w:rFonts w:ascii="Century Gothic" w:eastAsia="Century Gothic" w:hAnsi="Century Gothic" w:cs="Century Gothic"/>
          <w:szCs w:val="24"/>
          <w:sz w:val="24"/>
        </w:rPr>
        <w:t>3.6. Presupuesto de Gastos (DANIELA)</w:t>
      </w:r>
    </w:p>
    <w:p w14:paraId="1CAB3C5D" w14:textId="77777777" w:rsidR="000D5962" w:rsidRDefault="00D030A2">
      <w:pPr>
        <w:pStyle w:val="Ttulo3"/>
        <w:spacing w:line="288" w:lineRule="auto"/>
        <w:rPr>
          <w:sz w:val="24"/>
          <w:szCs w:val="24"/>
        </w:rPr>
      </w:pPr>
      <w:r>
        <w:rPr>
          <w:rFonts w:ascii="Century Gothic" w:eastAsia="Century Gothic" w:hAnsi="Century Gothic" w:cs="Century Gothic"/>
          <w:sz w:val="24"/>
          <w:szCs w:val="24"/>
        </w:rPr>
        <w:t>3.6.1. Presupuesto Consolidado de Gastos (DANIELA)</w:t>
      </w:r>
    </w:p>
    <w:p w14:paraId="70378151" w14:textId="6F63A186" w:rsidR="000D5962" w:rsidRDefault="00D030A2">
      <w:pPr>
        <w:spacing w:line="288" w:lineRule="auto"/>
        <w:jc w:val="both"/>
        <w:rPr>
          <w:sz w:val="24"/>
          <w:szCs w:val="24"/>
        </w:rPr>
      </w:pPr>
      <w:r>
        <w:rPr>
          <w:rFonts w:ascii="Century Gothic" w:eastAsia="Century Gothic" w:hAnsi="Century Gothic" w:cs="Century Gothic"/>
          <w:sz w:val="24"/>
          <w:szCs w:val="24"/>
        </w:rPr>
        <w:t xml:space="preserve">El presupuesto consolidado de gastos asciende a </w:t>
      </w:r>
      <w:r w:rsidR="00D118E2" w:rsidRPr="006C0C66">
        <w:rPr>
          <w:rFonts w:ascii="Century Gothic" w:eastAsia="Century Gothic" w:hAnsi="Century Gothic" w:cs="Century Gothic"/>
          <w:sz w:val="24"/>
          <w:lang w:val="es-BO"/>
          <w:szCs w:val="24"/>
        </w:rPr>
        <w:t>Bs335.1</w:t>
      </w:r>
      <w:r w:rsidR="00AB1F61">
        <w:rPr>
          <w:rFonts w:ascii="Century Gothic" w:eastAsia="Century Gothic" w:hAnsi="Century Gothic" w:cs="Century Gothic"/>
          <w:sz w:val="24"/>
          <w:lang w:val="es-BO"/>
          <w:szCs w:val="24"/>
        </w:rPr>
        <w:t xml:space="preserve">40 millones </w:t>
      </w:r>
      <w:r w:rsidR="00D118E2">
        <w:rPr>
          <w:rFonts w:ascii="Century Gothic" w:eastAsia="Century Gothic" w:hAnsi="Century Gothic" w:cs="Century Gothic"/>
          <w:color w:val="000000"/>
          <w:sz w:val="24"/>
          <w:szCs w:val="24"/>
        </w:rPr>
        <w:t xml:space="preserve">de los cuales </w:t>
      </w:r>
      <w:r>
        <w:rPr>
          <w:rFonts w:ascii="Century Gothic" w:eastAsia="Century Gothic" w:hAnsi="Century Gothic" w:cs="Century Gothic"/>
          <w:sz w:val="24"/>
          <w:szCs w:val="24"/>
        </w:rPr>
        <w:t xml:space="preserve">los Gastos Corrientes representan el </w:t>
      </w:r>
      <w:r w:rsidR="00D118E2">
        <w:rPr>
          <w:rFonts w:ascii="Century Gothic" w:eastAsia="Century Gothic" w:hAnsi="Century Gothic" w:cs="Century Gothic"/>
          <w:sz w:val="24"/>
          <w:szCs w:val="24"/>
        </w:rPr>
        <w:t>68,5</w:t>
      </w:r>
      <w:r w:rsidRPr="00623B9B">
        <w:rPr>
          <w:rFonts w:ascii="Century Gothic" w:eastAsia="Century Gothic" w:hAnsi="Century Gothic" w:cs="Century Gothic"/>
          <w:sz w:val="24"/>
          <w:highlight w:val="yellow"/>
          <w:szCs w:val="24"/>
        </w:rPr>
        <w:t>% (Bs</w:t>
      </w:r>
      <w:r w:rsidR="00AB1F61">
        <w:rPr>
          <w:rFonts w:ascii="Century Gothic" w:eastAsia="Century Gothic" w:hAnsi="Century Gothic" w:cs="Century Gothic"/>
          <w:sz w:val="24"/>
          <w:highlight w:val="yellow"/>
          <w:szCs w:val="24"/>
        </w:rPr>
        <w:t xml:space="preserve">229.443 </w:t>
      </w:r>
      <w:r w:rsidRPr="00623B9B">
        <w:rPr>
          <w:rFonts w:ascii="Century Gothic" w:eastAsia="Century Gothic" w:hAnsi="Century Gothic" w:cs="Century Gothic"/>
          <w:sz w:val="24"/>
          <w:highlight w:val="yellow"/>
          <w:szCs w:val="24"/>
        </w:rPr>
        <w:t>millones</w:t>
      </w:r>
      <w:r>
        <w:rPr>
          <w:rFonts w:ascii="Century Gothic" w:eastAsia="Century Gothic" w:hAnsi="Century Gothic" w:cs="Century Gothic"/>
          <w:sz w:val="24"/>
          <w:szCs w:val="24"/>
        </w:rPr>
        <w:t xml:space="preserve">), los Gastos de Capital el </w:t>
      </w:r>
      <w:r w:rsidR="00AB1F61">
        <w:rPr>
          <w:rFonts w:ascii="Century Gothic" w:eastAsia="Century Gothic" w:hAnsi="Century Gothic" w:cs="Century Gothic"/>
          <w:sz w:val="24"/>
          <w:highlight w:val="yellow"/>
          <w:szCs w:val="24"/>
        </w:rPr>
        <w:t>7,0</w:t>
      </w:r>
      <w:r w:rsidRPr="00623B9B">
        <w:rPr>
          <w:rFonts w:ascii="Century Gothic" w:eastAsia="Century Gothic" w:hAnsi="Century Gothic" w:cs="Century Gothic"/>
          <w:sz w:val="24"/>
          <w:highlight w:val="yellow"/>
          <w:szCs w:val="24"/>
        </w:rPr>
        <w:t>% (Bs</w:t>
      </w:r>
      <w:r w:rsidR="00AB1F61">
        <w:rPr>
          <w:rFonts w:ascii="Century Gothic" w:eastAsia="Century Gothic" w:hAnsi="Century Gothic" w:cs="Century Gothic"/>
          <w:sz w:val="24"/>
          <w:highlight w:val="yellow"/>
          <w:szCs w:val="24"/>
        </w:rPr>
        <w:t>23</w:t>
      </w:r>
      <w:r w:rsidR="00623B9B" w:rsidRPr="00623B9B">
        <w:rPr>
          <w:rFonts w:ascii="Century Gothic" w:eastAsia="Century Gothic" w:hAnsi="Century Gothic" w:cs="Century Gothic"/>
          <w:sz w:val="24"/>
          <w:highlight w:val="yellow"/>
          <w:szCs w:val="24"/>
        </w:rPr>
        <w:t>.</w:t>
      </w:r>
      <w:r w:rsidR="00AB1F61">
        <w:rPr>
          <w:rFonts w:ascii="Century Gothic" w:eastAsia="Century Gothic" w:hAnsi="Century Gothic" w:cs="Century Gothic"/>
          <w:sz w:val="24"/>
          <w:highlight w:val="yellow"/>
          <w:szCs w:val="24"/>
        </w:rPr>
        <w:t>478</w:t>
      </w:r>
      <w:r w:rsidRPr="00623B9B">
        <w:rPr>
          <w:rFonts w:ascii="Century Gothic" w:eastAsia="Century Gothic" w:hAnsi="Century Gothic" w:cs="Century Gothic"/>
          <w:sz w:val="24"/>
          <w:highlight w:val="yellow"/>
          <w:szCs w:val="24"/>
        </w:rPr>
        <w:t>millones</w:t>
      </w:r>
      <w:r>
        <w:rPr>
          <w:rFonts w:ascii="Century Gothic" w:eastAsia="Century Gothic" w:hAnsi="Century Gothic" w:cs="Century Gothic"/>
          <w:sz w:val="24"/>
          <w:szCs w:val="24"/>
        </w:rPr>
        <w:t xml:space="preserve">) y los Usos de Fondos </w:t>
      </w:r>
      <w:r w:rsidRPr="00623B9B">
        <w:rPr>
          <w:rFonts w:ascii="Century Gothic" w:eastAsia="Century Gothic" w:hAnsi="Century Gothic" w:cs="Century Gothic"/>
          <w:sz w:val="24"/>
          <w:highlight w:val="yellow"/>
          <w:szCs w:val="24"/>
        </w:rPr>
        <w:t xml:space="preserve">el </w:t>
      </w:r>
      <w:r w:rsidR="00AB1F61">
        <w:rPr>
          <w:rFonts w:ascii="Century Gothic" w:eastAsia="Century Gothic" w:hAnsi="Century Gothic" w:cs="Century Gothic"/>
          <w:sz w:val="24"/>
          <w:highlight w:val="yellow"/>
          <w:szCs w:val="24"/>
        </w:rPr>
        <w:t>24,5</w:t>
      </w:r>
      <w:r w:rsidRPr="00623B9B">
        <w:rPr>
          <w:rFonts w:ascii="Century Gothic" w:eastAsia="Century Gothic" w:hAnsi="Century Gothic" w:cs="Century Gothic"/>
          <w:sz w:val="24"/>
          <w:highlight w:val="yellow"/>
          <w:szCs w:val="24"/>
        </w:rPr>
        <w:t>% (</w:t>
      </w:r>
      <w:r w:rsidR="00AB1F61">
        <w:rPr>
          <w:rFonts w:ascii="Century Gothic" w:eastAsia="Century Gothic" w:hAnsi="Century Gothic" w:cs="Century Gothic"/>
          <w:sz w:val="24"/>
          <w:highlight w:val="yellow"/>
          <w:szCs w:val="24"/>
        </w:rPr>
        <w:t>82.219</w:t>
      </w:r>
      <w:r w:rsidRPr="00623B9B">
        <w:rPr>
          <w:rFonts w:ascii="Century Gothic" w:eastAsia="Century Gothic" w:hAnsi="Century Gothic" w:cs="Century Gothic"/>
          <w:sz w:val="24"/>
          <w:highlight w:val="yellow"/>
          <w:szCs w:val="24"/>
        </w:rPr>
        <w:t xml:space="preserve"> millones</w:t>
      </w:r>
      <w:r>
        <w:rPr>
          <w:rFonts w:ascii="Century Gothic" w:eastAsia="Century Gothic" w:hAnsi="Century Gothic" w:cs="Century Gothic"/>
          <w:sz w:val="24"/>
          <w:szCs w:val="24"/>
        </w:rPr>
        <w:t xml:space="preserve">) </w:t>
      </w:r>
      <w:r w:rsidRPr="00AB1F61">
        <w:rPr>
          <w:rFonts w:ascii="Century Gothic" w:eastAsia="Century Gothic" w:hAnsi="Century Gothic" w:cs="Century Gothic"/>
          <w:sz w:val="24"/>
          <w:highlight w:val="yellow"/>
          <w:szCs w:val="24"/>
        </w:rPr>
        <w:t xml:space="preserve">(ver Tabla N° 5</w:t>
      </w:r>
      <w:r w:rsidR="00AB1F61" w:rsidRPr="00AB1F61">
        <w:rPr>
          <w:rFonts w:ascii="Century Gothic" w:eastAsia="Century Gothic" w:hAnsi="Century Gothic" w:cs="Century Gothic"/>
          <w:sz w:val="24"/>
          <w:highlight w:val="yellow"/>
          <w:szCs w:val="24"/>
        </w:rPr>
        <w:t xml:space="preserve"/>
      </w:r>
      <w:r w:rsidRPr="00AB1F61">
        <w:rPr>
          <w:rFonts w:ascii="Century Gothic" w:eastAsia="Century Gothic" w:hAnsi="Century Gothic" w:cs="Century Gothic"/>
          <w:sz w:val="24"/>
          <w:highlight w:val="yellow"/>
          <w:szCs w:val="24"/>
        </w:rPr>
        <w:t>).</w:t>
      </w:r>
    </w:p>
    <w:p w14:paraId="1C68EFD9" w14:textId="1A6BF8C8" w:rsidR="000D5962" w:rsidRDefault="00D030A2">
      <w:pPr>
        <w:keepNext/>
        <w:spacing w:after="0" w:line="288" w:lineRule="auto"/>
        <w:jc w:val="center"/>
        <w:rPr>
          <w:sz w:val="24"/>
          <w:szCs w:val="24"/>
        </w:rPr>
      </w:pPr>
      <w:r>
        <w:rPr>
          <w:rFonts w:ascii="Century Gothic" w:eastAsia="Century Gothic" w:hAnsi="Century Gothic" w:cs="Century Gothic"/>
          <w:b/>
          <w:sz w:val="24"/>
          <w:szCs w:val="24"/>
        </w:rPr>
        <w:lastRenderedPageBreak/>
        <w:t xml:space="preserve">Tabla N° 5:</w:t>
      </w:r>
      <w:r w:rsidR="00AB1F61">
        <w:rPr>
          <w:rFonts w:ascii="Century Gothic" w:eastAsia="Century Gothic" w:hAnsi="Century Gothic" w:cs="Century Gothic"/>
          <w:b/>
          <w:sz w:val="24"/>
          <w:szCs w:val="24"/>
        </w:rPr>
        <w:t xml:space="preserve"/>
      </w:r>
      <w:r>
        <w:rPr>
          <w:rFonts w:ascii="Century Gothic" w:eastAsia="Century Gothic" w:hAnsi="Century Gothic" w:cs="Century Gothic"/>
          <w:b/>
          <w:sz w:val="24"/>
          <w:szCs w:val="24"/>
        </w:rPr>
        <w:t xml:space="preserve"> Presupuesto consolidado de gastos del PGE 2027 (P)</w:t>
      </w:r>
    </w:p>
    <w:p w14:paraId="00C60F35" w14:textId="77777777" w:rsidR="000D5962" w:rsidRDefault="00D030A2">
      <w:pPr>
        <w:keepNext/>
        <w:spacing w:after="40" w:line="288" w:lineRule="auto"/>
        <w:jc w:val="center"/>
        <w:rPr>
          <w:rFonts w:ascii="Century Gothic" w:eastAsia="Century Gothic" w:hAnsi="Century Gothic" w:cs="Century Gothic"/>
          <w:i/>
          <w:sz w:val="24"/>
          <w:szCs w:val="24"/>
        </w:rPr>
      </w:pPr>
      <w:r>
        <w:rPr>
          <w:rFonts w:ascii="Century Gothic" w:eastAsia="Century Gothic" w:hAnsi="Century Gothic" w:cs="Century Gothic"/>
          <w:i/>
          <w:sz w:val="24"/>
          <w:szCs w:val="24"/>
        </w:rPr>
        <w:t>(En millones de bolivianos y porcentaje)</w:t>
      </w:r>
    </w:p>
    <w:p w14:paraId="28E88720" w14:textId="0435B288" w:rsidR="001106EB" w:rsidRDefault="00705187">
      <w:pPr>
        <w:keepNext/>
        <w:spacing w:after="40" w:line="288" w:lineRule="auto"/>
        <w:jc w:val="center"/>
        <w:rPr>
          <w:sz w:val="24"/>
          <w:szCs w:val="24"/>
        </w:rPr>
      </w:pPr>
      <w:r w:rsidRPr="00705187">
        <w:drawing>
          <wp:inline distT="0" distB="0" distL="0" distR="0" wp14:anchorId="0FAC8E0B" wp14:editId="0AFFD44A">
            <wp:extent cx="5720080" cy="4558030"/>
            <wp:effectExtent l="0" t="0" r="0" b="0"/>
            <wp:docPr id="11"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20080" cy="4558030"/>
                    </a:xfrm>
                    <a:prstGeom prst="rect">
                      <a:avLst/>
                    </a:prstGeom>
                    <a:noFill/>
                    <a:ln>
                      <a:noFill/>
                    </a:ln>
                  </pic:spPr>
                </pic:pic>
              </a:graphicData>
            </a:graphic>
          </wp:inline>
        </w:drawing>
      </w:r>
    </w:p>
    <w:p w14:paraId="4300ABC7" w14:textId="2C1BEE91" w:rsidR="000D5962" w:rsidRDefault="00D030A2">
      <w:pPr>
        <w:spacing w:after="0" w:line="240" w:lineRule="auto" w:before="0"/>
        <w:rPr>
          <w:sz w:val="16"/>
          <w:szCs w:val="16"/>
        </w:rPr>
      </w:pPr>
      <w:r>
        <w:rPr>
          <w:rFonts w:ascii="Century Gothic" w:eastAsia="Century Gothic" w:hAnsi="Century Gothic" w:cs="Century Gothic"/>
          <w:b/>
          <w:sz w:val="16"/>
          <w:szCs w:val="16"/>
        </w:rPr>
        <w:t xml:space="preserve">Fuente: </w:t>
      </w:r>
      <w:r>
        <w:rPr>
          <w:rFonts w:ascii="Century Gothic" w:eastAsia="Century Gothic" w:hAnsi="Century Gothic" w:cs="Century Gothic"/>
          <w:sz w:val="16"/>
          <w:szCs w:val="16"/>
        </w:rPr>
        <w:t>Bases de formulación del Proyecto de PGE 2027 y PGE 2026 reformulado</w:t>
      </w:r>
    </w:p>
    <w:p w14:paraId="0BCABE2C" w14:textId="77777777" w:rsidR="000D5962" w:rsidRDefault="00D030A2">
      <w:pPr>
        <w:spacing w:after="0" w:line="240" w:lineRule="auto" w:before="0"/>
        <w:rPr>
          <w:sz w:val="16"/>
          <w:szCs w:val="16"/>
        </w:rPr>
      </w:pPr>
      <w:r>
        <w:rPr>
          <w:rFonts w:ascii="Century Gothic" w:eastAsia="Century Gothic" w:hAnsi="Century Gothic" w:cs="Century Gothic"/>
          <w:b/>
          <w:sz w:val="16"/>
          <w:szCs w:val="16"/>
        </w:rPr>
        <w:t xml:space="preserve">Elaboración: </w:t>
      </w:r>
      <w:r>
        <w:rPr>
          <w:rFonts w:ascii="Century Gothic" w:eastAsia="Century Gothic" w:hAnsi="Century Gothic" w:cs="Century Gothic"/>
          <w:sz w:val="16"/>
          <w:szCs w:val="16"/>
        </w:rPr>
        <w:t>MEFP-VPCF-DGPGP-UGPPP</w:t>
      </w:r>
    </w:p>
    <w:p w14:paraId="7BEE5F65" w14:textId="77777777" w:rsidR="000D5962" w:rsidRDefault="00D030A2">
      <w:pPr>
        <w:spacing w:after="0" w:line="240" w:lineRule="auto" w:before="0"/>
        <w:rPr>
          <w:sz w:val="16"/>
          <w:szCs w:val="16"/>
        </w:rPr>
      </w:pPr>
      <w:r>
        <w:rPr>
          <w:rFonts w:ascii="Century Gothic" w:eastAsia="Century Gothic" w:hAnsi="Century Gothic" w:cs="Century Gothic"/>
          <w:sz w:val="16"/>
          <w:szCs w:val="16"/>
        </w:rPr>
        <w:t>(R): PGE 2026 reformulado. (P): Proyecto PGE 2027, cifras preliminares.</w:t>
      </w:r>
    </w:p>
    <w:p w14:paraId="72CA142A" w14:textId="77777777" w:rsidR="000D5962" w:rsidRDefault="00D030A2">
      <w:pPr>
        <w:pStyle w:val="Ttulo3"/>
        <w:spacing w:line="288" w:lineRule="auto"/>
        <w:rPr>
          <w:sz w:val="24"/>
          <w:szCs w:val="24"/>
        </w:rPr>
      </w:pPr>
      <w:r>
        <w:rPr>
          <w:rFonts w:ascii="Century Gothic" w:eastAsia="Century Gothic" w:hAnsi="Century Gothic" w:cs="Century Gothic"/>
          <w:sz w:val="24"/>
          <w:szCs w:val="24"/>
        </w:rPr>
        <w:t>3.6.2. Gasto Corriente (DANIELA)</w:t>
      </w:r>
    </w:p>
    <w:p w14:paraId="4D747649" w14:textId="4E06354D" w:rsidR="000D5962" w:rsidRDefault="00D030A2">
      <w:pPr>
        <w:spacing w:line="288" w:lineRule="auto"/>
        <w:jc w:val="both"/>
        <w:rPr>
          <w:sz w:val="24"/>
          <w:szCs w:val="24"/>
        </w:rPr>
      </w:pPr>
      <w:r>
        <w:rPr>
          <w:rFonts w:ascii="Century Gothic" w:eastAsia="Century Gothic" w:hAnsi="Century Gothic" w:cs="Century Gothic"/>
          <w:sz w:val="24"/>
          <w:szCs w:val="24"/>
        </w:rPr>
        <w:t xml:space="preserve">El Gasto Corriente consolidado asciende a </w:t>
      </w:r>
      <w:r w:rsidRPr="00623B9B">
        <w:rPr>
          <w:rFonts w:ascii="Century Gothic" w:eastAsia="Century Gothic" w:hAnsi="Century Gothic" w:cs="Century Gothic"/>
          <w:sz w:val="24"/>
          <w:highlight w:val="yellow"/>
          <w:szCs w:val="24"/>
        </w:rPr>
        <w:t>Bs</w:t>
      </w:r>
      <w:r w:rsidR="007A1FE6">
        <w:rPr>
          <w:rFonts w:ascii="Century Gothic" w:eastAsia="Century Gothic" w:hAnsi="Century Gothic" w:cs="Century Gothic"/>
          <w:sz w:val="24"/>
          <w:highlight w:val="yellow"/>
          <w:szCs w:val="24"/>
        </w:rPr>
        <w:t>229.443</w:t>
      </w:r>
      <w:r w:rsidRPr="00623B9B">
        <w:rPr>
          <w:rFonts w:ascii="Century Gothic" w:eastAsia="Century Gothic" w:hAnsi="Century Gothic" w:cs="Century Gothic"/>
          <w:sz w:val="24"/>
          <w:highlight w:val="yellow"/>
          <w:szCs w:val="24"/>
        </w:rPr>
        <w:t xml:space="preserve"> millones</w:t>
      </w:r>
      <w:r>
        <w:rPr>
          <w:rFonts w:ascii="Century Gothic" w:eastAsia="Century Gothic" w:hAnsi="Century Gothic" w:cs="Century Gothic"/>
          <w:sz w:val="24"/>
          <w:szCs w:val="24"/>
        </w:rPr>
        <w:t xml:space="preserve"> y crece </w:t>
      </w:r>
      <w:r w:rsidR="007A1FE6">
        <w:rPr>
          <w:rFonts w:ascii="Century Gothic" w:eastAsia="Century Gothic" w:hAnsi="Century Gothic" w:cs="Century Gothic"/>
          <w:sz w:val="24"/>
          <w:highlight w:val="yellow"/>
          <w:szCs w:val="24"/>
        </w:rPr>
        <w:t>12</w:t>
      </w:r>
      <w:r w:rsidR="00623B9B" w:rsidRPr="00623B9B">
        <w:rPr>
          <w:rFonts w:ascii="Century Gothic" w:eastAsia="Century Gothic" w:hAnsi="Century Gothic" w:cs="Century Gothic"/>
          <w:sz w:val="24"/>
          <w:highlight w:val="yellow"/>
          <w:szCs w:val="24"/>
        </w:rPr>
        <w:t>,</w:t>
      </w:r>
      <w:r w:rsidR="007A1FE6">
        <w:rPr>
          <w:rFonts w:ascii="Century Gothic" w:eastAsia="Century Gothic" w:hAnsi="Century Gothic" w:cs="Century Gothic"/>
          <w:sz w:val="24"/>
          <w:highlight w:val="yellow"/>
          <w:szCs w:val="24"/>
        </w:rPr>
        <w:t>0</w:t>
      </w:r>
      <w:r w:rsidRPr="00623B9B">
        <w:rPr>
          <w:rFonts w:ascii="Century Gothic" w:eastAsia="Century Gothic" w:hAnsi="Century Gothic" w:cs="Century Gothic"/>
          <w:sz w:val="24"/>
          <w:highlight w:val="yellow"/>
          <w:szCs w:val="24"/>
        </w:rPr>
        <w:t>%</w:t>
      </w:r>
      <w:r>
        <w:rPr>
          <w:rFonts w:ascii="Century Gothic" w:eastAsia="Century Gothic" w:hAnsi="Century Gothic" w:cs="Century Gothic"/>
          <w:sz w:val="24"/>
          <w:szCs w:val="24"/>
        </w:rPr>
        <w:t xml:space="preserve"> respecto al PGE 202</w:t>
      </w:r>
      <w:r w:rsidR="00623B9B">
        <w:rPr>
          <w:rFonts w:ascii="Century Gothic" w:eastAsia="Century Gothic" w:hAnsi="Century Gothic" w:cs="Century Gothic"/>
          <w:sz w:val="24"/>
          <w:szCs w:val="24"/>
        </w:rPr>
        <w:t>6</w:t>
      </w:r>
      <w:r>
        <w:rPr>
          <w:rFonts w:ascii="Century Gothic" w:eastAsia="Century Gothic" w:hAnsi="Century Gothic" w:cs="Century Gothic"/>
          <w:sz w:val="24"/>
          <w:szCs w:val="24"/>
        </w:rPr>
        <w:t xml:space="preserve"> reformulado, explicado principalmente por </w:t>
      </w:r>
      <w:r w:rsidR="00705187">
        <w:rPr>
          <w:rFonts w:ascii="Century Gothic" w:eastAsia="Century Gothic" w:hAnsi="Century Gothic" w:cs="Century Gothic"/>
          <w:sz w:val="24"/>
          <w:szCs w:val="24"/>
        </w:rPr>
        <w:t xml:space="preserve">el incremento de los </w:t>
      </w:r>
      <w:r w:rsidR="00705187">
        <w:rPr>
          <w:rFonts w:ascii="Century Gothic" w:eastAsia="Century Gothic" w:hAnsi="Century Gothic" w:cs="Century Gothic"/>
          <w:sz w:val="24"/>
          <w:szCs w:val="24"/>
        </w:rPr>
        <w:t xml:space="preserve">Intereses de la Deuda </w:t>
      </w:r>
      <w:r w:rsidR="00705187">
        <w:rPr>
          <w:rFonts w:ascii="Century Gothic" w:eastAsia="Century Gothic" w:hAnsi="Century Gothic" w:cs="Century Gothic"/>
          <w:sz w:val="24"/>
          <w:szCs w:val="24"/>
        </w:rPr>
        <w:t>P</w:t>
      </w:r>
      <w:r w:rsidR="00705187">
        <w:rPr>
          <w:rFonts w:ascii="Century Gothic" w:eastAsia="Century Gothic" w:hAnsi="Century Gothic" w:cs="Century Gothic"/>
          <w:sz w:val="24"/>
          <w:szCs w:val="24"/>
        </w:rPr>
        <w:t>ública</w:t>
      </w:r>
      <w:r w:rsidR="00705187">
        <w:rPr>
          <w:rFonts w:ascii="Century Gothic" w:eastAsia="Century Gothic" w:hAnsi="Century Gothic" w:cs="Century Gothic"/>
          <w:sz w:val="24"/>
          <w:szCs w:val="24"/>
        </w:rPr>
        <w:t xml:space="preserve"> de 25,8% que representa un incremento de Bs4.960 millones</w:t>
      </w:r>
      <w:r w:rsidR="00705187">
        <w:rPr>
          <w:rFonts w:ascii="Century Gothic" w:eastAsia="Century Gothic" w:hAnsi="Century Gothic" w:cs="Century Gothic"/>
          <w:sz w:val="24"/>
          <w:szCs w:val="24"/>
        </w:rPr>
        <w:t xml:space="preserve"> </w:t>
      </w:r>
      <w:r w:rsidR="00705187">
        <w:rPr>
          <w:rFonts w:ascii="Century Gothic" w:eastAsia="Century Gothic" w:hAnsi="Century Gothic" w:cs="Century Gothic"/>
          <w:sz w:val="24"/>
          <w:szCs w:val="24"/>
        </w:rPr>
        <w:t xml:space="preserve">y por el gasto en </w:t>
      </w:r>
      <w:r>
        <w:rPr>
          <w:rFonts w:ascii="Century Gothic" w:eastAsia="Century Gothic" w:hAnsi="Century Gothic" w:cs="Century Gothic"/>
          <w:sz w:val="24"/>
          <w:szCs w:val="24"/>
        </w:rPr>
        <w:t>Bienes y Servicios</w:t>
      </w:r>
      <w:r w:rsidR="00705187">
        <w:rPr>
          <w:rFonts w:ascii="Century Gothic" w:eastAsia="Century Gothic" w:hAnsi="Century Gothic" w:cs="Century Gothic"/>
          <w:sz w:val="24"/>
          <w:szCs w:val="24"/>
        </w:rPr>
        <w:t xml:space="preserve"> de 21,1%</w:t>
      </w:r>
      <w:r>
        <w:rPr>
          <w:rFonts w:ascii="Century Gothic" w:eastAsia="Century Gothic" w:hAnsi="Century Gothic" w:cs="Century Gothic"/>
          <w:sz w:val="24"/>
          <w:szCs w:val="24"/>
        </w:rPr>
        <w:t xml:space="preserve">, que suben </w:t>
      </w:r>
      <w:r w:rsidRPr="00623B9B">
        <w:rPr>
          <w:rFonts w:ascii="Century Gothic" w:eastAsia="Century Gothic" w:hAnsi="Century Gothic" w:cs="Century Gothic"/>
          <w:sz w:val="24"/>
          <w:highlight w:val="yellow"/>
          <w:szCs w:val="24"/>
        </w:rPr>
        <w:t>Bs</w:t>
      </w:r>
      <w:r w:rsidR="007A1FE6">
        <w:rPr>
          <w:rFonts w:ascii="Century Gothic" w:eastAsia="Century Gothic" w:hAnsi="Century Gothic" w:cs="Century Gothic"/>
          <w:sz w:val="24"/>
          <w:szCs w:val="24"/>
        </w:rPr>
        <w:t>17.527</w:t>
      </w:r>
      <w:r>
        <w:rPr>
          <w:rFonts w:ascii="Century Gothic" w:eastAsia="Century Gothic" w:hAnsi="Century Gothic" w:cs="Century Gothic"/>
          <w:sz w:val="24"/>
          <w:szCs w:val="24"/>
        </w:rPr>
        <w:t xml:space="preserve"> millones.</w:t>
      </w:r>
    </w:p>
    <w:p w14:paraId="4EE53321" w14:textId="77777777" w:rsidR="000D5962" w:rsidRDefault="00D030A2">
      <w:pPr>
        <w:pStyle w:val="Ttulo3"/>
        <w:spacing w:line="288" w:lineRule="auto"/>
        <w:rPr>
          <w:sz w:val="24"/>
          <w:szCs w:val="24"/>
        </w:rPr>
      </w:pPr>
      <w:r>
        <w:rPr>
          <w:rFonts w:ascii="Century Gothic" w:eastAsia="Century Gothic" w:hAnsi="Century Gothic" w:cs="Century Gothic"/>
          <w:sz w:val="24"/>
          <w:szCs w:val="24"/>
        </w:rPr>
        <w:t>3.6.3. Sueldos y Salarios (DANIELA Y REBECA)</w:t>
      </w:r>
    </w:p>
    <w:p w14:paraId="5A866B2E" w14:textId="3784D4D9" w:rsidR="00D408E5" w:rsidRPr="00D408E5" w:rsidRDefault="00D408E5" w:rsidP="00D408E5">
      <w:pPr>
        <w:spacing w:line="288" w:lineRule="auto"/>
        <w:jc w:val="both"/>
        <w:rPr>
          <w:rFonts w:ascii="Century Gothic" w:hAnsi="Century Gothic" w:cs="Times New Roman"/>
          <w:sz w:val="24"/>
          <w:szCs w:val="24"/>
          <w:lang w:val="es-BO"/>
        </w:rPr>
      </w:pPr>
      <w:r w:rsidRPr="00D408E5">
        <w:rPr>
          <w:rFonts w:ascii="Century Gothic" w:hAnsi="Century Gothic" w:cs="Times New Roman"/>
          <w:sz w:val="24"/>
          <w:szCs w:val="24"/>
          <w:lang w:val="es-BO"/>
        </w:rPr>
        <w:t>Para la gestión 2027, el presupuesto consolidado destinado a Sueldos y Salarios asciende a Bs 57.987,9 millones, lo que representa un incremento del 6,1% respecto a la gestión 2026, cuyo presupuesto alcanzó a Bs 54.678,2 millones, equivalente a una variación absoluta de Bs 3.309,7 millones.</w:t>
      </w:r>
    </w:p>
    <w:p w14:paraId="7DE65DDF" w14:textId="77777777" w:rsidR="00D408E5" w:rsidRDefault="00D408E5" w:rsidP="00D408E5">
      <w:pPr>
        <w:jc w:val="both"/>
        <w:rPr>
          <w:sz w:val="24"/>
          <w:szCs w:val="24"/>
        </w:rPr>
      </w:pPr>
    </w:p>
    <w:p w14:paraId="58C4F568" w14:textId="04FF8B0F" w:rsidR="004734BF" w:rsidRPr="00723FAE" w:rsidRDefault="004734BF" w:rsidP="004734BF">
      <w:pPr>
        <w:jc w:val="center"/>
        <w:rPr>
          <w:rFonts w:ascii="Century Gothic" w:hAnsi="Century Gothic"/>
          <w:b/>
          <w:bCs/>
          <w:color w:val="000000" w:themeColor="text1"/>
          <w:szCs w:val="24"/>
          <w:sz w:val="24"/>
        </w:rPr>
      </w:pPr>
      <w:r>
        <w:rPr>
          <w:rFonts w:ascii="Century Gothic" w:hAnsi="Century Gothic"/>
          <w:b/>
          <w:bCs/>
          <w:color w:val="000000" w:themeColor="text1"/>
          <w:szCs w:val="24"/>
          <w:sz w:val="24"/>
        </w:rPr>
        <w:t xml:space="preserve">Gráfico N° 10:</w:t>
      </w:r>
      <w:r w:rsidRPr="00E23DB1">
        <w:rPr>
          <w:rFonts w:ascii="Century Gothic" w:hAnsi="Century Gothic"/>
          <w:b/>
          <w:bCs/>
          <w:color w:val="000000" w:themeColor="text1"/>
          <w:szCs w:val="24"/>
          <w:highlight w:val="green"/>
          <w:sz w:val="24"/>
        </w:rPr>
        <w:t xml:space="preserve"/>
      </w:r>
      <w:r>
        <w:rPr>
          <w:rFonts w:ascii="Century Gothic" w:hAnsi="Century Gothic"/>
          <w:b/>
          <w:bCs/>
          <w:color w:val="000000" w:themeColor="text1"/>
          <w:szCs w:val="24"/>
          <w:sz w:val="24"/>
        </w:rPr>
        <w:t xml:space="preserve"> </w:t>
      </w:r>
      <w:r w:rsidRPr="00723FAE">
        <w:rPr>
          <w:rFonts w:ascii="Century Gothic" w:hAnsi="Century Gothic"/>
          <w:b/>
          <w:bCs/>
          <w:color w:val="000000" w:themeColor="text1"/>
          <w:szCs w:val="24"/>
          <w:sz w:val="24"/>
        </w:rPr>
        <w:t xml:space="preserve">Sueldos y </w:t>
      </w:r>
      <w:r>
        <w:rPr>
          <w:rFonts w:ascii="Century Gothic" w:hAnsi="Century Gothic"/>
          <w:b/>
          <w:bCs/>
          <w:color w:val="000000" w:themeColor="text1"/>
          <w:szCs w:val="24"/>
          <w:sz w:val="24"/>
        </w:rPr>
        <w:t>Salarios</w:t>
      </w:r>
      <w:r w:rsidRPr="00723FAE">
        <w:rPr>
          <w:rFonts w:ascii="Century Gothic" w:hAnsi="Century Gothic"/>
          <w:b/>
          <w:bCs/>
          <w:color w:val="000000" w:themeColor="text1"/>
          <w:szCs w:val="24"/>
          <w:sz w:val="24"/>
        </w:rPr>
        <w:t>, 202</w:t>
      </w:r>
      <w:r>
        <w:rPr>
          <w:rFonts w:ascii="Century Gothic" w:hAnsi="Century Gothic"/>
          <w:b/>
          <w:bCs/>
          <w:color w:val="000000" w:themeColor="text1"/>
          <w:szCs w:val="24"/>
          <w:sz w:val="24"/>
        </w:rPr>
        <w:t xml:space="preserve">7 </w:t>
      </w:r>
      <w:r w:rsidRPr="00723FAE">
        <w:rPr>
          <w:rFonts w:ascii="Century Gothic" w:hAnsi="Century Gothic"/>
          <w:b/>
          <w:bCs/>
          <w:color w:val="000000" w:themeColor="text1"/>
          <w:szCs w:val="24"/>
          <w:sz w:val="24"/>
        </w:rPr>
        <w:t xml:space="preserve">(P)          </w:t>
      </w:r>
    </w:p>
    <w:p w14:paraId="17076CBA" w14:textId="2831B7B8" w:rsidR="004734BF" w:rsidRPr="00723FAE" w:rsidRDefault="004734BF" w:rsidP="004734BF">
      <w:pPr>
        <w:jc w:val="center"/>
        <w:rPr>
          <w:rFonts w:ascii="Century Gothic" w:hAnsi="Century Gothic"/>
          <w:color w:val="000000" w:themeColor="text1"/>
          <w:sz w:val="24"/>
          <w:szCs w:val="24"/>
        </w:rPr>
      </w:pPr>
      <w:r w:rsidRPr="00723FAE">
        <w:rPr>
          <w:rFonts w:ascii="Century Gothic" w:hAnsi="Century Gothic"/>
          <w:color w:val="000000" w:themeColor="text1"/>
          <w:sz w:val="24"/>
          <w:szCs w:val="24"/>
        </w:rPr>
        <w:t xml:space="preserve">(En </w:t>
      </w:r>
      <w:r>
        <w:rPr>
          <w:rFonts w:ascii="Century Gothic" w:hAnsi="Century Gothic"/>
          <w:color w:val="000000" w:themeColor="text1"/>
          <w:sz w:val="24"/>
          <w:szCs w:val="24"/>
        </w:rPr>
        <w:t>m</w:t>
      </w:r>
      <w:r w:rsidRPr="00723FAE">
        <w:rPr>
          <w:rFonts w:ascii="Century Gothic" w:hAnsi="Century Gothic"/>
          <w:color w:val="000000" w:themeColor="text1"/>
          <w:sz w:val="24"/>
          <w:szCs w:val="24"/>
        </w:rPr>
        <w:t xml:space="preserve">illones de </w:t>
      </w:r>
      <w:r>
        <w:rPr>
          <w:rFonts w:ascii="Century Gothic" w:hAnsi="Century Gothic"/>
          <w:color w:val="000000" w:themeColor="text1"/>
          <w:sz w:val="24"/>
          <w:szCs w:val="24"/>
        </w:rPr>
        <w:t>b</w:t>
      </w:r>
      <w:r w:rsidRPr="00723FAE">
        <w:rPr>
          <w:rFonts w:ascii="Century Gothic" w:hAnsi="Century Gothic"/>
          <w:color w:val="000000" w:themeColor="text1"/>
          <w:sz w:val="24"/>
          <w:szCs w:val="24"/>
        </w:rPr>
        <w:t xml:space="preserve">olivianos y </w:t>
      </w:r>
      <w:r>
        <w:rPr>
          <w:rFonts w:ascii="Century Gothic" w:hAnsi="Century Gothic"/>
          <w:color w:val="000000" w:themeColor="text1"/>
          <w:sz w:val="24"/>
          <w:szCs w:val="24"/>
        </w:rPr>
        <w:t>p</w:t>
      </w:r>
      <w:r w:rsidRPr="00723FAE">
        <w:rPr>
          <w:rFonts w:ascii="Century Gothic" w:hAnsi="Century Gothic"/>
          <w:color w:val="000000" w:themeColor="text1"/>
          <w:sz w:val="24"/>
          <w:szCs w:val="24"/>
        </w:rPr>
        <w:t>orcentaje</w:t>
      </w:r>
      <w:r w:rsidR="005D6277">
        <w:rPr>
          <w:rFonts w:ascii="Century Gothic" w:hAnsi="Century Gothic"/>
          <w:color w:val="000000" w:themeColor="text1"/>
          <w:sz w:val="24"/>
          <w:szCs w:val="24"/>
        </w:rPr>
        <w:t>s</w:t>
      </w:r>
      <w:r w:rsidRPr="00723FAE">
        <w:rPr>
          <w:rFonts w:ascii="Century Gothic" w:hAnsi="Century Gothic"/>
          <w:color w:val="000000" w:themeColor="text1"/>
          <w:sz w:val="24"/>
          <w:szCs w:val="24"/>
        </w:rPr>
        <w:t>)</w:t>
      </w:r>
    </w:p>
    <w:p w14:paraId="4D6B63C5" w14:textId="5259C80B" w:rsidR="009E50D7" w:rsidRPr="00FD73C6" w:rsidRDefault="00F54C39" w:rsidP="00F54C39">
      <w:pPr>
        <w:spacing w:line="288" w:lineRule="auto"/>
        <w:jc w:val="center"/>
        <w:rPr>
          <w:noProof/>
          <w:sz w:val="24"/>
          <w:szCs w:val="24"/>
        </w:rPr>
      </w:pPr>
      <w:r>
        <w:rPr>
          <w:noProof/>
        </w:rPr>
        <w:drawing>
          <wp:inline distT="0" distB="0" distL="0" distR="0" wp14:anchorId="47DFF320" wp14:editId="43F1A8DE">
            <wp:extent cx="3118047" cy="3481705"/>
            <wp:effectExtent l="0" t="0" r="6350" b="4445"/>
            <wp:docPr id="12" name="Gráfico 1">
              <a:extLst xmlns:a="http://schemas.openxmlformats.org/drawingml/2006/main">
                <a:ext uri="{FF2B5EF4-FFF2-40B4-BE49-F238E27FC236}">
                  <a16:creationId xmlns:a16="http://schemas.microsoft.com/office/drawing/2014/main" id="{DAC8AB19-2970-417B-AE73-1AF0736D0D08}"/>
                </a:ext>
              </a:extLst>
            </wp:docPr>
            <wp:cNvGraphicFramePr/>
            <a:graphic xmlns:a="http://schemas.openxmlformats.org/drawingml/2006/main">
              <a:graphicData uri="http://schemas.openxmlformats.org/drawingml/2006/chart">
                <c:chart xmlns:c="http://schemas.openxmlformats.org/drawingml/2006/chart" r:id="rId38"/>
              </a:graphicData>
            </a:graphic>
          </wp:inline>
        </w:drawing>
      </w:r>
      <w:r w:rsidR="00D408E5">
        <w:rPr>
          <w:noProof/>
        </w:rPr>
        <w:drawing>
          <wp:inline distT="0" distB="0" distL="0" distR="0" wp14:anchorId="595C370E" wp14:editId="28E81E8C">
            <wp:extent cx="2163536" cy="3449955"/>
            <wp:effectExtent l="57150" t="57150" r="46355" b="55245"/>
            <wp:docPr id="13" name="Gráfico 2">
              <a:extLst xmlns:a="http://schemas.openxmlformats.org/drawingml/2006/main">
                <a:ext uri="{FF2B5EF4-FFF2-40B4-BE49-F238E27FC236}">
                  <a16:creationId xmlns:a16="http://schemas.microsoft.com/office/drawing/2014/main" id="{219F7796-6E38-40E4-9AAE-FBAC01E5D29B}"/>
                </a:ext>
              </a:extLst>
            </wp:docPr>
            <wp:cNvGraphicFramePr/>
            <a:graphic xmlns:a="http://schemas.openxmlformats.org/drawingml/2006/main">
              <a:graphicData uri="http://schemas.openxmlformats.org/drawingml/2006/chart">
                <c:chart xmlns:c="http://schemas.openxmlformats.org/drawingml/2006/chart" r:id="rId39"/>
              </a:graphicData>
            </a:graphic>
          </wp:inline>
        </w:drawing>
      </w:r>
    </w:p>
    <w:p w14:paraId="5D80008F" w14:textId="440E0A5F" w:rsidR="00FD73C6" w:rsidRPr="000718E1" w:rsidRDefault="004734BF" w:rsidP="00FD73C6">
      <w:pPr>
        <w:spacing w:before="0" w:after="0" w:line="240" w:lineRule="auto"/>
        <w:rPr>
          <w:rFonts w:ascii="Century Gothic" w:hAnsi="Century Gothic"/>
          <w:color w:val="000000" w:themeColor="text1"/>
          <w:sz w:val="16"/>
          <w:szCs w:val="16"/>
        </w:rPr>
      </w:pPr>
      <w:r w:rsidRPr="000718E1">
        <w:rPr>
          <w:rFonts w:ascii="Century Gothic" w:hAnsi="Century Gothic" w:cs="Century Gothic"/>
          <w:color w:val="000000" w:themeColor="text1"/>
          <w:sz w:val="16"/>
          <w:szCs w:val="16"/>
          <w:b/>
        </w:rPr>
        <w:t>Fuente: Proyecto de PGE 20</w:t>
      </w:r>
      <w:r w:rsidR="00FD73C6" w:rsidRPr="000718E1">
        <w:rPr>
          <w:rFonts w:ascii="Century Gothic" w:hAnsi="Century Gothic" w:cs="Century Gothic"/>
          <w:color w:val="000000" w:themeColor="text1"/>
          <w:sz w:val="16"/>
          <w:szCs w:val="16"/>
        </w:rPr>
        <w:t>27</w:t>
      </w:r>
    </w:p>
    <w:p w14:paraId="34DB5C2A" w14:textId="3CA33DA0" w:rsidR="004734BF" w:rsidRPr="000718E1" w:rsidRDefault="004734BF" w:rsidP="00FD73C6">
      <w:pPr>
        <w:spacing w:before="0" w:after="0" w:line="240" w:lineRule="auto"/>
        <w:rPr>
          <w:rFonts w:ascii="Century Gothic" w:hAnsi="Century Gothic"/>
          <w:color w:val="000000" w:themeColor="text1"/>
          <w:sz w:val="16"/>
          <w:szCs w:val="16"/>
        </w:rPr>
      </w:pPr>
      <w:r w:rsidRPr="000718E1">
        <w:rPr>
          <w:rFonts w:ascii="Century Gothic" w:hAnsi="Century Gothic" w:cs="Century Gothic"/>
          <w:color w:val="000000" w:themeColor="text1"/>
          <w:sz w:val="16"/>
          <w:szCs w:val="16"/>
          <w:b/>
        </w:rPr>
        <w:t>Elaboración: MEFP-VPCF-DGPGP-UGPPP</w:t>
      </w:r>
    </w:p>
    <w:p w14:paraId="69B0AF5C" w14:textId="1FC84404" w:rsidR="000718E1" w:rsidRPr="000718E1" w:rsidRDefault="000718E1" w:rsidP="00FD73C6">
      <w:pPr>
        <w:spacing w:before="0" w:after="0" w:line="240" w:lineRule="auto"/>
        <w:rPr>
          <w:rFonts w:ascii="Century Gothic" w:hAnsi="Century Gothic"/>
          <w:color w:val="000000" w:themeColor="text1"/>
          <w:sz w:val="16"/>
          <w:szCs w:val="16"/>
          <w:lang w:val="es-BO"/>
        </w:rPr>
      </w:pPr>
      <w:r w:rsidRPr="000718E1">
        <w:rPr>
          <w:rFonts w:ascii="Century Gothic" w:hAnsi="Century Gothic" w:cs="Century Gothic"/>
          <w:color w:val="000000" w:themeColor="text1"/>
          <w:sz w:val="16"/>
          <w:szCs w:val="16"/>
        </w:rPr>
        <w:t>Resto (*): I</w:t>
      </w:r>
      <w:r w:rsidRPr="000718E1">
        <w:rPr>
          <w:rFonts w:ascii="Century Gothic" w:hAnsi="Century Gothic" w:cs="Century Gothic"/>
          <w:color w:val="000000" w:themeColor="text1"/>
          <w:sz w:val="16"/>
          <w:szCs w:val="16"/>
          <w:lang w:val="es-BO"/>
        </w:rPr>
        <w:t>ncluye Órgano Legislativo, Judicial, Electoral, Empresas Públicas, Universidades Públicas,</w:t>
      </w:r>
      <w:r w:rsidRPr="000718E1">
        <w:rPr>
          <w:rFonts w:ascii="Century Gothic" w:hAnsi="Century Gothic" w:cs="Century Gothic"/>
          <w:color w:val="000000" w:themeColor="text1"/>
          <w:sz w:val="16"/>
          <w:szCs w:val="16"/>
          <w:lang w:val="es-BO"/>
        </w:rPr>
        <w:t xml:space="preserve"> </w:t>
      </w:r>
      <w:r w:rsidRPr="000718E1">
        <w:rPr>
          <w:rFonts w:ascii="Century Gothic" w:hAnsi="Century Gothic" w:cs="Century Gothic"/>
          <w:color w:val="000000" w:themeColor="text1"/>
          <w:sz w:val="16"/>
          <w:szCs w:val="16"/>
          <w:lang w:val="es-BO"/>
        </w:rPr>
        <w:t>Instituciones Financieras y de Seguridad Social</w:t>
      </w:r>
      <w:r w:rsidRPr="000718E1">
        <w:rPr>
          <w:rFonts w:ascii="Century Gothic" w:hAnsi="Century Gothic" w:cs="Century Gothic"/>
          <w:color w:val="000000" w:themeColor="text1"/>
          <w:sz w:val="16"/>
          <w:szCs w:val="16"/>
          <w:lang w:val="es-BO"/>
        </w:rPr>
        <w:t>.</w:t>
      </w:r>
    </w:p>
    <w:p w14:paraId="3508F78B" w14:textId="77777777" w:rsidR="00B80EBC" w:rsidRPr="000718E1" w:rsidRDefault="004734BF" w:rsidP="00B80EBC">
      <w:pPr>
        <w:spacing w:before="0" w:after="0" w:line="240" w:lineRule="auto"/>
        <w:rPr>
          <w:rFonts w:ascii="Century Gothic" w:hAnsi="Century Gothic"/>
          <w:color w:val="000000" w:themeColor="text1"/>
          <w:sz w:val="16"/>
          <w:szCs w:val="16"/>
        </w:rPr>
      </w:pPr>
      <w:r w:rsidRPr="000718E1">
        <w:rPr>
          <w:rFonts w:ascii="Century Gothic" w:hAnsi="Century Gothic" w:cs="Century Gothic"/>
          <w:color w:val="000000" w:themeColor="text1"/>
          <w:sz w:val="16"/>
          <w:szCs w:val="16"/>
        </w:rPr>
        <w:t>(P) Proyecto de PGE 2027</w:t>
      </w:r>
    </w:p>
    <w:p w14:paraId="00F0C108" w14:textId="77777777" w:rsidR="00B80EBC" w:rsidRDefault="00B80EBC" w:rsidP="00B80EBC">
      <w:pPr>
        <w:jc w:val="both"/>
        <w:rPr>
          <w:rFonts w:ascii="Century Gothic" w:hAnsi="Century Gothic"/>
          <w:color w:val="000000" w:themeColor="text1"/>
          <w:sz w:val="24"/>
          <w:szCs w:val="24"/>
        </w:rPr>
      </w:pPr>
    </w:p>
    <w:p w14:paraId="66DDF4AE" w14:textId="76827B05" w:rsidR="00781AF4" w:rsidRDefault="00781AF4" w:rsidP="00781AF4">
      <w:pPr>
        <w:spacing w:line="288" w:lineRule="auto"/>
        <w:jc w:val="both"/>
        <w:rPr>
          <w:rFonts w:ascii="Century Gothic" w:hAnsi="Century Gothic" w:cs="Times New Roman"/>
          <w:sz w:val="24"/>
          <w:szCs w:val="24"/>
          <w:lang w:val="es-BO"/>
        </w:rPr>
      </w:pPr>
      <w:r w:rsidRPr="00781AF4">
        <w:rPr>
          <w:rFonts w:ascii="Century Gothic" w:hAnsi="Century Gothic" w:cs="Times New Roman"/>
          <w:sz w:val="24"/>
          <w:szCs w:val="24"/>
          <w:lang w:val="es-BO"/>
        </w:rPr>
        <w:t>Del total programado para 2027, Bs 45.935,3 millones (79,2%) se concentran en los cuatro sectores de mayor participación: Educación, Salud, Policía y Defensa, incluyendo la previsión del Tesoro General de la Nación (TGN)</w:t>
      </w:r>
      <w:r>
        <w:rPr>
          <w:rFonts w:ascii="Century Gothic" w:hAnsi="Century Gothic" w:cs="Times New Roman"/>
          <w:sz w:val="24"/>
          <w:szCs w:val="24"/>
          <w:lang w:val="es-BO"/>
        </w:rPr>
        <w:t xml:space="preserve"> para los 4 sectores</w:t>
      </w:r>
      <w:r w:rsidRPr="00781AF4">
        <w:rPr>
          <w:rFonts w:ascii="Century Gothic" w:hAnsi="Century Gothic" w:cs="Times New Roman"/>
          <w:sz w:val="24"/>
          <w:szCs w:val="24"/>
          <w:lang w:val="es-BO"/>
        </w:rPr>
        <w:t>. En cuanto a la distribución de estos recursos, Educación concentra Bs 23.400,4 millones (50,9%), destinados principalmente al pago de sueldos y salarios del personal del magisterio fiscal. Por su parte, Salud cuenta con Bs 10.482,1 millones (22,8%), destinados al personal del sector; la Policía Boliviana dispone de Bs 5.210,7 millones (11,3%), mientras que Defensa tiene asignados Bs 2.760,3 millones (6,0%), destinados al personal de las Fuerzas Armadas del Estado. Asimismo, se contempla una asignación de Bs 4.081,7 millones (8,9%) para Previsión del Tesoro General de la Nación (TGN).</w:t>
      </w:r>
    </w:p>
    <w:p w14:paraId="3AAD16FD" w14:textId="77777777" w:rsidR="00781AF4" w:rsidRPr="00781AF4" w:rsidRDefault="00781AF4" w:rsidP="00781AF4">
      <w:pPr>
        <w:spacing w:line="288" w:lineRule="auto"/>
        <w:jc w:val="both"/>
        <w:rPr>
          <w:rFonts w:ascii="Century Gothic" w:hAnsi="Century Gothic" w:cs="Times New Roman"/>
          <w:sz w:val="24"/>
          <w:szCs w:val="24"/>
          <w:lang w:val="es-BO"/>
        </w:rPr>
      </w:pPr>
    </w:p>
    <w:p w14:paraId="24C6D870" w14:textId="159A7830" w:rsidR="00781AF4" w:rsidRDefault="00781AF4" w:rsidP="00781AF4">
      <w:pPr>
        <w:spacing w:line="288" w:lineRule="auto"/>
        <w:jc w:val="both"/>
        <w:rPr>
          <w:rFonts w:ascii="Century Gothic" w:hAnsi="Century Gothic" w:cs="Times New Roman"/>
          <w:sz w:val="24"/>
          <w:szCs w:val="24"/>
          <w:lang w:val="es-BO"/>
        </w:rPr>
      </w:pPr>
      <w:r w:rsidRPr="00781AF4">
        <w:rPr>
          <w:rFonts w:ascii="Century Gothic" w:hAnsi="Century Gothic" w:cs="Times New Roman"/>
          <w:sz w:val="24"/>
          <w:szCs w:val="24"/>
          <w:lang w:val="es-BO"/>
        </w:rPr>
        <w:t xml:space="preserve">Cabe destacar que Educación y Salud concentran conjuntamente Bs 33.882,5 millones, equivalentes al 73,8% del presupuesto asignado a los cuatro sectores, lo que evidencia la importancia de ambos en la distribución de los recursos destinados al pago de sueldos y salarios. Estas asignaciones contribuyen a garantizar la disponibilidad del personal necesario para la continuidad de los servicios de </w:t>
      </w:r>
      <w:r w:rsidRPr="00781AF4">
        <w:rPr>
          <w:rFonts w:ascii="Century Gothic" w:hAnsi="Century Gothic" w:cs="Times New Roman"/>
          <w:sz w:val="24"/>
          <w:szCs w:val="24"/>
          <w:lang w:val="es-BO"/>
        </w:rPr>
        <w:lastRenderedPageBreak/>
        <w:t>educación y salud, fundamentales para atender las necesidades de la población boliviana.</w:t>
      </w:r>
    </w:p>
    <w:p w14:paraId="620175CB" w14:textId="77777777" w:rsidR="00781AF4" w:rsidRPr="00781AF4" w:rsidRDefault="00781AF4" w:rsidP="00781AF4">
      <w:pPr>
        <w:spacing w:line="288" w:lineRule="auto"/>
        <w:jc w:val="both"/>
        <w:rPr>
          <w:rFonts w:ascii="Century Gothic" w:hAnsi="Century Gothic" w:cs="Times New Roman"/>
          <w:sz w:val="24"/>
          <w:szCs w:val="24"/>
          <w:lang w:val="es-BO"/>
        </w:rPr>
      </w:pPr>
    </w:p>
    <w:p w14:paraId="45ED971B" w14:textId="57F1C885" w:rsidR="00781AF4" w:rsidRDefault="00781AF4" w:rsidP="00781AF4">
      <w:pPr>
        <w:spacing w:line="288" w:lineRule="auto"/>
        <w:jc w:val="both"/>
        <w:rPr>
          <w:rFonts w:ascii="Century Gothic" w:hAnsi="Century Gothic" w:cs="Times New Roman"/>
          <w:sz w:val="24"/>
          <w:szCs w:val="24"/>
          <w:lang w:val="es-BO"/>
        </w:rPr>
      </w:pPr>
      <w:r w:rsidRPr="00781AF4">
        <w:rPr>
          <w:rFonts w:ascii="Century Gothic" w:hAnsi="Century Gothic" w:cs="Times New Roman"/>
          <w:sz w:val="24"/>
          <w:szCs w:val="24"/>
          <w:lang w:val="es-BO"/>
        </w:rPr>
        <w:t>Por otra parte, la distribución del presupuesto total, presentada en el gráfico de torta, muestra la participación de l</w:t>
      </w:r>
      <w:r w:rsidR="0079024A">
        <w:rPr>
          <w:rFonts w:ascii="Century Gothic" w:hAnsi="Century Gothic" w:cs="Times New Roman"/>
          <w:sz w:val="24"/>
          <w:szCs w:val="24"/>
          <w:lang w:val="es-BO"/>
        </w:rPr>
        <w:t xml:space="preserve">as </w:t>
      </w:r>
      <w:r w:rsidR="004D2E23">
        <w:rPr>
          <w:rFonts w:ascii="Century Gothic" w:hAnsi="Century Gothic" w:cs="Times New Roman"/>
          <w:sz w:val="24"/>
          <w:szCs w:val="24"/>
          <w:lang w:val="es-BO"/>
        </w:rPr>
        <w:t>I</w:t>
      </w:r>
      <w:r w:rsidRPr="00781AF4">
        <w:rPr>
          <w:rFonts w:ascii="Century Gothic" w:hAnsi="Century Gothic" w:cs="Times New Roman"/>
          <w:sz w:val="24"/>
          <w:szCs w:val="24"/>
          <w:lang w:val="es-BO"/>
        </w:rPr>
        <w:t>nstituciones del Estado</w:t>
      </w:r>
      <w:r w:rsidR="004D2E23">
        <w:rPr>
          <w:rFonts w:ascii="Century Gothic" w:hAnsi="Century Gothic" w:cs="Times New Roman"/>
          <w:sz w:val="24"/>
          <w:szCs w:val="24"/>
          <w:lang w:val="es-BO"/>
        </w:rPr>
        <w:t>; l</w:t>
      </w:r>
      <w:r w:rsidRPr="00781AF4">
        <w:rPr>
          <w:rFonts w:ascii="Century Gothic" w:hAnsi="Century Gothic" w:cs="Times New Roman"/>
          <w:sz w:val="24"/>
          <w:szCs w:val="24"/>
          <w:lang w:val="es-BO"/>
        </w:rPr>
        <w:t xml:space="preserve">as </w:t>
      </w:r>
      <w:r w:rsidR="0079024A">
        <w:rPr>
          <w:rFonts w:ascii="Century Gothic" w:hAnsi="Century Gothic" w:cs="Times New Roman"/>
          <w:sz w:val="24"/>
          <w:szCs w:val="24"/>
          <w:lang w:val="es-BO"/>
        </w:rPr>
        <w:t>E</w:t>
      </w:r>
      <w:r w:rsidRPr="00781AF4">
        <w:rPr>
          <w:rFonts w:ascii="Century Gothic" w:hAnsi="Century Gothic" w:cs="Times New Roman"/>
          <w:sz w:val="24"/>
          <w:szCs w:val="24"/>
          <w:lang w:val="es-BO"/>
        </w:rPr>
        <w:t xml:space="preserve">ntidades </w:t>
      </w:r>
      <w:r w:rsidR="0079024A">
        <w:rPr>
          <w:rFonts w:ascii="Century Gothic" w:hAnsi="Century Gothic" w:cs="Times New Roman"/>
          <w:sz w:val="24"/>
          <w:szCs w:val="24"/>
          <w:lang w:val="es-BO"/>
        </w:rPr>
        <w:t>T</w:t>
      </w:r>
      <w:r w:rsidRPr="00781AF4">
        <w:rPr>
          <w:rFonts w:ascii="Century Gothic" w:hAnsi="Century Gothic" w:cs="Times New Roman"/>
          <w:sz w:val="24"/>
          <w:szCs w:val="24"/>
          <w:lang w:val="es-BO"/>
        </w:rPr>
        <w:t xml:space="preserve">erritoriales </w:t>
      </w:r>
      <w:r w:rsidR="0079024A">
        <w:rPr>
          <w:rFonts w:ascii="Century Gothic" w:hAnsi="Century Gothic" w:cs="Times New Roman"/>
          <w:sz w:val="24"/>
          <w:szCs w:val="24"/>
          <w:lang w:val="es-BO"/>
        </w:rPr>
        <w:t>A</w:t>
      </w:r>
      <w:r w:rsidRPr="00781AF4">
        <w:rPr>
          <w:rFonts w:ascii="Century Gothic" w:hAnsi="Century Gothic" w:cs="Times New Roman"/>
          <w:sz w:val="24"/>
          <w:szCs w:val="24"/>
          <w:lang w:val="es-BO"/>
        </w:rPr>
        <w:t xml:space="preserve">utónomas cuentan con Bs 4.393,8 millones (7,6%); la categoría Resto, con Bs 4.905,8 millones (8,5%), que comprende, a las </w:t>
      </w:r>
      <w:r w:rsidR="0079024A">
        <w:rPr>
          <w:rFonts w:ascii="Century Gothic" w:hAnsi="Century Gothic" w:cs="Times New Roman"/>
          <w:sz w:val="24"/>
          <w:szCs w:val="24"/>
          <w:lang w:val="es-BO"/>
        </w:rPr>
        <w:t>E</w:t>
      </w:r>
      <w:r w:rsidRPr="00781AF4">
        <w:rPr>
          <w:rFonts w:ascii="Century Gothic" w:hAnsi="Century Gothic" w:cs="Times New Roman"/>
          <w:sz w:val="24"/>
          <w:szCs w:val="24"/>
          <w:lang w:val="es-BO"/>
        </w:rPr>
        <w:t xml:space="preserve">mpresas </w:t>
      </w:r>
      <w:r w:rsidR="0079024A">
        <w:rPr>
          <w:rFonts w:ascii="Century Gothic" w:hAnsi="Century Gothic" w:cs="Times New Roman"/>
          <w:sz w:val="24"/>
          <w:szCs w:val="24"/>
          <w:lang w:val="es-BO"/>
        </w:rPr>
        <w:t>P</w:t>
      </w:r>
      <w:r w:rsidRPr="00781AF4">
        <w:rPr>
          <w:rFonts w:ascii="Century Gothic" w:hAnsi="Century Gothic" w:cs="Times New Roman"/>
          <w:sz w:val="24"/>
          <w:szCs w:val="24"/>
          <w:lang w:val="es-BO"/>
        </w:rPr>
        <w:t xml:space="preserve">úblicas, </w:t>
      </w:r>
      <w:r w:rsidR="0079024A">
        <w:rPr>
          <w:rFonts w:ascii="Century Gothic" w:hAnsi="Century Gothic" w:cs="Times New Roman"/>
          <w:sz w:val="24"/>
          <w:szCs w:val="24"/>
          <w:lang w:val="es-BO"/>
        </w:rPr>
        <w:t>U</w:t>
      </w:r>
      <w:r w:rsidRPr="00781AF4">
        <w:rPr>
          <w:rFonts w:ascii="Century Gothic" w:hAnsi="Century Gothic" w:cs="Times New Roman"/>
          <w:sz w:val="24"/>
          <w:szCs w:val="24"/>
          <w:lang w:val="es-BO"/>
        </w:rPr>
        <w:t xml:space="preserve">niversidades </w:t>
      </w:r>
      <w:r w:rsidR="0079024A">
        <w:rPr>
          <w:rFonts w:ascii="Century Gothic" w:hAnsi="Century Gothic" w:cs="Times New Roman"/>
          <w:sz w:val="24"/>
          <w:szCs w:val="24"/>
          <w:lang w:val="es-BO"/>
        </w:rPr>
        <w:t>P</w:t>
      </w:r>
      <w:r w:rsidRPr="00781AF4">
        <w:rPr>
          <w:rFonts w:ascii="Century Gothic" w:hAnsi="Century Gothic" w:cs="Times New Roman"/>
          <w:sz w:val="24"/>
          <w:szCs w:val="24"/>
          <w:lang w:val="es-BO"/>
        </w:rPr>
        <w:t>úblicas, Órgano Judicial</w:t>
      </w:r>
      <w:r w:rsidR="0079024A">
        <w:rPr>
          <w:rFonts w:ascii="Century Gothic" w:hAnsi="Century Gothic" w:cs="Times New Roman"/>
          <w:sz w:val="24"/>
          <w:szCs w:val="24"/>
          <w:lang w:val="es-BO"/>
        </w:rPr>
        <w:t xml:space="preserve">, Electoral, </w:t>
      </w:r>
      <w:r w:rsidRPr="00781AF4">
        <w:rPr>
          <w:rFonts w:ascii="Century Gothic" w:hAnsi="Century Gothic" w:cs="Times New Roman"/>
          <w:sz w:val="24"/>
          <w:szCs w:val="24"/>
          <w:lang w:val="es-BO"/>
        </w:rPr>
        <w:t xml:space="preserve">Legislativo, </w:t>
      </w:r>
      <w:r w:rsidR="0079024A">
        <w:rPr>
          <w:rFonts w:ascii="Century Gothic" w:hAnsi="Century Gothic" w:cs="Times New Roman"/>
          <w:sz w:val="24"/>
          <w:szCs w:val="24"/>
          <w:lang w:val="es-BO"/>
        </w:rPr>
        <w:t>I</w:t>
      </w:r>
      <w:r w:rsidRPr="00781AF4">
        <w:rPr>
          <w:rFonts w:ascii="Century Gothic" w:hAnsi="Century Gothic" w:cs="Times New Roman"/>
          <w:sz w:val="24"/>
          <w:szCs w:val="24"/>
          <w:lang w:val="es-BO"/>
        </w:rPr>
        <w:t xml:space="preserve">nstituciones </w:t>
      </w:r>
      <w:r w:rsidR="0079024A">
        <w:rPr>
          <w:rFonts w:ascii="Century Gothic" w:hAnsi="Century Gothic" w:cs="Times New Roman"/>
          <w:sz w:val="24"/>
          <w:szCs w:val="24"/>
          <w:lang w:val="es-BO"/>
        </w:rPr>
        <w:t>F</w:t>
      </w:r>
      <w:r w:rsidRPr="00781AF4">
        <w:rPr>
          <w:rFonts w:ascii="Century Gothic" w:hAnsi="Century Gothic" w:cs="Times New Roman"/>
          <w:sz w:val="24"/>
          <w:szCs w:val="24"/>
          <w:lang w:val="es-BO"/>
        </w:rPr>
        <w:t xml:space="preserve">inancieras e </w:t>
      </w:r>
      <w:r w:rsidR="0079024A">
        <w:rPr>
          <w:rFonts w:ascii="Century Gothic" w:hAnsi="Century Gothic" w:cs="Times New Roman"/>
          <w:sz w:val="24"/>
          <w:szCs w:val="24"/>
          <w:lang w:val="es-BO"/>
        </w:rPr>
        <w:t>I</w:t>
      </w:r>
      <w:r w:rsidRPr="00781AF4">
        <w:rPr>
          <w:rFonts w:ascii="Century Gothic" w:hAnsi="Century Gothic" w:cs="Times New Roman"/>
          <w:sz w:val="24"/>
          <w:szCs w:val="24"/>
          <w:lang w:val="es-BO"/>
        </w:rPr>
        <w:t xml:space="preserve">nstituciones de </w:t>
      </w:r>
      <w:r w:rsidR="0079024A">
        <w:rPr>
          <w:rFonts w:ascii="Century Gothic" w:hAnsi="Century Gothic" w:cs="Times New Roman"/>
          <w:sz w:val="24"/>
          <w:szCs w:val="24"/>
          <w:lang w:val="es-BO"/>
        </w:rPr>
        <w:t>S</w:t>
      </w:r>
      <w:r w:rsidRPr="00781AF4">
        <w:rPr>
          <w:rFonts w:ascii="Century Gothic" w:hAnsi="Century Gothic" w:cs="Times New Roman"/>
          <w:sz w:val="24"/>
          <w:szCs w:val="24"/>
          <w:lang w:val="es-BO"/>
        </w:rPr>
        <w:t xml:space="preserve">eguridad </w:t>
      </w:r>
      <w:r w:rsidR="0079024A">
        <w:rPr>
          <w:rFonts w:ascii="Century Gothic" w:hAnsi="Century Gothic" w:cs="Times New Roman"/>
          <w:sz w:val="24"/>
          <w:szCs w:val="24"/>
          <w:lang w:val="es-BO"/>
        </w:rPr>
        <w:t>S</w:t>
      </w:r>
      <w:r w:rsidRPr="00781AF4">
        <w:rPr>
          <w:rFonts w:ascii="Century Gothic" w:hAnsi="Century Gothic" w:cs="Times New Roman"/>
          <w:sz w:val="24"/>
          <w:szCs w:val="24"/>
          <w:lang w:val="es-BO"/>
        </w:rPr>
        <w:t xml:space="preserve">ocial; las </w:t>
      </w:r>
      <w:r w:rsidR="0079024A">
        <w:rPr>
          <w:rFonts w:ascii="Century Gothic" w:hAnsi="Century Gothic" w:cs="Times New Roman"/>
          <w:sz w:val="24"/>
          <w:szCs w:val="24"/>
          <w:lang w:val="es-BO"/>
        </w:rPr>
        <w:t>I</w:t>
      </w:r>
      <w:r w:rsidRPr="00781AF4">
        <w:rPr>
          <w:rFonts w:ascii="Century Gothic" w:hAnsi="Century Gothic" w:cs="Times New Roman"/>
          <w:sz w:val="24"/>
          <w:szCs w:val="24"/>
          <w:lang w:val="es-BO"/>
        </w:rPr>
        <w:t xml:space="preserve">nstituciones </w:t>
      </w:r>
      <w:r w:rsidR="0079024A">
        <w:rPr>
          <w:rFonts w:ascii="Century Gothic" w:hAnsi="Century Gothic" w:cs="Times New Roman"/>
          <w:sz w:val="24"/>
          <w:szCs w:val="24"/>
          <w:lang w:val="es-BO"/>
        </w:rPr>
        <w:t>D</w:t>
      </w:r>
      <w:r w:rsidRPr="00781AF4">
        <w:rPr>
          <w:rFonts w:ascii="Century Gothic" w:hAnsi="Century Gothic" w:cs="Times New Roman"/>
          <w:sz w:val="24"/>
          <w:szCs w:val="24"/>
          <w:lang w:val="es-BO"/>
        </w:rPr>
        <w:t>escentralizadas disponen de Bs 1.788,3 millones (3,1%); el Órgano Ejecutivo, de Bs 892,0 millones (1,5%)</w:t>
      </w:r>
      <w:r w:rsidR="0079024A">
        <w:rPr>
          <w:rFonts w:ascii="Century Gothic" w:hAnsi="Century Gothic" w:cs="Times New Roman"/>
          <w:sz w:val="24"/>
          <w:szCs w:val="24"/>
          <w:lang w:val="es-BO"/>
        </w:rPr>
        <w:t xml:space="preserve"> del cual Bs 865,4 millones se destinan a Ministerios del Estado, Bs 24,5 millones para Previsión TGN y Bs 2,1 millones para la Vicepresidencia del Estado</w:t>
      </w:r>
      <w:r w:rsidRPr="00781AF4">
        <w:rPr>
          <w:rFonts w:ascii="Century Gothic" w:hAnsi="Century Gothic" w:cs="Times New Roman"/>
          <w:sz w:val="24"/>
          <w:szCs w:val="24"/>
          <w:lang w:val="es-BO"/>
        </w:rPr>
        <w:t xml:space="preserve">; </w:t>
      </w:r>
      <w:r w:rsidR="004D2E23">
        <w:rPr>
          <w:rFonts w:ascii="Century Gothic" w:hAnsi="Century Gothic" w:cs="Times New Roman"/>
          <w:sz w:val="24"/>
          <w:szCs w:val="24"/>
          <w:lang w:val="es-BO"/>
        </w:rPr>
        <w:t>respecto a</w:t>
      </w:r>
      <w:r w:rsidRPr="00781AF4">
        <w:rPr>
          <w:rFonts w:ascii="Century Gothic" w:hAnsi="Century Gothic" w:cs="Times New Roman"/>
          <w:sz w:val="24"/>
          <w:szCs w:val="24"/>
          <w:lang w:val="es-BO"/>
        </w:rPr>
        <w:t xml:space="preserve"> las </w:t>
      </w:r>
      <w:r w:rsidR="0079024A">
        <w:rPr>
          <w:rFonts w:ascii="Century Gothic" w:hAnsi="Century Gothic" w:cs="Times New Roman"/>
          <w:sz w:val="24"/>
          <w:szCs w:val="24"/>
          <w:lang w:val="es-BO"/>
        </w:rPr>
        <w:t>I</w:t>
      </w:r>
      <w:r w:rsidRPr="00781AF4">
        <w:rPr>
          <w:rFonts w:ascii="Century Gothic" w:hAnsi="Century Gothic" w:cs="Times New Roman"/>
          <w:sz w:val="24"/>
          <w:szCs w:val="24"/>
          <w:lang w:val="es-BO"/>
        </w:rPr>
        <w:t xml:space="preserve">nstituciones de </w:t>
      </w:r>
      <w:r w:rsidR="0079024A">
        <w:rPr>
          <w:rFonts w:ascii="Century Gothic" w:hAnsi="Century Gothic" w:cs="Times New Roman"/>
          <w:sz w:val="24"/>
          <w:szCs w:val="24"/>
          <w:lang w:val="es-BO"/>
        </w:rPr>
        <w:t>C</w:t>
      </w:r>
      <w:r w:rsidRPr="00781AF4">
        <w:rPr>
          <w:rFonts w:ascii="Century Gothic" w:hAnsi="Century Gothic" w:cs="Times New Roman"/>
          <w:sz w:val="24"/>
          <w:szCs w:val="24"/>
          <w:lang w:val="es-BO"/>
        </w:rPr>
        <w:t xml:space="preserve">ontrol y </w:t>
      </w:r>
      <w:r w:rsidR="0079024A">
        <w:rPr>
          <w:rFonts w:ascii="Century Gothic" w:hAnsi="Century Gothic" w:cs="Times New Roman"/>
          <w:sz w:val="24"/>
          <w:szCs w:val="24"/>
          <w:lang w:val="es-BO"/>
        </w:rPr>
        <w:t>D</w:t>
      </w:r>
      <w:r w:rsidRPr="00781AF4">
        <w:rPr>
          <w:rFonts w:ascii="Century Gothic" w:hAnsi="Century Gothic" w:cs="Times New Roman"/>
          <w:sz w:val="24"/>
          <w:szCs w:val="24"/>
          <w:lang w:val="es-BO"/>
        </w:rPr>
        <w:t>efensa del Estado</w:t>
      </w:r>
      <w:r w:rsidR="004D2E23">
        <w:rPr>
          <w:rFonts w:ascii="Century Gothic" w:hAnsi="Century Gothic" w:cs="Times New Roman"/>
          <w:sz w:val="24"/>
          <w:szCs w:val="24"/>
          <w:lang w:val="es-BO"/>
        </w:rPr>
        <w:t xml:space="preserve"> se dispone </w:t>
      </w:r>
      <w:r w:rsidRPr="00781AF4">
        <w:rPr>
          <w:rFonts w:ascii="Century Gothic" w:hAnsi="Century Gothic" w:cs="Times New Roman"/>
          <w:sz w:val="24"/>
          <w:szCs w:val="24"/>
          <w:lang w:val="es-BO"/>
        </w:rPr>
        <w:t xml:space="preserve">de Bs 72,8 millones (0,1%). Estos porcentajes se calculan sobre el presupuesto total </w:t>
      </w:r>
      <w:r w:rsidR="004D2E23">
        <w:rPr>
          <w:rFonts w:ascii="Century Gothic" w:hAnsi="Century Gothic" w:cs="Times New Roman"/>
          <w:sz w:val="24"/>
          <w:szCs w:val="24"/>
          <w:lang w:val="es-BO"/>
        </w:rPr>
        <w:t>de</w:t>
      </w:r>
      <w:r w:rsidRPr="00781AF4">
        <w:rPr>
          <w:rFonts w:ascii="Century Gothic" w:hAnsi="Century Gothic" w:cs="Times New Roman"/>
          <w:sz w:val="24"/>
          <w:szCs w:val="24"/>
          <w:lang w:val="es-BO"/>
        </w:rPr>
        <w:t xml:space="preserve"> Bs 57.987,9 millones y reflejan la participación de cada grupo en la distribución de los recursos destinados a sueldos y salarios.</w:t>
      </w:r>
    </w:p>
    <w:p w14:paraId="2ADDAF4A" w14:textId="77777777" w:rsidR="00781AF4" w:rsidRPr="00781AF4" w:rsidRDefault="00781AF4" w:rsidP="00781AF4">
      <w:pPr>
        <w:spacing w:line="288" w:lineRule="auto"/>
        <w:jc w:val="both"/>
        <w:rPr>
          <w:rFonts w:ascii="Century Gothic" w:hAnsi="Century Gothic" w:cs="Times New Roman"/>
          <w:sz w:val="24"/>
          <w:szCs w:val="24"/>
          <w:lang w:val="es-BO"/>
        </w:rPr>
      </w:pPr>
    </w:p>
    <w:p w14:paraId="1A328991" w14:textId="046FB252" w:rsidR="00781AF4" w:rsidRPr="004D2E23" w:rsidRDefault="004D2E23" w:rsidP="00781AF4">
      <w:pPr>
        <w:spacing w:line="288" w:lineRule="auto"/>
        <w:jc w:val="both"/>
        <w:rPr>
          <w:rFonts w:ascii="Century Gothic" w:hAnsi="Century Gothic" w:cs="Times New Roman"/>
          <w:sz w:val="24"/>
          <w:szCs w:val="24"/>
          <w:lang w:val="es-BO"/>
        </w:rPr>
      </w:pPr>
      <w:r w:rsidRPr="004D2E23">
        <w:rPr>
          <w:rFonts w:ascii="Century Gothic" w:hAnsi="Century Gothic" w:cs="Times New Roman"/>
          <w:sz w:val="24"/>
          <w:szCs w:val="24"/>
          <w:lang w:val="es-BO"/>
        </w:rPr>
        <w:t>En este contexto, el gasto en sueldos y salarios constituye un componente esencial del presupuesto público, al financiar las remuneraciones del personal de las distintas entidades del sector público y contribuir al cumplimiento de sus funciones y competencias, garantizando la continuidad en la prestación de los servicios públicos y la atención de las necesidades de la población boliviana.</w:t>
      </w:r>
    </w:p>
    <w:p w14:paraId="394483B5" w14:textId="77777777" w:rsidR="000D5962" w:rsidRDefault="000D5962">
      <w:pPr>
        <w:spacing w:after="40"/>
        <w:rPr>
          <w:sz w:val="24"/>
          <w:szCs w:val="24"/>
        </w:rPr>
      </w:pPr>
    </w:p>
    <w:p w14:paraId="147D77F2" w14:textId="77777777" w:rsidR="000D5962" w:rsidRDefault="00D030A2">
      <w:pPr>
        <w:pStyle w:val="Ttulo3"/>
        <w:spacing w:line="288" w:lineRule="auto"/>
        <w:rPr>
          <w:sz w:val="24"/>
          <w:szCs w:val="24"/>
        </w:rPr>
      </w:pPr>
      <w:r w:rsidRPr="000159EE">
        <w:rPr>
          <w:rFonts w:ascii="Century Gothic" w:eastAsia="Century Gothic" w:hAnsi="Century Gothic" w:cs="Century Gothic"/>
          <w:sz w:val="24"/>
          <w:highlight w:val="green"/>
          <w:szCs w:val="24"/>
        </w:rPr>
        <w:t>3.6.4. Aportes a la Seguridad Social y Beneficios Sociales (FERNANDO)</w:t>
      </w:r>
    </w:p>
    <w:p w14:paraId="2C6F3371" w14:textId="77777777" w:rsidR="000D5962" w:rsidRDefault="00D030A2">
      <w:pPr>
        <w:spacing w:line="288" w:lineRule="auto"/>
        <w:jc w:val="both"/>
        <w:rPr>
          <w:sz w:val="24"/>
          <w:szCs w:val="24"/>
        </w:rPr>
      </w:pPr>
      <w:r>
        <w:rPr>
          <w:rFonts w:ascii="Century Gothic" w:eastAsia="Century Gothic" w:hAnsi="Century Gothic" w:cs="Century Gothic"/>
          <w:sz w:val="24"/>
          <w:szCs w:val="24"/>
        </w:rPr>
        <w:t>Los Aportes a la Seguridad Social representan el 2,4% del PGE consolidado y ascienden a Bs7.916 millones, correspondientes a los aportes patronales, principalmente de Entidades Descentralizadas (Bs3.008 millones), Órganos del Estado (Bs1.812 millones) y GAD y GAR (Bs791 millones).</w:t>
      </w:r>
    </w:p>
    <w:p w14:paraId="41153631" w14:textId="77777777" w:rsidR="000D5962" w:rsidRDefault="00D030A2">
      <w:pPr>
        <w:spacing w:line="288" w:lineRule="auto"/>
        <w:jc w:val="both"/>
        <w:rPr>
          <w:sz w:val="24"/>
          <w:szCs w:val="24"/>
        </w:rPr>
      </w:pPr>
      <w:r>
        <w:rPr>
          <w:rFonts w:ascii="Century Gothic" w:eastAsia="Century Gothic" w:hAnsi="Century Gothic" w:cs="Century Gothic"/>
          <w:sz w:val="24"/>
          <w:szCs w:val="24"/>
        </w:rPr>
        <w:t>Los Beneficios Sociales por indemnizaciones, desahucios y similares suman Bs122 millones, principalmente de Universidades Públicas (Bs66 millones) y Empresas Públicas (Bs32 millones).</w:t>
      </w:r>
    </w:p>
    <w:p w14:paraId="65CCBBDB" w14:textId="77777777" w:rsidR="000D5962" w:rsidRDefault="00D030A2">
      <w:pPr>
        <w:pStyle w:val="Ttulo3"/>
        <w:spacing w:line="288" w:lineRule="auto"/>
        <w:rPr>
          <w:sz w:val="24"/>
          <w:szCs w:val="24"/>
        </w:rPr>
      </w:pPr>
      <w:r>
        <w:rPr>
          <w:rFonts w:ascii="Century Gothic" w:eastAsia="Century Gothic" w:hAnsi="Century Gothic" w:cs="Century Gothic"/>
          <w:sz w:val="24"/>
          <w:szCs w:val="24"/>
        </w:rPr>
        <w:t>3.6.5. Bienes y Servicios (DANIELA)</w:t>
      </w:r>
    </w:p>
    <w:p w14:paraId="7A4FBA64" w14:textId="117C35FB" w:rsidR="000D5962" w:rsidRDefault="00D030A2">
      <w:pPr>
        <w:spacing w:line="288" w:lineRule="auto"/>
        <w:jc w:val="both"/>
        <w:rPr>
          <w:sz w:val="24"/>
          <w:szCs w:val="24"/>
        </w:rPr>
      </w:pPr>
      <w:r>
        <w:rPr>
          <w:rFonts w:ascii="Century Gothic" w:eastAsia="Century Gothic" w:hAnsi="Century Gothic" w:cs="Century Gothic"/>
          <w:sz w:val="24"/>
          <w:szCs w:val="24"/>
        </w:rPr>
        <w:t xml:space="preserve">El gasto consolidado en Bienes y Servicios alcanza </w:t>
      </w:r>
      <w:r w:rsidRPr="00A12FAA">
        <w:rPr>
          <w:rFonts w:ascii="Century Gothic" w:eastAsia="Century Gothic" w:hAnsi="Century Gothic" w:cs="Century Gothic"/>
          <w:sz w:val="24"/>
          <w:highlight w:val="yellow"/>
          <w:szCs w:val="24"/>
        </w:rPr>
        <w:t>B</w:t>
      </w:r>
      <w:r w:rsidR="00705187">
        <w:rPr>
          <w:rFonts w:ascii="Century Gothic" w:eastAsia="Century Gothic" w:hAnsi="Century Gothic" w:cs="Century Gothic"/>
          <w:sz w:val="24"/>
          <w:highlight w:val="yellow"/>
          <w:szCs w:val="24"/>
        </w:rPr>
        <w:t>s100</w:t>
      </w:r>
      <w:r w:rsidR="00A12FAA" w:rsidRPr="00A12FAA">
        <w:rPr>
          <w:rFonts w:ascii="Century Gothic" w:eastAsia="Century Gothic" w:hAnsi="Century Gothic" w:cs="Century Gothic"/>
          <w:sz w:val="24"/>
          <w:highlight w:val="yellow"/>
          <w:szCs w:val="24"/>
        </w:rPr>
        <w:t>.</w:t>
      </w:r>
      <w:r w:rsidR="00705187">
        <w:rPr>
          <w:rFonts w:ascii="Century Gothic" w:eastAsia="Century Gothic" w:hAnsi="Century Gothic" w:cs="Century Gothic"/>
          <w:sz w:val="24"/>
          <w:szCs w:val="24"/>
        </w:rPr>
        <w:t>400</w:t>
      </w:r>
      <w:r w:rsidR="00A12FAA">
        <w:rPr>
          <w:rFonts w:ascii="Century Gothic" w:eastAsia="Century Gothic" w:hAnsi="Century Gothic" w:cs="Century Gothic"/>
          <w:sz w:val="24"/>
          <w:szCs w:val="24"/>
        </w:rPr>
        <w:t xml:space="preserve"> </w:t>
      </w:r>
      <w:r>
        <w:rPr>
          <w:rFonts w:ascii="Century Gothic" w:eastAsia="Century Gothic" w:hAnsi="Century Gothic" w:cs="Century Gothic"/>
          <w:sz w:val="24"/>
          <w:szCs w:val="24"/>
        </w:rPr>
        <w:t xml:space="preserve">millones, el </w:t>
      </w:r>
      <w:r w:rsidR="00705187">
        <w:rPr>
          <w:rFonts w:ascii="Century Gothic" w:eastAsia="Century Gothic" w:hAnsi="Century Gothic" w:cs="Century Gothic"/>
          <w:sz w:val="24"/>
          <w:highlight w:val="yellow"/>
          <w:szCs w:val="24"/>
        </w:rPr>
        <w:t>30,0</w:t>
      </w:r>
      <w:r w:rsidRPr="00A12FAA">
        <w:rPr>
          <w:rFonts w:ascii="Century Gothic" w:eastAsia="Century Gothic" w:hAnsi="Century Gothic" w:cs="Century Gothic"/>
          <w:sz w:val="24"/>
          <w:highlight w:val="yellow"/>
          <w:szCs w:val="24"/>
        </w:rPr>
        <w:t>%</w:t>
      </w:r>
      <w:r>
        <w:rPr>
          <w:rFonts w:ascii="Century Gothic" w:eastAsia="Century Gothic" w:hAnsi="Century Gothic" w:cs="Century Gothic"/>
          <w:sz w:val="24"/>
          <w:szCs w:val="24"/>
        </w:rPr>
        <w:t xml:space="preserve"> del presupuesto consolidado, </w:t>
      </w:r>
      <w:r w:rsidR="00705187">
        <w:rPr>
          <w:rFonts w:ascii="Century Gothic" w:eastAsia="Century Gothic" w:hAnsi="Century Gothic" w:cs="Century Gothic"/>
          <w:sz w:val="24"/>
          <w:highlight w:val="yellow"/>
          <w:szCs w:val="24"/>
        </w:rPr>
        <w:t>21,1</w:t>
      </w:r>
      <w:r w:rsidRPr="00A12FAA">
        <w:rPr>
          <w:rFonts w:ascii="Century Gothic" w:eastAsia="Century Gothic" w:hAnsi="Century Gothic" w:cs="Century Gothic"/>
          <w:sz w:val="24"/>
          <w:highlight w:val="yellow"/>
          <w:szCs w:val="24"/>
        </w:rPr>
        <w:t>%</w:t>
      </w:r>
      <w:r>
        <w:rPr>
          <w:rFonts w:ascii="Century Gothic" w:eastAsia="Century Gothic" w:hAnsi="Century Gothic" w:cs="Century Gothic"/>
          <w:sz w:val="24"/>
          <w:szCs w:val="24"/>
        </w:rPr>
        <w:t xml:space="preserve"> más que en 2026. YPFB concentra Bs58.562 millones (</w:t>
      </w:r>
      <w:r w:rsidR="00CA1AEC">
        <w:rPr>
          <w:rFonts w:ascii="Century Gothic" w:eastAsia="Century Gothic" w:hAnsi="Century Gothic" w:cs="Century Gothic"/>
          <w:sz w:val="24"/>
          <w:highlight w:val="yellow"/>
          <w:szCs w:val="24"/>
        </w:rPr>
        <w:t>58,3</w:t>
      </w:r>
      <w:r w:rsidRPr="00A12FAA">
        <w:rPr>
          <w:rFonts w:ascii="Century Gothic" w:eastAsia="Century Gothic" w:hAnsi="Century Gothic" w:cs="Century Gothic"/>
          <w:sz w:val="24"/>
          <w:highlight w:val="yellow"/>
          <w:szCs w:val="24"/>
        </w:rPr>
        <w:t>%</w:t>
      </w:r>
      <w:r>
        <w:rPr>
          <w:rFonts w:ascii="Century Gothic" w:eastAsia="Century Gothic" w:hAnsi="Century Gothic" w:cs="Century Gothic"/>
          <w:sz w:val="24"/>
          <w:szCs w:val="24"/>
        </w:rPr>
        <w:t xml:space="preserve"> del total), de los cuales </w:t>
      </w:r>
      <w:r w:rsidR="00CA1AEC" w:rsidRPr="00CA1AEC">
        <w:rPr>
          <w:rFonts w:ascii="Century Gothic" w:eastAsia="Century Gothic" w:hAnsi="Century Gothic" w:cs="Century Gothic"/>
          <w:sz w:val="24"/>
          <w:highlight w:val="yellow"/>
          <w:lang w:val="es-ES"/>
          <w:szCs w:val="24"/>
        </w:rPr>
        <w:t>Bs 42.289 millones</w:t>
      </w:r>
      <w:r w:rsidR="00CA1AEC" w:rsidRPr="00CA1AEC">
        <w:rPr>
          <w:rFonts w:ascii="Century Gothic" w:eastAsia="Century Gothic" w:hAnsi="Century Gothic" w:cs="Century Gothic"/>
          <w:sz w:val="24"/>
          <w:highlight w:val="yellow"/>
          <w:szCs w:val="24"/>
        </w:rPr>
        <w:t xml:space="preserve"> </w:t>
      </w:r>
      <w:r>
        <w:rPr>
          <w:rFonts w:ascii="Century Gothic" w:eastAsia="Century Gothic" w:hAnsi="Century Gothic" w:cs="Century Gothic"/>
          <w:sz w:val="24"/>
          <w:szCs w:val="24"/>
        </w:rPr>
        <w:t>corresponden a la compra de combustibles para su comercialización en el mercado interno (ver Gráfico N° 11).</w:t>
      </w:r>
    </w:p>
    <w:p w14:paraId="5FAE7581" w14:textId="77777777" w:rsidR="000D5962" w:rsidRDefault="00D030A2">
      <w:pPr>
        <w:keepNext/>
        <w:spacing w:after="0" w:line="288" w:lineRule="auto"/>
        <w:jc w:val="center"/>
        <w:rPr>
          <w:sz w:val="24"/>
          <w:szCs w:val="24"/>
        </w:rPr>
      </w:pPr>
      <w:r>
        <w:rPr>
          <w:rFonts w:ascii="Century Gothic" w:eastAsia="Century Gothic" w:hAnsi="Century Gothic" w:cs="Century Gothic"/>
          <w:b/>
          <w:sz w:val="24"/>
          <w:szCs w:val="24"/>
        </w:rPr>
        <w:t>Gráfico N° 11: Presupuesto de bienes y servicios por nivel institucional, 2027 (P)</w:t>
      </w:r>
    </w:p>
    <w:p w14:paraId="42DEB459" w14:textId="3285CCBD" w:rsidR="000D5962" w:rsidRDefault="00D030A2">
      <w:pPr>
        <w:keepNext/>
        <w:spacing w:after="40" w:line="288" w:lineRule="auto"/>
        <w:jc w:val="center"/>
        <w:rPr>
          <w:sz w:val="24"/>
          <w:szCs w:val="24"/>
        </w:rPr>
      </w:pPr>
      <w:r>
        <w:rPr>
          <w:rFonts w:ascii="Century Gothic" w:eastAsia="Century Gothic" w:hAnsi="Century Gothic" w:cs="Century Gothic"/>
          <w:i/>
          <w:sz w:val="24"/>
          <w:szCs w:val="24"/>
        </w:rPr>
        <w:t>(En millones de bolivianos y porcentaje)</w:t>
      </w:r>
      <w:r w:rsidR="00705187" w:rsidRPr="00705187">
        <w:rPr>
          <w:noProof/>
          <w:sz w:val="24"/>
          <w:szCs w:val="24"/>
        </w:rPr>
        <w:t xml:space="preserve"> </w:t>
      </w:r>
      <w:r w:rsidR="00CA1AEC">
        <w:rPr>
          <w:noProof/>
        </w:rPr>
        <w:drawing>
          <wp:inline distT="0" distB="0" distL="0" distR="0" wp14:anchorId="46CF4972" wp14:editId="563E6498">
            <wp:extent cx="6013884" cy="3826774"/>
            <wp:effectExtent l="0" t="0" r="0" b="2540"/>
            <wp:docPr id="14"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025754" cy="3834327"/>
                    </a:xfrm>
                    <a:prstGeom prst="rect">
                      <a:avLst/>
                    </a:prstGeom>
                    <a:noFill/>
                  </pic:spPr>
                </pic:pic>
              </a:graphicData>
            </a:graphic>
          </wp:inline>
        </w:drawing>
      </w:r>
    </w:p>
    <w:p w14:paraId="74B9960B" w14:textId="1C5E85D5" w:rsidR="000D5962" w:rsidRDefault="000D5962">
      <w:pPr>
        <w:keepNext/>
        <w:jc w:val="center"/>
        <w:rPr>
          <w:sz w:val="24"/>
          <w:szCs w:val="24"/>
        </w:rPr>
      </w:pPr>
    </w:p>
    <w:p w14:paraId="0EBE0A6D" w14:textId="77777777" w:rsidR="000D5962" w:rsidRDefault="00D030A2">
      <w:pPr>
        <w:spacing w:after="0" w:line="240" w:lineRule="auto" w:before="0"/>
        <w:rPr>
          <w:sz w:val="16"/>
          <w:szCs w:val="16"/>
        </w:rPr>
      </w:pPr>
      <w:r>
        <w:rPr>
          <w:rFonts w:ascii="Century Gothic" w:eastAsia="Century Gothic" w:hAnsi="Century Gothic" w:cs="Century Gothic"/>
          <w:b/>
          <w:sz w:val="16"/>
          <w:szCs w:val="16"/>
        </w:rPr>
        <w:t xml:space="preserve">Fuente: </w:t>
      </w:r>
      <w:r>
        <w:rPr>
          <w:rFonts w:ascii="Century Gothic" w:eastAsia="Century Gothic" w:hAnsi="Century Gothic" w:cs="Century Gothic"/>
          <w:sz w:val="16"/>
          <w:szCs w:val="16"/>
        </w:rPr>
        <w:t>Bases de formulación del Proyecto de PGE 2027 (corte al 14-10-2026) y PGE 2026 reformulado</w:t>
      </w:r>
    </w:p>
    <w:p w14:paraId="2BA2B6C4" w14:textId="77777777" w:rsidR="000D5962" w:rsidRDefault="00D030A2">
      <w:pPr>
        <w:spacing w:after="0" w:line="240" w:lineRule="auto" w:before="0"/>
        <w:rPr>
          <w:sz w:val="16"/>
          <w:szCs w:val="16"/>
        </w:rPr>
      </w:pPr>
      <w:r>
        <w:rPr>
          <w:rFonts w:ascii="Century Gothic" w:eastAsia="Century Gothic" w:hAnsi="Century Gothic" w:cs="Century Gothic"/>
          <w:b/>
          <w:sz w:val="16"/>
          <w:szCs w:val="16"/>
        </w:rPr>
        <w:t xml:space="preserve">Elaboración: </w:t>
      </w:r>
      <w:r>
        <w:rPr>
          <w:rFonts w:ascii="Century Gothic" w:eastAsia="Century Gothic" w:hAnsi="Century Gothic" w:cs="Century Gothic"/>
          <w:sz w:val="16"/>
          <w:szCs w:val="16"/>
        </w:rPr>
        <w:t>MEFP-VPCF-DGPGP-UGPPP</w:t>
      </w:r>
    </w:p>
    <w:p w14:paraId="1C4A3567" w14:textId="77777777" w:rsidR="000D5962" w:rsidRDefault="00D030A2">
      <w:pPr>
        <w:spacing w:after="0" w:line="240" w:lineRule="auto" w:before="0"/>
        <w:rPr>
          <w:sz w:val="16"/>
          <w:szCs w:val="16"/>
        </w:rPr>
      </w:pPr>
      <w:r>
        <w:rPr>
          <w:rFonts w:ascii="Century Gothic" w:eastAsia="Century Gothic" w:hAnsi="Century Gothic" w:cs="Century Gothic"/>
          <w:sz w:val="16"/>
          <w:szCs w:val="16"/>
        </w:rPr>
        <w:t>(R): PGE 2026 reformulado. (P): Proyecto PGE 2027, cifras preliminares.</w:t>
      </w:r>
    </w:p>
    <w:p w14:paraId="2D2B4A9B" w14:textId="77777777" w:rsidR="000D5962" w:rsidRDefault="000D5962">
      <w:pPr>
        <w:spacing w:after="40"/>
        <w:rPr>
          <w:sz w:val="24"/>
          <w:szCs w:val="24"/>
        </w:rPr>
      </w:pPr>
    </w:p>
    <w:p w14:paraId="70D9DBC5" w14:textId="23781623" w:rsidR="000D5962" w:rsidRDefault="00D030A2">
      <w:pPr>
        <w:spacing w:line="288" w:lineRule="auto"/>
        <w:jc w:val="both"/>
        <w:rPr>
          <w:sz w:val="24"/>
          <w:szCs w:val="24"/>
        </w:rPr>
      </w:pPr>
      <w:r>
        <w:rPr>
          <w:rFonts w:ascii="Century Gothic" w:eastAsia="Century Gothic" w:hAnsi="Century Gothic" w:cs="Century Gothic"/>
          <w:sz w:val="24"/>
          <w:szCs w:val="24"/>
        </w:rPr>
        <w:t>Le siguen Empresas Públicas sin YPFB (</w:t>
      </w:r>
      <w:r w:rsidRPr="00A12FAA">
        <w:rPr>
          <w:rFonts w:ascii="Century Gothic" w:eastAsia="Century Gothic" w:hAnsi="Century Gothic" w:cs="Century Gothic"/>
          <w:sz w:val="24"/>
          <w:highlight w:val="yellow"/>
          <w:szCs w:val="24"/>
        </w:rPr>
        <w:t>Bs</w:t>
      </w:r>
      <w:r w:rsidR="00CA1AEC">
        <w:rPr>
          <w:rFonts w:ascii="Century Gothic" w:eastAsia="Century Gothic" w:hAnsi="Century Gothic" w:cs="Century Gothic"/>
          <w:sz w:val="24"/>
          <w:highlight w:val="yellow"/>
          <w:szCs w:val="24"/>
        </w:rPr>
        <w:t>15.112</w:t>
      </w:r>
      <w:r w:rsidRPr="00A12FAA">
        <w:rPr>
          <w:rFonts w:ascii="Century Gothic" w:eastAsia="Century Gothic" w:hAnsi="Century Gothic" w:cs="Century Gothic"/>
          <w:sz w:val="24"/>
          <w:highlight w:val="yellow"/>
          <w:szCs w:val="24"/>
        </w:rPr>
        <w:t xml:space="preserve"> millones</w:t>
      </w:r>
      <w:r>
        <w:rPr>
          <w:rFonts w:ascii="Century Gothic" w:eastAsia="Century Gothic" w:hAnsi="Century Gothic" w:cs="Century Gothic"/>
          <w:sz w:val="24"/>
          <w:szCs w:val="24"/>
        </w:rPr>
        <w:t xml:space="preserve">), Municipios y GAIOC </w:t>
      </w:r>
      <w:r w:rsidRPr="00A12FAA">
        <w:rPr>
          <w:rFonts w:ascii="Century Gothic" w:eastAsia="Century Gothic" w:hAnsi="Century Gothic" w:cs="Century Gothic"/>
          <w:sz w:val="24"/>
          <w:highlight w:val="yellow"/>
          <w:szCs w:val="24"/>
        </w:rPr>
        <w:t>(Bs</w:t>
      </w:r>
      <w:r w:rsidR="00CA1AEC">
        <w:rPr>
          <w:rFonts w:ascii="Century Gothic" w:eastAsia="Century Gothic" w:hAnsi="Century Gothic" w:cs="Century Gothic"/>
          <w:sz w:val="24"/>
          <w:highlight w:val="yellow"/>
          <w:szCs w:val="24"/>
        </w:rPr>
        <w:t>11.510</w:t>
      </w:r>
      <w:r w:rsidR="00A12FAA" w:rsidRPr="00A12FAA">
        <w:rPr>
          <w:rFonts w:ascii="Century Gothic" w:eastAsia="Century Gothic" w:hAnsi="Century Gothic" w:cs="Century Gothic"/>
          <w:sz w:val="24"/>
          <w:highlight w:val="yellow"/>
          <w:szCs w:val="24"/>
        </w:rPr>
        <w:t xml:space="preserve"> </w:t>
      </w:r>
      <w:r w:rsidRPr="00A12FAA">
        <w:rPr>
          <w:rFonts w:ascii="Century Gothic" w:eastAsia="Century Gothic" w:hAnsi="Century Gothic" w:cs="Century Gothic"/>
          <w:sz w:val="24"/>
          <w:highlight w:val="yellow"/>
          <w:szCs w:val="24"/>
        </w:rPr>
        <w:t>millones)</w:t>
      </w:r>
      <w:r>
        <w:rPr>
          <w:rFonts w:ascii="Century Gothic" w:eastAsia="Century Gothic" w:hAnsi="Century Gothic" w:cs="Century Gothic"/>
          <w:sz w:val="24"/>
          <w:szCs w:val="24"/>
        </w:rPr>
        <w:t xml:space="preserve"> y </w:t>
      </w:r>
      <w:r w:rsidR="00CA1AEC">
        <w:rPr>
          <w:rFonts w:ascii="Century Gothic" w:eastAsia="Century Gothic" w:hAnsi="Century Gothic" w:cs="Century Gothic"/>
          <w:sz w:val="24"/>
          <w:szCs w:val="24"/>
        </w:rPr>
        <w:t>Órganos del Estado</w:t>
      </w:r>
      <w:r>
        <w:rPr>
          <w:rFonts w:ascii="Century Gothic" w:eastAsia="Century Gothic" w:hAnsi="Century Gothic" w:cs="Century Gothic"/>
          <w:sz w:val="24"/>
          <w:szCs w:val="24"/>
        </w:rPr>
        <w:t xml:space="preserve"> (</w:t>
      </w:r>
      <w:r w:rsidRPr="00A12FAA">
        <w:rPr>
          <w:rFonts w:ascii="Century Gothic" w:eastAsia="Century Gothic" w:hAnsi="Century Gothic" w:cs="Century Gothic"/>
          <w:sz w:val="24"/>
          <w:highlight w:val="yellow"/>
          <w:szCs w:val="24"/>
        </w:rPr>
        <w:t>Bs</w:t>
      </w:r>
      <w:r w:rsidR="00CA1AEC">
        <w:rPr>
          <w:rFonts w:ascii="Century Gothic" w:eastAsia="Century Gothic" w:hAnsi="Century Gothic" w:cs="Century Gothic"/>
          <w:sz w:val="24"/>
          <w:highlight w:val="yellow"/>
          <w:szCs w:val="24"/>
        </w:rPr>
        <w:t>4.306</w:t>
      </w:r>
      <w:r w:rsidR="00A12FAA" w:rsidRPr="00A12FAA">
        <w:rPr>
          <w:rFonts w:ascii="Century Gothic" w:eastAsia="Century Gothic" w:hAnsi="Century Gothic" w:cs="Century Gothic"/>
          <w:sz w:val="24"/>
          <w:highlight w:val="yellow"/>
          <w:szCs w:val="24"/>
        </w:rPr>
        <w:t xml:space="preserve"> </w:t>
      </w:r>
      <w:r w:rsidRPr="00A12FAA">
        <w:rPr>
          <w:rFonts w:ascii="Century Gothic" w:eastAsia="Century Gothic" w:hAnsi="Century Gothic" w:cs="Century Gothic"/>
          <w:sz w:val="24"/>
          <w:highlight w:val="yellow"/>
          <w:szCs w:val="24"/>
        </w:rPr>
        <w:t>millones).</w:t>
      </w:r>
      <w:r>
        <w:rPr>
          <w:rFonts w:ascii="Century Gothic" w:eastAsia="Century Gothic" w:hAnsi="Century Gothic" w:cs="Century Gothic"/>
          <w:sz w:val="24"/>
          <w:szCs w:val="24"/>
        </w:rPr>
        <w:t xml:space="preserve"> </w:t>
      </w:r>
    </w:p>
    <w:p w14:paraId="70D10EFF" w14:textId="77777777" w:rsidR="000D5962" w:rsidRDefault="00D030A2">
      <w:pPr>
        <w:pStyle w:val="Ttulo3"/>
        <w:spacing w:line="288" w:lineRule="auto"/>
        <w:rPr>
          <w:sz w:val="24"/>
          <w:szCs w:val="24"/>
        </w:rPr>
      </w:pPr>
      <w:r w:rsidRPr="00836D20">
        <w:rPr>
          <w:rFonts w:ascii="Century Gothic" w:eastAsia="Century Gothic" w:hAnsi="Century Gothic" w:cs="Century Gothic"/>
          <w:sz w:val="24"/>
          <w:highlight w:val="green"/>
          <w:szCs w:val="24"/>
        </w:rPr>
        <w:t>3.6.6. Prestaciones de la Seguridad Social (SILVIA)</w:t>
      </w:r>
    </w:p>
    <w:p w14:paraId="36DE5981" w14:textId="56A03406" w:rsidR="00AB1376" w:rsidRPr="00246D63" w:rsidRDefault="00AB1376" w:rsidP="00AB1376">
      <w:pPr>
        <w:spacing w:line="288" w:lineRule="auto"/>
        <w:jc w:val="both"/>
        <w:rPr>
          <w:rFonts w:ascii="Century Gothic" w:hAnsi="Century Gothic" w:cs="Arial"/>
          <w:color w:val="4F81BD" w:themeColor="accent1"/>
          <w:szCs w:val="24"/>
          <w:sz w:val="24"/>
        </w:rPr>
      </w:pPr>
      <w:r w:rsidRPr="00246D63">
        <w:rPr>
          <w:rFonts w:ascii="Century Gothic" w:hAnsi="Century Gothic" w:cs="Arial"/>
          <w:szCs w:val="24"/>
          <w:sz w:val="24"/>
        </w:rPr>
        <w:t>A objeto de precautelar la seguridad social de largo plazo y brindar ingresos dignos a nuestros adultos mayores para un bienestar en su vida, el proyecto del PGE 202</w:t>
      </w:r>
      <w:r w:rsidR="00CD6B91" w:rsidRPr="00246D63">
        <w:rPr>
          <w:rFonts w:ascii="Century Gothic" w:hAnsi="Century Gothic" w:cs="Arial"/>
          <w:szCs w:val="24"/>
          <w:sz w:val="24"/>
        </w:rPr>
        <w:t>7</w:t>
      </w:r>
      <w:r w:rsidRPr="00246D63">
        <w:rPr>
          <w:rFonts w:ascii="Century Gothic" w:hAnsi="Century Gothic" w:cs="Arial"/>
          <w:szCs w:val="24"/>
          <w:sz w:val="24"/>
        </w:rPr>
        <w:t xml:space="preserve"> contempla un presupuesto de Bs</w:t>
      </w:r>
      <w:r w:rsidR="00CD6B91" w:rsidRPr="00246D63">
        <w:rPr>
          <w:rFonts w:ascii="Century Gothic" w:hAnsi="Century Gothic" w:cs="Arial"/>
          <w:szCs w:val="24"/>
          <w:sz w:val="24"/>
        </w:rPr>
        <w:t xml:space="preserve">11.023 </w:t>
      </w:r>
      <w:r w:rsidRPr="00246D63">
        <w:rPr>
          <w:rFonts w:ascii="Century Gothic" w:hAnsi="Century Gothic" w:cs="Arial"/>
          <w:szCs w:val="24"/>
          <w:sz w:val="24"/>
        </w:rPr>
        <w:t>millones para Prestaciones de la Seguridad Social, que representa el 3,</w:t>
      </w:r>
      <w:r w:rsidR="00246D63" w:rsidRPr="00246D63">
        <w:rPr>
          <w:rFonts w:ascii="Century Gothic" w:hAnsi="Century Gothic" w:cs="Arial"/>
          <w:szCs w:val="24"/>
          <w:sz w:val="24"/>
        </w:rPr>
        <w:t>3</w:t>
      </w:r>
      <w:r w:rsidRPr="00246D63">
        <w:rPr>
          <w:rFonts w:ascii="Century Gothic" w:hAnsi="Century Gothic" w:cs="Arial"/>
          <w:szCs w:val="24"/>
          <w:sz w:val="24"/>
        </w:rPr>
        <w:t>% del total consolidado. Las entidades públicas que realizan estos gastos son: el TGN con Bs</w:t>
      </w:r>
      <w:r w:rsidR="00CD6B91" w:rsidRPr="00246D63">
        <w:rPr>
          <w:rFonts w:ascii="Century Gothic" w:hAnsi="Century Gothic" w:cs="Arial"/>
          <w:szCs w:val="24"/>
          <w:sz w:val="24"/>
        </w:rPr>
        <w:t xml:space="preserve">10.536 </w:t>
      </w:r>
      <w:r w:rsidRPr="00246D63">
        <w:rPr>
          <w:rFonts w:ascii="Century Gothic" w:hAnsi="Century Gothic" w:cs="Arial"/>
          <w:szCs w:val="24"/>
          <w:sz w:val="24"/>
        </w:rPr>
        <w:t>millones, la Corporación del Seguro Social Militar (COSSMIL) con Bs</w:t>
      </w:r>
      <w:r w:rsidR="00CD6B91" w:rsidRPr="00246D63">
        <w:rPr>
          <w:rFonts w:ascii="Century Gothic" w:hAnsi="Century Gothic" w:cs="Arial"/>
          <w:szCs w:val="24"/>
          <w:sz w:val="24"/>
        </w:rPr>
        <w:t>294</w:t>
      </w:r>
      <w:r w:rsidRPr="00246D63">
        <w:rPr>
          <w:rFonts w:ascii="Century Gothic" w:hAnsi="Century Gothic" w:cs="Arial"/>
          <w:szCs w:val="24"/>
          <w:sz w:val="24"/>
        </w:rPr>
        <w:t xml:space="preserve"> millones y la Mutual de Servicios al Policía (MUSERPOL) con Bs19</w:t>
      </w:r>
      <w:r w:rsidR="00CD6B91" w:rsidRPr="00246D63">
        <w:rPr>
          <w:rFonts w:ascii="Century Gothic" w:hAnsi="Century Gothic" w:cs="Arial"/>
          <w:szCs w:val="24"/>
          <w:sz w:val="24"/>
        </w:rPr>
        <w:t>2</w:t>
      </w:r>
      <w:r w:rsidRPr="00246D63">
        <w:rPr>
          <w:rFonts w:ascii="Century Gothic" w:hAnsi="Century Gothic" w:cs="Arial"/>
          <w:szCs w:val="24"/>
          <w:sz w:val="24"/>
        </w:rPr>
        <w:t xml:space="preserve"> millones. Las asignaciones del TGN más relevantes son: Compensación de Cotizaciones por Bs5.</w:t>
      </w:r>
      <w:r w:rsidR="00CD6B91" w:rsidRPr="00246D63">
        <w:rPr>
          <w:rFonts w:ascii="Century Gothic" w:hAnsi="Century Gothic" w:cs="Arial"/>
          <w:szCs w:val="24"/>
          <w:sz w:val="24"/>
        </w:rPr>
        <w:t>773</w:t>
      </w:r>
      <w:r w:rsidRPr="00246D63">
        <w:rPr>
          <w:rFonts w:ascii="Century Gothic" w:hAnsi="Century Gothic" w:cs="Arial"/>
          <w:szCs w:val="24"/>
          <w:sz w:val="24"/>
        </w:rPr>
        <w:t xml:space="preserve"> millones, Sistema de Reparto con Bs4.</w:t>
      </w:r>
      <w:r w:rsidR="00CD6B91" w:rsidRPr="00246D63">
        <w:rPr>
          <w:rFonts w:ascii="Century Gothic" w:hAnsi="Century Gothic" w:cs="Arial"/>
          <w:szCs w:val="24"/>
          <w:sz w:val="24"/>
        </w:rPr>
        <w:t>349</w:t>
      </w:r>
      <w:r w:rsidRPr="00246D63">
        <w:rPr>
          <w:rFonts w:ascii="Century Gothic" w:hAnsi="Century Gothic" w:cs="Arial"/>
          <w:szCs w:val="24"/>
          <w:sz w:val="24"/>
        </w:rPr>
        <w:t xml:space="preserve"> millones, COSSMIL con Bs37</w:t>
      </w:r>
      <w:r w:rsidR="00CD6B91" w:rsidRPr="00246D63">
        <w:rPr>
          <w:rFonts w:ascii="Century Gothic" w:hAnsi="Century Gothic" w:cs="Arial"/>
          <w:szCs w:val="24"/>
          <w:sz w:val="24"/>
        </w:rPr>
        <w:t>3</w:t>
      </w:r>
      <w:r w:rsidRPr="00246D63">
        <w:rPr>
          <w:rFonts w:ascii="Century Gothic" w:hAnsi="Century Gothic" w:cs="Arial"/>
          <w:szCs w:val="24"/>
          <w:sz w:val="24"/>
        </w:rPr>
        <w:t xml:space="preserve"> millones, Bono Económico con Bs</w:t>
      </w:r>
      <w:r w:rsidR="00CD6B91" w:rsidRPr="00246D63">
        <w:rPr>
          <w:rFonts w:ascii="Century Gothic" w:hAnsi="Century Gothic" w:cs="Arial"/>
          <w:szCs w:val="24"/>
          <w:sz w:val="24"/>
        </w:rPr>
        <w:t>42</w:t>
      </w:r>
      <w:r w:rsidRPr="00246D63">
        <w:rPr>
          <w:rFonts w:ascii="Century Gothic" w:hAnsi="Century Gothic" w:cs="Arial"/>
          <w:szCs w:val="24"/>
          <w:sz w:val="24"/>
        </w:rPr>
        <w:t xml:space="preserve"> millones y Pago Único Bs1 millón para el magisterio pasivo.</w:t>
      </w:r>
    </w:p>
    <w:p w14:paraId="0B1C7B8A" w14:textId="77777777" w:rsidR="00AB1376" w:rsidRPr="00BE61B1" w:rsidRDefault="00AB1376" w:rsidP="00AB1376">
      <w:pPr>
        <w:spacing w:line="288" w:lineRule="auto"/>
        <w:jc w:val="both"/>
        <w:rPr>
          <w:rFonts w:ascii="Century Gothic" w:hAnsi="Century Gothic" w:cs="Arial"/>
          <w:color w:val="4F81BD" w:themeColor="accent1"/>
          <w:szCs w:val="24"/>
          <w:sz w:val="24"/>
        </w:rPr>
      </w:pPr>
    </w:p>
    <w:p w14:paraId="6A7E4803" w14:textId="74B134D3" w:rsidR="00AB1376" w:rsidRPr="00BE61B1" w:rsidRDefault="00AB1376" w:rsidP="00AB1376">
      <w:pPr>
        <w:spacing w:line="288" w:lineRule="auto"/>
        <w:jc w:val="both"/>
        <w:rPr>
          <w:rFonts w:ascii="Century Gothic" w:eastAsia="Century Gothic" w:hAnsi="Century Gothic" w:cs="Century Gothic"/>
          <w:color w:val="4F81BD" w:themeColor="accent1"/>
          <w:sz w:val="24"/>
          <w:szCs w:val="24"/>
        </w:rPr>
      </w:pPr>
      <w:r w:rsidRPr="00BE61B1">
        <w:rPr>
          <w:rFonts w:ascii="Century Gothic" w:eastAsia="Century Gothic" w:hAnsi="Century Gothic" w:cs="Century Gothic"/>
          <w:sz w:val="24"/>
          <w:szCs w:val="24"/>
        </w:rPr>
        <w:t>El presupuesto en Pensiones se compone de las Rentas Vitalicias y Personajes Notables, Sistema de Reparto, Rentistas Jubilados de COSSMIL, Compensación de Cotizaciones, Bono Económico, Pago Único y Pago Global.</w:t>
      </w:r>
      <w:r w:rsidR="00BE61B1" w:rsidRPr="00BE61B1">
        <w:rPr>
          <w:rFonts w:ascii="Century Gothic" w:eastAsia="Century Gothic" w:hAnsi="Century Gothic" w:cs="Century Gothic"/>
          <w:sz w:val="24"/>
          <w:szCs w:val="24"/>
        </w:rPr>
        <w:t xml:space="preserve"> </w:t>
      </w:r>
      <w:r w:rsidRPr="00BE61B1">
        <w:rPr>
          <w:rFonts w:ascii="Century Gothic" w:eastAsia="Century Gothic" w:hAnsi="Century Gothic" w:cs="Century Gothic"/>
          <w:sz w:val="24"/>
          <w:szCs w:val="24"/>
        </w:rPr>
        <w:t xml:space="preserve">El costo para financiar con recursos del TGN para el pago de </w:t>
      </w:r>
      <w:r w:rsidR="00BE61B1" w:rsidRPr="00BE61B1">
        <w:rPr>
          <w:rFonts w:ascii="Century Gothic" w:eastAsia="Century Gothic" w:hAnsi="Century Gothic" w:cs="Century Gothic"/>
          <w:sz w:val="24"/>
          <w:szCs w:val="24"/>
        </w:rPr>
        <w:t>estas</w:t>
      </w:r>
      <w:r w:rsidRPr="00BE61B1">
        <w:rPr>
          <w:rFonts w:ascii="Century Gothic" w:eastAsia="Century Gothic" w:hAnsi="Century Gothic" w:cs="Century Gothic"/>
          <w:sz w:val="24"/>
          <w:szCs w:val="24"/>
        </w:rPr>
        <w:t xml:space="preserve"> pensiones alcanzará a Bs</w:t>
      </w:r>
      <w:r w:rsidR="00BE17EE" w:rsidRPr="00BE61B1">
        <w:rPr>
          <w:rFonts w:ascii="Century Gothic" w:eastAsia="Century Gothic" w:hAnsi="Century Gothic" w:cs="Century Gothic"/>
          <w:sz w:val="24"/>
          <w:szCs w:val="24"/>
        </w:rPr>
        <w:t>10.579</w:t>
      </w:r>
      <w:r w:rsidRPr="00BE61B1">
        <w:rPr>
          <w:rFonts w:ascii="Century Gothic" w:eastAsia="Century Gothic" w:hAnsi="Century Gothic" w:cs="Century Gothic"/>
          <w:sz w:val="24"/>
          <w:szCs w:val="24"/>
        </w:rPr>
        <w:t xml:space="preserve"> millones que beneficiará a </w:t>
      </w:r>
      <w:r w:rsidR="00544A0C" w:rsidRPr="00BE61B1">
        <w:rPr>
          <w:rFonts w:ascii="Century Gothic" w:eastAsia="Century Gothic" w:hAnsi="Century Gothic" w:cs="Century Gothic"/>
          <w:sz w:val="24"/>
          <w:szCs w:val="24"/>
        </w:rPr>
        <w:t>264.420</w:t>
      </w:r>
      <w:r w:rsidRPr="00BE61B1">
        <w:rPr>
          <w:rFonts w:ascii="Century Gothic" w:eastAsia="Century Gothic" w:hAnsi="Century Gothic" w:cs="Century Gothic"/>
          <w:sz w:val="24"/>
          <w:szCs w:val="24"/>
        </w:rPr>
        <w:t xml:space="preserve"> personas, lo que significa un incremento del </w:t>
      </w:r>
      <w:r w:rsidR="00FA09CC" w:rsidRPr="00BE61B1">
        <w:rPr>
          <w:rFonts w:ascii="Century Gothic" w:eastAsia="Century Gothic" w:hAnsi="Century Gothic" w:cs="Century Gothic"/>
          <w:sz w:val="24"/>
          <w:szCs w:val="24"/>
        </w:rPr>
        <w:t>118,6</w:t>
      </w:r>
      <w:r w:rsidRPr="00BE61B1">
        <w:rPr>
          <w:rFonts w:ascii="Century Gothic" w:eastAsia="Century Gothic" w:hAnsi="Century Gothic" w:cs="Century Gothic"/>
          <w:sz w:val="24"/>
          <w:szCs w:val="24"/>
        </w:rPr>
        <w:t xml:space="preserve">% en cuanto a los gastos efectuados y del </w:t>
      </w:r>
      <w:r w:rsidR="00FA09CC" w:rsidRPr="00BE61B1">
        <w:rPr>
          <w:rFonts w:ascii="Century Gothic" w:eastAsia="Century Gothic" w:hAnsi="Century Gothic" w:cs="Century Gothic"/>
          <w:sz w:val="24"/>
          <w:szCs w:val="24"/>
        </w:rPr>
        <w:t>31,9</w:t>
      </w:r>
      <w:r w:rsidRPr="00BE61B1">
        <w:rPr>
          <w:rFonts w:ascii="Century Gothic" w:eastAsia="Century Gothic" w:hAnsi="Century Gothic" w:cs="Century Gothic"/>
          <w:sz w:val="24"/>
          <w:szCs w:val="24"/>
        </w:rPr>
        <w:t>% más de beneficiados, entre el 202</w:t>
      </w:r>
      <w:r w:rsidR="00544A0C" w:rsidRPr="00BE61B1">
        <w:rPr>
          <w:rFonts w:ascii="Century Gothic" w:eastAsia="Century Gothic" w:hAnsi="Century Gothic" w:cs="Century Gothic"/>
          <w:sz w:val="24"/>
          <w:szCs w:val="24"/>
        </w:rPr>
        <w:t>7</w:t>
      </w:r>
      <w:r w:rsidRPr="00BE61B1">
        <w:rPr>
          <w:rFonts w:ascii="Century Gothic" w:eastAsia="Century Gothic" w:hAnsi="Century Gothic" w:cs="Century Gothic"/>
          <w:sz w:val="24"/>
          <w:szCs w:val="24"/>
        </w:rPr>
        <w:t xml:space="preserve"> con respecto al 2010.</w:t>
      </w:r>
    </w:p>
    <w:p w14:paraId="099D8D82" w14:textId="77777777" w:rsidR="00AB1376" w:rsidRPr="00C905ED" w:rsidRDefault="00AB1376" w:rsidP="00AB1376">
      <w:pPr>
        <w:spacing w:line="288" w:lineRule="auto"/>
        <w:jc w:val="both"/>
        <w:rPr>
          <w:rFonts w:ascii="Century Gothic" w:eastAsia="Century Gothic" w:hAnsi="Century Gothic" w:cs="Century Gothic"/>
          <w:color w:val="FF0000"/>
          <w:sz w:val="24"/>
          <w:szCs w:val="24"/>
        </w:rPr>
      </w:pPr>
    </w:p>
    <w:p w14:paraId="7C4A75B6" w14:textId="77777777" w:rsidR="00AB1376" w:rsidRPr="00BE61B1" w:rsidRDefault="00AB1376" w:rsidP="00AB1376">
      <w:pPr>
        <w:spacing w:line="288" w:lineRule="auto"/>
        <w:jc w:val="both"/>
        <w:rPr>
          <w:rFonts w:ascii="Century Gothic" w:eastAsia="Century Gothic" w:hAnsi="Century Gothic" w:cs="Century Gothic"/>
          <w:color w:val="4F81BD" w:themeColor="accent1"/>
          <w:sz w:val="24"/>
          <w:szCs w:val="24"/>
        </w:rPr>
      </w:pPr>
      <w:r w:rsidRPr="00BE61B1">
        <w:rPr>
          <w:rFonts w:ascii="Century Gothic" w:eastAsia="Century Gothic" w:hAnsi="Century Gothic" w:cs="Century Gothic"/>
          <w:sz w:val="24"/>
          <w:szCs w:val="24"/>
        </w:rPr>
        <w:t xml:space="preserve">Las Rentas Vitalicias (o Pensión Vitalicia), se otorga a los ex Combatientes de la Guerra del Chaco (beneméritos e inválidos) además de las viudas de los mismos. El Sistema de Reparto es el conjunto de los seguros de invalidez, vejez y muerte y otros seguros, prestaciones y beneficios administrados por entidades de la Seguridad Social de Largo Plazo, ya existentes al momento de la promulgación de la Ley </w:t>
      </w:r>
      <w:proofErr w:type="spellStart"/>
      <w:r w:rsidRPr="00BE61B1">
        <w:rPr>
          <w:rFonts w:ascii="Century Gothic" w:eastAsia="Century Gothic" w:hAnsi="Century Gothic" w:cs="Century Gothic"/>
          <w:sz w:val="24"/>
          <w:szCs w:val="24"/>
        </w:rPr>
        <w:t>Nº</w:t>
      </w:r>
      <w:proofErr w:type="spellEnd"/>
      <w:r w:rsidRPr="00BE61B1">
        <w:rPr>
          <w:rFonts w:ascii="Century Gothic" w:eastAsia="Century Gothic" w:hAnsi="Century Gothic" w:cs="Century Gothic"/>
          <w:sz w:val="24"/>
          <w:szCs w:val="24"/>
        </w:rPr>
        <w:t xml:space="preserve"> 1732 de fecha 29 de noviembre de 1996. </w:t>
      </w:r>
    </w:p>
    <w:p w14:paraId="4F92BDE1" w14:textId="77777777" w:rsidR="00AB1376" w:rsidRPr="00BE61B1" w:rsidRDefault="00AB1376" w:rsidP="00AB1376">
      <w:pPr>
        <w:spacing w:line="288" w:lineRule="auto"/>
        <w:jc w:val="both"/>
        <w:rPr>
          <w:rFonts w:ascii="Century Gothic" w:eastAsia="Century Gothic" w:hAnsi="Century Gothic" w:cs="Century Gothic"/>
          <w:color w:val="4F81BD" w:themeColor="accent1"/>
          <w:sz w:val="24"/>
          <w:szCs w:val="24"/>
        </w:rPr>
      </w:pPr>
    </w:p>
    <w:p w14:paraId="0103BACE" w14:textId="28BD565B" w:rsidR="00AB1376" w:rsidRPr="00BE61B1" w:rsidRDefault="00AB1376" w:rsidP="00916555">
      <w:pPr>
        <w:spacing w:line="288" w:lineRule="auto"/>
        <w:jc w:val="both"/>
        <w:rPr>
          <w:rFonts w:ascii="Century Gothic" w:hAnsi="Century Gothic" w:cs="Arial"/>
          <w:color w:val="4F81BD" w:themeColor="accent1"/>
          <w:szCs w:val="24"/>
          <w:sz w:val="24"/>
        </w:rPr>
      </w:pPr>
      <w:r w:rsidRPr="00BE61B1">
        <w:rPr>
          <w:rFonts w:ascii="Century Gothic" w:eastAsia="Century Gothic" w:hAnsi="Century Gothic" w:cs="Century Gothic"/>
          <w:sz w:val="24"/>
          <w:szCs w:val="24"/>
        </w:rPr>
        <w:t xml:space="preserve">La Compensación de Cotizaciones está a cargo del TGN, y es otorgada a los afiliados por cotizaciones efectuadas al Sistema de Reparto. Por otra parte, la Ley </w:t>
      </w:r>
      <w:proofErr w:type="spellStart"/>
      <w:r w:rsidRPr="00BE61B1">
        <w:rPr>
          <w:rFonts w:ascii="Century Gothic" w:eastAsia="Century Gothic" w:hAnsi="Century Gothic" w:cs="Century Gothic"/>
          <w:sz w:val="24"/>
          <w:szCs w:val="24"/>
        </w:rPr>
        <w:t>Nº</w:t>
      </w:r>
      <w:proofErr w:type="spellEnd"/>
      <w:r w:rsidRPr="00BE61B1">
        <w:rPr>
          <w:rFonts w:ascii="Century Gothic" w:eastAsia="Century Gothic" w:hAnsi="Century Gothic" w:cs="Century Gothic"/>
          <w:sz w:val="24"/>
          <w:szCs w:val="24"/>
        </w:rPr>
        <w:t xml:space="preserve"> 065 de 10 de diciembre de 2010, de Pensiones, establece que la beneficiaria o beneficiario que haya cobrado el Pago Único con anterioridad a la fecha de publicación de dicha ley, que cuente con al menos sesenta (60) periodos aportados al Sistema de Reparto, podrá acceder voluntariamente al cambio de beneficio a Compensación de Cotizaciones Mensual previa devolución del monto percibido por el Pago Único, y es el beneficio para todo aquel asegurado que cuente con una certificación </w:t>
      </w:r>
      <w:r w:rsidRPr="00BE61B1">
        <w:rPr>
          <w:rFonts w:ascii="Century Gothic" w:eastAsia="Century Gothic" w:hAnsi="Century Gothic" w:cs="Century Gothic"/>
          <w:sz w:val="24"/>
          <w:szCs w:val="24"/>
        </w:rPr>
        <w:lastRenderedPageBreak/>
        <w:t>debidamente emitida y notificada por el Servicio Nacional del Sistema de Reparto (SENASIR).</w:t>
      </w:r>
    </w:p>
    <w:p w14:paraId="732632C8" w14:textId="77777777" w:rsidR="000D5962" w:rsidRDefault="00D030A2">
      <w:pPr>
        <w:pStyle w:val="Ttulo3"/>
        <w:spacing w:line="288" w:lineRule="auto"/>
        <w:rPr>
          <w:sz w:val="24"/>
          <w:szCs w:val="24"/>
        </w:rPr>
      </w:pPr>
      <w:r w:rsidRPr="000159EE">
        <w:rPr>
          <w:rFonts w:ascii="Century Gothic" w:eastAsia="Century Gothic" w:hAnsi="Century Gothic" w:cs="Century Gothic"/>
          <w:sz w:val="24"/>
          <w:highlight w:val="green"/>
          <w:szCs w:val="24"/>
        </w:rPr>
        <w:t>3.6.7. Gastos de Capital (FERNANDO)</w:t>
      </w:r>
    </w:p>
    <w:p w14:paraId="1B771F7D" w14:textId="77777777" w:rsidR="000D5962" w:rsidRDefault="00D030A2">
      <w:pPr>
        <w:spacing w:line="288" w:lineRule="auto"/>
        <w:jc w:val="both"/>
        <w:rPr>
          <w:sz w:val="24"/>
          <w:szCs w:val="24"/>
        </w:rPr>
      </w:pPr>
      <w:r>
        <w:rPr>
          <w:rFonts w:ascii="Century Gothic" w:eastAsia="Century Gothic" w:hAnsi="Century Gothic" w:cs="Century Gothic"/>
          <w:sz w:val="24"/>
          <w:szCs w:val="24"/>
        </w:rPr>
        <w:t xml:space="preserve">Los Gastos de Capital consolidados alcanzan Bs23.478 millones, el 7,0% del total (18,4% menos que en 2026 (R)); de este monto, Bs19.931 millones corresponden a Formación Bruta de Capital Fijo.</w:t>
      </w:r>
    </w:p>
    <w:p w14:paraId="43FFC990" w14:textId="77777777" w:rsidR="000D5962" w:rsidRDefault="00D030A2">
      <w:pPr>
        <w:spacing w:line="288" w:lineRule="auto"/>
        <w:jc w:val="both"/>
        <w:rPr>
          <w:sz w:val="24"/>
          <w:szCs w:val="24"/>
        </w:rPr>
      </w:pPr>
      <w:r>
        <w:rPr>
          <w:rFonts w:ascii="Century Gothic" w:eastAsia="Century Gothic" w:hAnsi="Century Gothic" w:cs="Century Gothic"/>
          <w:sz w:val="24"/>
          <w:szCs w:val="24"/>
        </w:rPr>
        <w:t xml:space="preserve">La inversión pública programada para 2027 asciende a Bs17.632 millones (USD1.168 millones), distribuidos en 4.131 proyectos (ver Gráfico N° 12).</w:t>
      </w:r>
      <w:r>
        <w:rPr>
          <w:rFonts w:ascii="Century Gothic" w:eastAsia="Century Gothic" w:hAnsi="Century Gothic" w:cs="Century Gothic"/>
          <w:sz w:val="24"/>
          <w:highlight w:val="yellow"/>
          <w:szCs w:val="24"/>
        </w:rPr>
        <w:t xml:space="preserve"/>
      </w:r>
      <w:r>
        <w:rPr>
          <w:rFonts w:ascii="Century Gothic" w:eastAsia="Century Gothic" w:hAnsi="Century Gothic" w:cs="Century Gothic"/>
          <w:sz w:val="24"/>
          <w:szCs w:val="24"/>
        </w:rPr>
        <w:t xml:space="preserve"/>
      </w:r>
      <w:r>
        <w:rPr>
          <w:rFonts w:ascii="Century Gothic" w:eastAsia="Century Gothic" w:hAnsi="Century Gothic" w:cs="Century Gothic"/>
          <w:sz w:val="24"/>
          <w:szCs w:val="24"/>
        </w:rPr>
        <w:lastRenderedPageBreak/>
        <w:t xml:space="preserve"/>
      </w:r>
    </w:p>
    <w:p w14:paraId="46E47A45" w14:textId="045BF45A" w:rsidR="000D5962" w:rsidRDefault="00D030A2">
      <w:pPr>
        <w:keepNext/>
        <w:spacing w:after="0" w:line="288" w:lineRule="auto"/>
        <w:jc w:val="center"/>
        <w:rPr>
          <w:sz w:val="24"/>
          <w:szCs w:val="24"/>
        </w:rPr>
      </w:pPr>
      <w:proofErr w:type="spellStart"/>
      <w:r w:rsidRPr="006E6970">
        <w:rPr>
          <w:rFonts w:ascii="Century Gothic" w:eastAsia="Century Gothic" w:hAnsi="Century Gothic" w:cs="Century Gothic"/>
          <w:b/>
          <w:sz w:val="24"/>
          <w:highlight w:val="yellow"/>
          <w:szCs w:val="24"/>
        </w:rPr>
        <w:t xml:space="preserve">Gráfico N° 12: Presupuesto de inversión pública, 2027 (P)</w:t>
      </w:r>
      <w:proofErr w:type="spellEnd"/>
      <w:r w:rsidRPr="006E6970">
        <w:rPr>
          <w:rFonts w:ascii="Century Gothic" w:eastAsia="Century Gothic" w:hAnsi="Century Gothic" w:cs="Century Gothic"/>
          <w:b/>
          <w:sz w:val="24"/>
          <w:highlight w:val="yellow"/>
          <w:szCs w:val="24"/>
        </w:rPr>
        <w:t xml:space="preserve"/>
      </w:r>
      <w:proofErr w:type="spellStart"/>
      <w:r w:rsidRPr="006E6970">
        <w:rPr>
          <w:rFonts w:ascii="Century Gothic" w:eastAsia="Century Gothic" w:hAnsi="Century Gothic" w:cs="Century Gothic"/>
          <w:b/>
          <w:sz w:val="24"/>
          <w:highlight w:val="yellow"/>
          <w:szCs w:val="24"/>
        </w:rPr>
        <w:t xml:space="preserve"/>
      </w:r>
      <w:proofErr w:type="spellEnd"/>
      <w:r w:rsidRPr="006E6970">
        <w:rPr>
          <w:rFonts w:ascii="Century Gothic" w:eastAsia="Century Gothic" w:hAnsi="Century Gothic" w:cs="Century Gothic"/>
          <w:b/>
          <w:sz w:val="24"/>
          <w:highlight w:val="yellow"/>
          <w:szCs w:val="24"/>
        </w:rPr>
        <w:t xml:space="preserve"/>
      </w:r>
      <w:proofErr w:type="spellStart"/>
      <w:r w:rsidRPr="006E6970">
        <w:rPr>
          <w:rFonts w:ascii="Century Gothic" w:eastAsia="Century Gothic" w:hAnsi="Century Gothic" w:cs="Century Gothic"/>
          <w:b/>
          <w:sz w:val="24"/>
          <w:highlight w:val="yellow"/>
          <w:szCs w:val="24"/>
        </w:rPr>
        <w:t xml:space="preserve"/>
      </w:r>
      <w:proofErr w:type="spellEnd"/>
      <w:r w:rsidRPr="006E6970">
        <w:rPr>
          <w:rFonts w:ascii="Century Gothic" w:eastAsia="Century Gothic" w:hAnsi="Century Gothic" w:cs="Century Gothic"/>
          <w:b/>
          <w:sz w:val="24"/>
          <w:highlight w:val="yellow"/>
          <w:szCs w:val="24"/>
        </w:rPr>
        <w:t xml:space="preserve"/>
      </w:r>
      <w:proofErr w:type="spellStart"/>
      <w:r w:rsidRPr="006E6970">
        <w:rPr>
          <w:rFonts w:ascii="Century Gothic" w:eastAsia="Century Gothic" w:hAnsi="Century Gothic" w:cs="Century Gothic"/>
          <w:b/>
          <w:sz w:val="24"/>
          <w:highlight w:val="yellow"/>
          <w:szCs w:val="24"/>
        </w:rPr>
        <w:t xml:space="preserve"/>
      </w:r>
      <w:proofErr w:type="spellEnd"/>
      <w:r w:rsidRPr="006E6970">
        <w:rPr>
          <w:rFonts w:ascii="Century Gothic" w:eastAsia="Century Gothic" w:hAnsi="Century Gothic" w:cs="Century Gothic"/>
          <w:b/>
          <w:sz w:val="24"/>
          <w:highlight w:val="yellow"/>
          <w:szCs w:val="24"/>
        </w:rPr>
        <w:t xml:space="preserve"/>
      </w:r>
      <w:r w:rsidRPr="0078157B">
        <w:rPr>
          <w:rFonts w:ascii="Century Gothic" w:eastAsia="Century Gothic" w:hAnsi="Century Gothic" w:cs="Century Gothic"/>
          <w:b/>
          <w:sz w:val="24"/>
          <w:highlight w:val="yellow"/>
          <w:szCs w:val="24"/>
        </w:rPr>
        <w:t xml:space="preserve"/>
      </w:r>
      <w:r w:rsidR="0078157B" w:rsidRPr="0078157B">
        <w:rPr>
          <w:rFonts w:ascii="Century Gothic" w:eastAsia="Century Gothic" w:hAnsi="Century Gothic" w:cs="Century Gothic"/>
          <w:b/>
          <w:sz w:val="24"/>
          <w:highlight w:val="yellow"/>
          <w:szCs w:val="24"/>
        </w:rPr>
        <w:t xml:space="preserve"/>
      </w:r>
    </w:p>
    <w:p w14:paraId="4633848E" w14:textId="77777777" w:rsidR="000D5962" w:rsidRDefault="00D030A2">
      <w:pPr>
        <w:keepNext/>
        <w:spacing w:after="40" w:line="288" w:lineRule="auto"/>
        <w:jc w:val="center"/>
        <w:rPr>
          <w:sz w:val="24"/>
          <w:szCs w:val="24"/>
        </w:rPr>
      </w:pPr>
      <w:r>
        <w:rPr>
          <w:rFonts w:ascii="Century Gothic" w:eastAsia="Century Gothic" w:hAnsi="Century Gothic" w:cs="Century Gothic"/>
          <w:i/>
          <w:sz w:val="24"/>
          <w:szCs w:val="24"/>
        </w:rPr>
        <w:t xml:space="preserve">(En millones de bolivianos y porcentaje)</w:t>
      </w:r>
    </w:p>
    <w:p w14:paraId="41710D1C" w14:textId="77777777" w:rsidR="000D5962" w:rsidRDefault="00D030A2">
      <w:pPr>
        <w:keepNext/>
        <w:jc w:val="center"/>
        <w:rPr>
          <w:sz w:val="24"/>
          <w:szCs w:val="24"/>
        </w:rPr>
      </w:pPr>
      <w:r>
        <w:rPr>
          <w:rFonts w:ascii="Century Gothic" w:eastAsia="Century Gothic" w:hAnsi="Century Gothic" w:cs="Century Gothic"/>
          <w:noProof/>
          <w:sz w:val="22"/>
        </w:rPr>
        <w:drawing>
          <wp:inline distT="0" distB="0" distL="0" distR="0" wp14:anchorId="72414B0F" wp14:editId="4DE96361">
            <wp:extent cx="5760720" cy="1917167"/>
            <wp:effectExtent l="0" t="0" r="0" b="0"/>
            <wp:docPr id="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png"/>
                    <pic:cNvPicPr/>
                  </pic:nvPicPr>
                  <pic:blipFill>
                    <a:blip r:embed="rId43"/>
                    <a:stretch>
                      <a:fillRect/>
                    </a:stretch>
                  </pic:blipFill>
                  <pic:spPr>
                    <a:xfrm>
                      <a:off x="0" y="0"/>
                      <a:ext cx="5760720" cy="1917167"/>
                    </a:xfrm>
                    <a:prstGeom prst="rect">
                      <a:avLst/>
                    </a:prstGeom>
                  </pic:spPr>
                </pic:pic>
              </a:graphicData>
            </a:graphic>
          </wp:inline>
        </w:drawing>
      </w:r>
    </w:p>
    <w:p w14:paraId="2910B6A0" w14:textId="77777777" w:rsidR="000D5962" w:rsidRDefault="00D030A2">
      <w:pPr>
        <w:spacing w:after="0" w:line="240" w:lineRule="auto" w:before="0"/>
        <w:rPr>
          <w:sz w:val="16"/>
          <w:szCs w:val="16"/>
        </w:rPr>
      </w:pPr>
      <w:r>
        <w:rPr>
          <w:rFonts w:ascii="Century Gothic" w:eastAsia="Century Gothic" w:hAnsi="Century Gothic" w:cs="Century Gothic"/>
          <w:b/>
          <w:sz w:val="16"/>
          <w:szCs w:val="16"/>
        </w:rPr>
        <w:t xml:space="preserve">Fuente: Proyecto de PGE 2027 (base de gastos, corte al 24-10-2026)</w:t>
      </w:r>
      <w:r>
        <w:rPr>
          <w:rFonts w:ascii="Century Gothic" w:eastAsia="Century Gothic" w:hAnsi="Century Gothic" w:cs="Century Gothic"/>
          <w:sz w:val="16"/>
          <w:szCs w:val="16"/>
        </w:rPr>
        <w:t xml:space="preserve"/>
      </w:r>
    </w:p>
    <w:p w14:paraId="013AEE99" w14:textId="77777777" w:rsidR="000D5962" w:rsidRDefault="00D030A2">
      <w:pPr>
        <w:spacing w:after="0" w:line="240" w:lineRule="auto" w:before="0"/>
        <w:rPr>
          <w:sz w:val="16"/>
          <w:szCs w:val="16"/>
        </w:rPr>
      </w:pPr>
      <w:r>
        <w:rPr>
          <w:rFonts w:ascii="Century Gothic" w:eastAsia="Century Gothic" w:hAnsi="Century Gothic" w:cs="Century Gothic"/>
          <w:b/>
          <w:sz w:val="16"/>
          <w:szCs w:val="16"/>
        </w:rPr>
        <w:t xml:space="preserve">Elaboración: </w:t>
      </w:r>
      <w:r>
        <w:rPr>
          <w:rFonts w:ascii="Century Gothic" w:eastAsia="Century Gothic" w:hAnsi="Century Gothic" w:cs="Century Gothic"/>
          <w:sz w:val="16"/>
          <w:szCs w:val="16"/>
        </w:rPr>
        <w:t>MEFP-VPCF-DGPGP-UGPPP</w:t>
      </w:r>
    </w:p>
    <w:p w14:paraId="4CE00839" w14:textId="77777777" w:rsidR="000D5962" w:rsidRDefault="00D030A2">
      <w:pPr>
        <w:spacing w:after="0" w:line="240" w:lineRule="auto" w:before="0"/>
        <w:rPr>
          <w:sz w:val="16"/>
          <w:szCs w:val="16"/>
        </w:rPr>
      </w:pPr>
      <w:r>
        <w:rPr>
          <w:rFonts w:ascii="Century Gothic" w:eastAsia="Century Gothic" w:hAnsi="Century Gothic" w:cs="Century Gothic"/>
          <w:sz w:val="16"/>
          <w:szCs w:val="16"/>
        </w:rPr>
        <w:t xml:space="preserve">(*): Incluye Instituciones de Control y Defensa del Estado.</w:t>
      </w:r>
      <w:r>
        <w:rPr>
          <w:rFonts w:ascii="Century Gothic" w:eastAsia="Century Gothic" w:hAnsi="Century Gothic" w:cs="Century Gothic"/>
          <w:sz w:val="16"/>
          <w:szCs w:val="16"/>
          <w:highlight w:val="yellow"/>
        </w:rPr>
        <w:t xml:space="preserve"/>
      </w:r>
      <w:r>
        <w:rPr>
          <w:rFonts w:ascii="Century Gothic" w:eastAsia="Century Gothic" w:hAnsi="Century Gothic" w:cs="Century Gothic"/>
          <w:sz w:val="16"/>
          <w:szCs w:val="16"/>
        </w:rPr>
        <w:t xml:space="preserve"/>
      </w:r>
    </w:p>
    <w:p w14:paraId="4CE00839" w14:textId="77777777" w:rsidR="000D5962" w:rsidRDefault="00D030A2">
      <w:pPr>
        <w:spacing w:after="0" w:line="240" w:lineRule="auto" w:before="0"/>
        <w:rPr>
          <w:sz w:val="16"/>
          <w:szCs w:val="16"/>
        </w:rPr>
      </w:pPr>
      <w:r>
        <w:rPr>
          <w:rFonts w:ascii="Century Gothic" w:eastAsia="Century Gothic" w:hAnsi="Century Gothic" w:cs="Century Gothic"/>
          <w:sz w:val="16"/>
          <w:szCs w:val="16"/>
        </w:rPr>
        <w:t xml:space="preserve">(P): Proyecto PGE 2027. Inversión: partidas con proyecto distinto de 0 y actividad 0. No se muestran en las tortas Instituciones Financieras (Bs2,4 millones), Instituciones de Seguridad Social (sin inversión) y Financiamiento Interno (Bs0,1 millones). Agrupación de fuentes: TGN 10, 11, 41, 46, 91 y 96; recursos propios 20, 42 y 92; externas 43, 44, 70, 80, 93 y 94; internas 45, 47, 87, 90, 95 y 97.</w:t>
      </w:r>
      <w:r>
        <w:rPr>
          <w:rFonts w:ascii="Century Gothic" w:eastAsia="Century Gothic" w:hAnsi="Century Gothic" w:cs="Century Gothic"/>
          <w:sz w:val="16"/>
          <w:szCs w:val="16"/>
          <w:highlight w:val="yellow"/>
        </w:rPr>
        <w:t xml:space="preserve"/>
      </w:r>
      <w:r>
        <w:rPr>
          <w:rFonts w:ascii="Century Gothic" w:eastAsia="Century Gothic" w:hAnsi="Century Gothic" w:cs="Century Gothic"/>
          <w:sz w:val="16"/>
          <w:szCs w:val="16"/>
        </w:rPr>
        <w:t xml:space="preserve"/>
      </w:r>
    </w:p>
    <w:p w14:paraId="4CE00839" w14:textId="77777777" w:rsidR="000D5962" w:rsidRDefault="00D030A2">
      <w:pPr>
        <w:spacing w:after="0" w:line="240" w:lineRule="auto" w:before="0"/>
        <w:rPr>
          <w:sz w:val="16"/>
          <w:szCs w:val="16"/>
        </w:rPr>
      </w:pPr>
      <w:r>
        <w:rPr>
          <w:rFonts w:ascii="Century Gothic" w:eastAsia="Century Gothic" w:hAnsi="Century Gothic" w:cs="Century Gothic"/>
          <w:sz w:val="16"/>
          <w:szCs w:val="16"/>
        </w:rPr>
        <w:t xml:space="preserve">Conversión referencial a dólares al tipo de cambio de Bs15,10 por dólar utilizado en la formulación del Proyecto de PGE 2027.</w:t>
      </w:r>
      <w:r>
        <w:rPr>
          <w:rFonts w:ascii="Century Gothic" w:eastAsia="Century Gothic" w:hAnsi="Century Gothic" w:cs="Century Gothic"/>
          <w:sz w:val="16"/>
          <w:szCs w:val="16"/>
          <w:highlight w:val="yellow"/>
        </w:rPr>
        <w:t xml:space="preserve"/>
      </w:r>
      <w:r>
        <w:rPr>
          <w:rFonts w:ascii="Century Gothic" w:eastAsia="Century Gothic" w:hAnsi="Century Gothic" w:cs="Century Gothic"/>
          <w:sz w:val="16"/>
          <w:szCs w:val="16"/>
        </w:rPr>
        <w:t xml:space="preserve"/>
      </w:r>
    </w:p>
    <w:p w14:paraId="49A845BA" w14:textId="77777777" w:rsidR="000D5962" w:rsidRDefault="000D5962">
      <w:pPr>
        <w:spacing w:after="40"/>
        <w:rPr>
          <w:sz w:val="24"/>
          <w:szCs w:val="24"/>
        </w:rPr>
      </w:pPr>
    </w:p>
    <w:p w14:paraId="5787DFC3" w14:textId="77777777" w:rsidR="000D5962" w:rsidRDefault="00D030A2">
      <w:pPr>
        <w:spacing w:line="288" w:lineRule="auto"/>
        <w:jc w:val="both"/>
        <w:rPr>
          <w:sz w:val="24"/>
          <w:szCs w:val="24"/>
        </w:rPr>
      </w:pPr>
      <w:r>
        <w:rPr>
          <w:rFonts w:ascii="Century Gothic" w:eastAsia="Century Gothic" w:hAnsi="Century Gothic" w:cs="Century Gothic"/>
          <w:sz w:val="24"/>
          <w:szCs w:val="24"/>
        </w:rPr>
        <w:t xml:space="preserve">Por fuente de financiamiento, el 46,0% de la inversión se financia con recursos propios de las entidades, el 33,8% con financiamiento externo y el 20,3% con recursos del TGN. Entre los proyectos más representativos se encuentran </w:t>
      </w:r>
      <w:r>
        <w:rPr>
          <w:rFonts w:ascii="Century Gothic" w:eastAsia="Century Gothic" w:hAnsi="Century Gothic" w:cs="Century Gothic"/>
          <w:sz w:val="24"/>
          <w:highlight w:val="yellow"/>
          <w:szCs w:val="24"/>
        </w:rPr>
        <w:t>la construcción de la Central Hidroeléctrica Río Miguillas de ENDE (Bs755 millones), el Programa de Inversión Sectorial de Apoyo a Infraestructura de Educación del MOPSV (Bs636 millones), la explotación de las áreas Mamoré I y Surubí de YPFB (Bs363 millones), la implementación de la distribución nacional de gas natural por redes de YPFB (Bs339 millones) y el Centro de Investigación y Desarrollo en Tecnología Nuclear de la ABEN (Bs327 millones)</w:t>
      </w:r>
      <w:r>
        <w:rPr>
          <w:rFonts w:ascii="Century Gothic" w:eastAsia="Century Gothic" w:hAnsi="Century Gothic" w:cs="Century Gothic"/>
          <w:sz w:val="24"/>
          <w:szCs w:val="24"/>
        </w:rPr>
        <w:t>.</w:t>
      </w:r>
    </w:p>
    <w:p w14:paraId="12A02AF6" w14:textId="77777777" w:rsidR="000D5962" w:rsidRDefault="00D030A2">
      <w:pPr>
        <w:pStyle w:val="Ttulo3"/>
        <w:spacing w:line="288" w:lineRule="auto"/>
        <w:rPr>
          <w:sz w:val="24"/>
          <w:szCs w:val="24"/>
        </w:rPr>
      </w:pPr>
      <w:r>
        <w:rPr>
          <w:rFonts w:ascii="Century Gothic" w:eastAsia="Century Gothic" w:hAnsi="Century Gothic" w:cs="Century Gothic"/>
          <w:sz w:val="24"/>
          <w:szCs w:val="24"/>
        </w:rPr>
        <w:t>3.6.8. Otros Gastos (REBECA)</w:t>
      </w:r>
    </w:p>
    <w:p w14:paraId="0B1BC5A1" w14:textId="486A1474" w:rsidR="00F33473" w:rsidRDefault="00F33473" w:rsidP="00F33473">
      <w:pPr>
        <w:spacing w:line="288" w:lineRule="auto"/>
        <w:jc w:val="both"/>
        <w:rPr>
          <w:rFonts w:ascii="Century Gothic" w:hAnsi="Century Gothic" w:cs="Times New Roman"/>
          <w:sz w:val="24"/>
          <w:szCs w:val="24"/>
          <w:lang w:val="es-BO"/>
        </w:rPr>
      </w:pPr>
      <w:r w:rsidRPr="00F33473">
        <w:rPr>
          <w:rFonts w:ascii="Century Gothic" w:hAnsi="Century Gothic" w:cs="Times New Roman"/>
          <w:sz w:val="24"/>
          <w:szCs w:val="24"/>
          <w:lang w:val="es-BO"/>
        </w:rPr>
        <w:t>Respecto a Otros Gastos Corrientes, para la gestión 2027 se prevé un presupuesto agregado de Bs 29.361,1 millones, equivalente al 7,1% del presupuesto agregado total. En comparación con la gestión 2026, cuando se registró un monto de Bs 16.289,0 millones, se evidencia un incremento de Bs 13.072,1 millones, que representa una variación del 80,2%.</w:t>
      </w:r>
    </w:p>
    <w:p w14:paraId="289F8BBF" w14:textId="77777777" w:rsidR="00F33473" w:rsidRPr="00F33473" w:rsidRDefault="00F33473" w:rsidP="00F33473">
      <w:pPr>
        <w:spacing w:line="288" w:lineRule="auto"/>
        <w:jc w:val="both"/>
        <w:rPr>
          <w:rFonts w:ascii="Century Gothic" w:hAnsi="Century Gothic" w:cs="Times New Roman"/>
          <w:sz w:val="24"/>
          <w:szCs w:val="24"/>
          <w:lang w:val="es-BO"/>
        </w:rPr>
      </w:pPr>
    </w:p>
    <w:p w14:paraId="6E730139" w14:textId="18FD36D4" w:rsidR="00F33473" w:rsidRDefault="00F33473" w:rsidP="00F33473">
      <w:pPr>
        <w:spacing w:line="288" w:lineRule="auto"/>
        <w:jc w:val="both"/>
        <w:rPr>
          <w:rFonts w:ascii="Century Gothic" w:hAnsi="Century Gothic" w:cs="Times New Roman"/>
          <w:sz w:val="24"/>
          <w:szCs w:val="24"/>
          <w:lang w:val="es-BO"/>
        </w:rPr>
      </w:pPr>
      <w:r w:rsidRPr="00F33473">
        <w:rPr>
          <w:rFonts w:ascii="Century Gothic" w:hAnsi="Century Gothic" w:cs="Times New Roman"/>
          <w:sz w:val="24"/>
          <w:szCs w:val="24"/>
          <w:lang w:val="es-BO"/>
        </w:rPr>
        <w:t xml:space="preserve">Por nivel institucional, los recursos se concentran principalmente en el Órgano Ejecutivo, con Bs 16.415,9 millones (55,9%), de los cuales Bs 16.338,8 millones corresponden al </w:t>
      </w:r>
      <w:r>
        <w:rPr>
          <w:rFonts w:ascii="Century Gothic" w:hAnsi="Century Gothic" w:cs="Times New Roman"/>
          <w:sz w:val="24"/>
          <w:szCs w:val="24"/>
          <w:lang w:val="es-BO"/>
        </w:rPr>
        <w:t>TGN.</w:t>
      </w:r>
      <w:r w:rsidRPr="00F33473">
        <w:rPr>
          <w:rFonts w:ascii="Century Gothic" w:hAnsi="Century Gothic" w:cs="Times New Roman"/>
          <w:sz w:val="24"/>
          <w:szCs w:val="24"/>
          <w:lang w:val="es-BO"/>
        </w:rPr>
        <w:t xml:space="preserve"> Por su parte, las Empresas Nacionales registran Bs 11.963,6 millones (40,7%), de los cuales Bs 10.245,0 millones corresponden a Yacimientos Petrolíferos Fiscales Bolivianos (YPFB).</w:t>
      </w:r>
      <w:r>
        <w:rPr>
          <w:rFonts w:ascii="Century Gothic" w:hAnsi="Century Gothic" w:cs="Times New Roman"/>
          <w:sz w:val="24"/>
          <w:szCs w:val="24"/>
          <w:lang w:val="es-BO"/>
        </w:rPr>
        <w:t xml:space="preserve"> </w:t>
      </w:r>
      <w:r w:rsidRPr="00F33473">
        <w:rPr>
          <w:rFonts w:ascii="Century Gothic" w:hAnsi="Century Gothic" w:cs="Times New Roman"/>
          <w:sz w:val="24"/>
          <w:szCs w:val="24"/>
          <w:lang w:val="es-BO"/>
        </w:rPr>
        <w:t>En cuanto al presupuesto consolidado, este alcanza a Bs 21.041,3 millones.</w:t>
      </w:r>
    </w:p>
    <w:p w14:paraId="0359A977" w14:textId="77777777" w:rsidR="00F33473" w:rsidRPr="00F33473" w:rsidRDefault="00F33473" w:rsidP="00F33473">
      <w:pPr>
        <w:spacing w:line="288" w:lineRule="auto"/>
        <w:jc w:val="both"/>
        <w:rPr>
          <w:rFonts w:ascii="Century Gothic" w:hAnsi="Century Gothic" w:cs="Times New Roman"/>
          <w:sz w:val="24"/>
          <w:szCs w:val="24"/>
          <w:lang w:val="es-BO"/>
        </w:rPr>
      </w:pPr>
    </w:p>
    <w:p w14:paraId="414DD611" w14:textId="7C63C902" w:rsidR="00F33473" w:rsidRPr="00F33473" w:rsidRDefault="00F33473" w:rsidP="00F33473">
      <w:pPr>
        <w:spacing w:line="288" w:lineRule="auto"/>
        <w:jc w:val="both"/>
        <w:rPr>
          <w:rFonts w:ascii="Century Gothic" w:hAnsi="Century Gothic" w:cs="Times New Roman"/>
          <w:sz w:val="24"/>
          <w:szCs w:val="24"/>
          <w:lang w:val="es-BO"/>
        </w:rPr>
      </w:pPr>
      <w:r w:rsidRPr="00F33473">
        <w:rPr>
          <w:rFonts w:ascii="Century Gothic" w:hAnsi="Century Gothic" w:cs="Times New Roman"/>
          <w:sz w:val="24"/>
          <w:szCs w:val="24"/>
          <w:lang w:val="es-BO"/>
        </w:rPr>
        <w:t>E</w:t>
      </w:r>
      <w:r w:rsidRPr="00F33473">
        <w:rPr>
          <w:rFonts w:ascii="Century Gothic" w:hAnsi="Century Gothic" w:cs="Times New Roman"/>
          <w:sz w:val="24"/>
          <w:szCs w:val="24"/>
          <w:lang w:val="es-BO"/>
        </w:rPr>
        <w:t xml:space="preserve">l presupuesto agregado de Transferencias Corrientes al Sector Privado asciende a Bs 6.132,9 millones. De este monto, Bs 1.347,7 millones corresponden a las Empresas Nacionales, de los cuales Bs 1.264,3 millones se asignan a la Gestora Pública de la Seguridad Social de Largo Plazo y Bs 83,4 millones a </w:t>
      </w:r>
      <w:r>
        <w:rPr>
          <w:rFonts w:ascii="Century Gothic" w:hAnsi="Century Gothic" w:cs="Times New Roman"/>
          <w:sz w:val="24"/>
          <w:szCs w:val="24"/>
          <w:lang w:val="es-BO"/>
        </w:rPr>
        <w:t>YPFB</w:t>
      </w:r>
      <w:r w:rsidRPr="00F33473">
        <w:rPr>
          <w:rFonts w:ascii="Century Gothic" w:hAnsi="Century Gothic" w:cs="Times New Roman"/>
          <w:sz w:val="24"/>
          <w:szCs w:val="24"/>
          <w:lang w:val="es-BO"/>
        </w:rPr>
        <w:t xml:space="preserve">. Por su parte, Bs 3.777,2 millones corresponden al </w:t>
      </w:r>
      <w:r>
        <w:rPr>
          <w:rFonts w:ascii="Century Gothic" w:hAnsi="Century Gothic" w:cs="Times New Roman"/>
          <w:sz w:val="24"/>
          <w:szCs w:val="24"/>
          <w:lang w:val="es-BO"/>
        </w:rPr>
        <w:t>TGN</w:t>
      </w:r>
      <w:r w:rsidRPr="00F33473">
        <w:rPr>
          <w:rFonts w:ascii="Century Gothic" w:hAnsi="Century Gothic" w:cs="Times New Roman"/>
          <w:sz w:val="24"/>
          <w:szCs w:val="24"/>
          <w:lang w:val="es-BO"/>
        </w:rPr>
        <w:t>, destinados a transferencias y subvenciones para conceptos como el pago de la Renta Dignidad, la devolución de impuestos mediante Certificados de Devolución Impositiva (CEDEIM), así como los descuentos en los servicios de electricidad y agua para personas de 60 años o más, entre otros.</w:t>
      </w:r>
    </w:p>
    <w:p w14:paraId="519754A8" w14:textId="2E50D9AF" w:rsidR="00F33473" w:rsidRDefault="00F33473" w:rsidP="00F33473">
      <w:pPr>
        <w:spacing w:line="288" w:lineRule="auto"/>
        <w:jc w:val="both"/>
        <w:rPr>
          <w:rFonts w:ascii="Century Gothic" w:hAnsi="Century Gothic" w:cs="Times New Roman"/>
          <w:sz w:val="24"/>
          <w:szCs w:val="24"/>
          <w:lang w:val="es-BO"/>
        </w:rPr>
      </w:pPr>
      <w:r>
        <w:rPr>
          <w:rFonts w:ascii="Century Gothic" w:hAnsi="Century Gothic" w:cs="Times New Roman"/>
          <w:sz w:val="24"/>
          <w:szCs w:val="24"/>
          <w:lang w:val="es-BO"/>
        </w:rPr>
        <w:lastRenderedPageBreak/>
        <w:t xml:space="preserve">Las </w:t>
      </w:r>
      <w:r w:rsidRPr="00F33473">
        <w:rPr>
          <w:rFonts w:ascii="Century Gothic" w:hAnsi="Century Gothic" w:cs="Times New Roman"/>
          <w:sz w:val="24"/>
          <w:szCs w:val="24"/>
          <w:lang w:val="es-BO"/>
        </w:rPr>
        <w:t>Transferencias Corrientes al Sector Público alcanza</w:t>
      </w:r>
      <w:r>
        <w:rPr>
          <w:rFonts w:ascii="Century Gothic" w:hAnsi="Century Gothic" w:cs="Times New Roman"/>
          <w:sz w:val="24"/>
          <w:szCs w:val="24"/>
          <w:lang w:val="es-BO"/>
        </w:rPr>
        <w:t>n</w:t>
      </w:r>
      <w:r w:rsidRPr="00F33473">
        <w:rPr>
          <w:rFonts w:ascii="Century Gothic" w:hAnsi="Century Gothic" w:cs="Times New Roman"/>
          <w:sz w:val="24"/>
          <w:szCs w:val="24"/>
          <w:lang w:val="es-BO"/>
        </w:rPr>
        <w:t xml:space="preserve"> a Bs 52.625,9 millones</w:t>
      </w:r>
      <w:r>
        <w:rPr>
          <w:rFonts w:ascii="Century Gothic" w:hAnsi="Century Gothic" w:cs="Times New Roman"/>
          <w:sz w:val="24"/>
          <w:szCs w:val="24"/>
          <w:lang w:val="es-BO"/>
        </w:rPr>
        <w:t>, e</w:t>
      </w:r>
      <w:r w:rsidRPr="00F33473">
        <w:rPr>
          <w:rFonts w:ascii="Century Gothic" w:hAnsi="Century Gothic" w:cs="Times New Roman"/>
          <w:sz w:val="24"/>
          <w:szCs w:val="24"/>
          <w:lang w:val="es-BO"/>
        </w:rPr>
        <w:t>stos recursos se destinan a financiar diversas políticas y servicios públicos, entre los que se encuentran la defensa nacional civil y militar, la gestión institucional de las Fuerzas Armadas, el desarrollo de infraestructura para vivienda y servicios básicos, el abastecimiento de agua potable, el alcantarillado y la gestión de residuos sólidos, así como el acceso universal y gratuito a los servicios de salud mediante el Sistema Único de Salud (SUS), entre otros.</w:t>
      </w:r>
    </w:p>
    <w:p w14:paraId="0FF1331F" w14:textId="77777777" w:rsidR="00F33473" w:rsidRPr="00F33473" w:rsidRDefault="00F33473" w:rsidP="00F33473">
      <w:pPr>
        <w:spacing w:line="288" w:lineRule="auto"/>
        <w:jc w:val="both"/>
        <w:rPr>
          <w:rFonts w:ascii="Century Gothic" w:hAnsi="Century Gothic" w:cs="Times New Roman"/>
          <w:sz w:val="24"/>
          <w:szCs w:val="24"/>
          <w:lang w:val="es-BO"/>
        </w:rPr>
      </w:pPr>
    </w:p>
    <w:p w14:paraId="642A7B1F" w14:textId="77777777" w:rsidR="00F33473" w:rsidRPr="00F33473" w:rsidRDefault="00F33473" w:rsidP="00F33473">
      <w:pPr>
        <w:spacing w:line="288" w:lineRule="auto"/>
        <w:jc w:val="both"/>
        <w:rPr>
          <w:rFonts w:ascii="Century Gothic" w:hAnsi="Century Gothic" w:cs="Times New Roman"/>
          <w:sz w:val="24"/>
          <w:szCs w:val="24"/>
          <w:lang w:val="es-BO"/>
        </w:rPr>
      </w:pPr>
      <w:r w:rsidRPr="00F33473">
        <w:rPr>
          <w:rFonts w:ascii="Century Gothic" w:hAnsi="Century Gothic" w:cs="Times New Roman"/>
          <w:sz w:val="24"/>
          <w:szCs w:val="24"/>
          <w:lang w:val="es-BO"/>
        </w:rPr>
        <w:t>El</w:t>
      </w:r>
      <w:r w:rsidRPr="00F33473">
        <w:rPr>
          <w:rFonts w:ascii="Century Gothic" w:hAnsi="Century Gothic" w:cs="Times New Roman"/>
          <w:sz w:val="24"/>
          <w:szCs w:val="24"/>
          <w:lang w:val="es-BO"/>
        </w:rPr>
        <w:t xml:space="preserve"> presupuesto agregado de Usos de Fondos asciende a Bs 83.538,6 millones, de los cuales Bs 72.940,5 millones corresponden a Otras Aplicaciones Financieras</w:t>
      </w:r>
      <w:r w:rsidRPr="00F33473">
        <w:rPr>
          <w:rFonts w:ascii="Century Gothic" w:hAnsi="Century Gothic" w:cs="Times New Roman"/>
          <w:sz w:val="24"/>
          <w:szCs w:val="24"/>
          <w:lang w:val="es-BO"/>
        </w:rPr>
        <w:t>, d</w:t>
      </w:r>
      <w:r w:rsidRPr="00F33473">
        <w:rPr>
          <w:rFonts w:ascii="Century Gothic" w:hAnsi="Century Gothic" w:cs="Times New Roman"/>
          <w:sz w:val="24"/>
          <w:szCs w:val="24"/>
          <w:lang w:val="es-BO"/>
        </w:rPr>
        <w:t xml:space="preserve">entro de </w:t>
      </w:r>
      <w:r w:rsidRPr="00F33473">
        <w:rPr>
          <w:rFonts w:ascii="Century Gothic" w:hAnsi="Century Gothic" w:cs="Times New Roman"/>
          <w:sz w:val="24"/>
          <w:szCs w:val="24"/>
          <w:lang w:val="es-BO"/>
        </w:rPr>
        <w:t>la cual destaca</w:t>
      </w:r>
      <w:r w:rsidRPr="00F33473">
        <w:rPr>
          <w:rFonts w:ascii="Century Gothic" w:hAnsi="Century Gothic" w:cs="Times New Roman"/>
          <w:sz w:val="24"/>
          <w:szCs w:val="24"/>
          <w:lang w:val="es-BO"/>
        </w:rPr>
        <w:t xml:space="preserve"> las Empresas Nacionales, con Bs 15.104,3 millones, principalmente por la asignación de Bs 9.306,6 millones a </w:t>
      </w:r>
      <w:r w:rsidRPr="00F33473">
        <w:rPr>
          <w:rFonts w:ascii="Century Gothic" w:hAnsi="Century Gothic" w:cs="Times New Roman"/>
          <w:sz w:val="24"/>
          <w:szCs w:val="24"/>
          <w:lang w:val="es-BO"/>
        </w:rPr>
        <w:t>YPFB</w:t>
      </w:r>
      <w:r w:rsidRPr="00F33473">
        <w:rPr>
          <w:rFonts w:ascii="Century Gothic" w:hAnsi="Century Gothic" w:cs="Times New Roman"/>
          <w:sz w:val="24"/>
          <w:szCs w:val="24"/>
          <w:lang w:val="es-BO"/>
        </w:rPr>
        <w:t xml:space="preserve">, destinados </w:t>
      </w:r>
      <w:r w:rsidRPr="00F33473">
        <w:rPr>
          <w:rFonts w:ascii="Century Gothic" w:hAnsi="Century Gothic" w:cs="Times New Roman"/>
          <w:sz w:val="24"/>
          <w:szCs w:val="24"/>
          <w:lang w:val="es-BO"/>
        </w:rPr>
        <w:t>para</w:t>
      </w:r>
      <w:r w:rsidRPr="00F33473">
        <w:rPr>
          <w:rFonts w:ascii="Century Gothic" w:hAnsi="Century Gothic" w:cs="Times New Roman"/>
          <w:sz w:val="24"/>
          <w:szCs w:val="24"/>
          <w:lang w:val="es-BO"/>
        </w:rPr>
        <w:t xml:space="preserve"> programas de comercialización y abastecimiento de hidrocarburos, así como al cambio de la matriz energética. Asimismo, el Órgano Ejecutivo registra Bs 44.722,3 millones, de los cuales Bs 30.682,3 millones corresponden al </w:t>
      </w:r>
      <w:r w:rsidRPr="00F33473">
        <w:rPr>
          <w:rFonts w:ascii="Century Gothic" w:hAnsi="Century Gothic" w:cs="Times New Roman"/>
          <w:sz w:val="24"/>
          <w:szCs w:val="24"/>
          <w:lang w:val="es-BO"/>
        </w:rPr>
        <w:t>TGN</w:t>
      </w:r>
      <w:r w:rsidRPr="00F33473">
        <w:rPr>
          <w:rFonts w:ascii="Century Gothic" w:hAnsi="Century Gothic" w:cs="Times New Roman"/>
          <w:sz w:val="24"/>
          <w:szCs w:val="24"/>
          <w:lang w:val="es-BO"/>
        </w:rPr>
        <w:t>, principalmente para cubrir gastos devengados y el servicio de la deuda.</w:t>
      </w:r>
    </w:p>
    <w:p w14:paraId="53C80694" w14:textId="77777777" w:rsidR="00F33473" w:rsidRPr="00F33473" w:rsidRDefault="00F33473" w:rsidP="00F33473">
      <w:pPr>
        <w:spacing w:line="288" w:lineRule="auto"/>
        <w:jc w:val="both"/>
        <w:rPr>
          <w:rFonts w:ascii="Times New Roman" w:hAnsi="Times New Roman" w:cs="Times New Roman"/>
          <w:sz w:val="24"/>
          <w:szCs w:val="24"/>
          <w:lang w:val="es-BO"/>
        </w:rPr>
      </w:pPr>
    </w:p>
    <w:p w14:paraId="5D9E546D" w14:textId="4CC2446E" w:rsidR="00F33473" w:rsidRPr="00F33473" w:rsidRDefault="00F33473" w:rsidP="00F33473">
      <w:pPr>
        <w:spacing w:line="288" w:lineRule="auto"/>
        <w:jc w:val="both"/>
        <w:rPr>
          <w:rFonts w:ascii="Century Gothic" w:hAnsi="Century Gothic" w:cs="Times New Roman"/>
          <w:sz w:val="24"/>
          <w:szCs w:val="24"/>
          <w:lang w:val="es-BO"/>
        </w:rPr>
      </w:pPr>
      <w:r w:rsidRPr="00F33473">
        <w:rPr>
          <w:rFonts w:ascii="Century Gothic" w:hAnsi="Century Gothic" w:cs="Times New Roman"/>
          <w:sz w:val="24"/>
          <w:szCs w:val="24"/>
          <w:lang w:val="es-BO"/>
        </w:rPr>
        <w:t>Por otra parte, el presupuesto agregado para la Amortización de la Deuda Pública Externa alcanza a Bs 10.598,1 millones. De este total, Bs 9.615,9 millones corresponden al Órgano Ejecutivo, principalmente para atender obligaciones vinculadas con gastos devengados y el servicio de la deuda.</w:t>
      </w:r>
    </w:p>
    <w:p w14:paraId="67320898" w14:textId="77777777" w:rsidR="000D5962" w:rsidRDefault="00D030A2">
      <w:pPr>
        <w:pStyle w:val="Ttulo2"/>
        <w:spacing w:line="288" w:lineRule="auto"/>
        <w:rPr>
          <w:sz w:val="24"/>
          <w:szCs w:val="24"/>
        </w:rPr>
      </w:pPr>
      <w:r>
        <w:rPr>
          <w:rFonts w:ascii="Century Gothic" w:eastAsia="Century Gothic" w:hAnsi="Century Gothic" w:cs="Century Gothic"/>
          <w:szCs w:val="24"/>
          <w:sz w:val="24"/>
        </w:rPr>
        <w:t>3.7. Gasto Social y Productivo (UNIDADES DGPGP)</w:t>
      </w:r>
    </w:p>
    <w:p w14:paraId="0580920E" w14:textId="77777777" w:rsidR="000D5962" w:rsidRDefault="00D030A2">
      <w:pPr>
        <w:spacing w:line="288" w:lineRule="auto"/>
        <w:jc w:val="both"/>
        <w:rPr>
          <w:sz w:val="24"/>
          <w:szCs w:val="24"/>
        </w:rPr>
      </w:pPr>
      <w:r>
        <w:rPr>
          <w:rFonts w:ascii="Century Gothic" w:eastAsia="Century Gothic" w:hAnsi="Century Gothic" w:cs="Century Gothic"/>
          <w:sz w:val="24"/>
          <w:szCs w:val="24"/>
        </w:rPr>
        <w:t xml:space="preserve">El presupuesto consolidado del sector social asciende a Bs77.555 millones </w:t>
      </w:r>
      <w:r>
        <w:rPr>
          <w:rFonts w:ascii="Century Gothic" w:eastAsia="Century Gothic" w:hAnsi="Century Gothic" w:cs="Century Gothic"/>
          <w:sz w:val="24"/>
          <w:highlight w:val="yellow"/>
          <w:szCs w:val="24"/>
        </w:rPr>
        <w:t>[VERIFICAR: criterio de agrupación]</w:t>
      </w:r>
      <w:r>
        <w:rPr>
          <w:rFonts w:ascii="Century Gothic" w:eastAsia="Century Gothic" w:hAnsi="Century Gothic" w:cs="Century Gothic"/>
          <w:sz w:val="24"/>
          <w:szCs w:val="24"/>
        </w:rPr>
        <w:t xml:space="preserve">, el 22,9% del consolidado. Los sectores con mayor asignación son educación, con Bs35.038 millones, y salud y deportes, con Bs30.783 millones, que representan el 10,3% y el 9,1% del consolidado, respectivamente. </w:t>
      </w:r>
      <w:r>
        <w:rPr>
          <w:rFonts w:ascii="Century Gothic" w:eastAsia="Century Gothic" w:hAnsi="Century Gothic" w:cs="Century Gothic"/>
          <w:sz w:val="24"/>
          <w:highlight w:val="yellow"/>
          <w:szCs w:val="24"/>
        </w:rPr>
        <w:t>[COMPLETAR: principales programas por sector]</w:t>
      </w:r>
    </w:p>
    <w:p w14:paraId="306FC69A" w14:textId="77777777" w:rsidR="000D5962" w:rsidRDefault="00D030A2">
      <w:pPr>
        <w:spacing w:line="288" w:lineRule="auto"/>
        <w:jc w:val="both"/>
        <w:rPr>
          <w:sz w:val="24"/>
          <w:szCs w:val="24"/>
        </w:rPr>
      </w:pPr>
      <w:r>
        <w:rPr>
          <w:rFonts w:ascii="Century Gothic" w:eastAsia="Century Gothic" w:hAnsi="Century Gothic" w:cs="Century Gothic"/>
          <w:sz w:val="24"/>
          <w:szCs w:val="24"/>
        </w:rPr>
        <w:t xml:space="preserve">En el ámbito productivo, al sector de hidrocarburos y energía se asignan Bs78.875 millones, a obras públicas, servicios y vivienda Bs19.653 millones, a minería y metalurgia Bs12.417 millones y a desarrollo productivo, rural y agua Bs12.431 millones. </w:t>
      </w:r>
      <w:r>
        <w:rPr>
          <w:rFonts w:ascii="Century Gothic" w:eastAsia="Century Gothic" w:hAnsi="Century Gothic" w:cs="Century Gothic"/>
          <w:sz w:val="24"/>
          <w:highlight w:val="yellow"/>
          <w:szCs w:val="24"/>
        </w:rPr>
        <w:t>[COMPLETAR: destinos principales]</w:t>
      </w:r>
    </w:p>
    <w:p w14:paraId="4B22DF88" w14:textId="2FA5134C" w:rsidR="000D5962" w:rsidRDefault="00D030A2">
      <w:pPr>
        <w:pStyle w:val="Ttulo2"/>
        <w:spacing w:line="288" w:lineRule="auto"/>
        <w:rPr>
          <w:sz w:val="24"/>
          <w:szCs w:val="24"/>
        </w:rPr>
      </w:pPr>
      <w:r w:rsidRPr="00836D20">
        <w:rPr>
          <w:rFonts w:ascii="Century Gothic" w:eastAsia="Century Gothic" w:hAnsi="Century Gothic" w:cs="Century Gothic"/>
          <w:szCs w:val="24"/>
          <w:highlight w:val="green"/>
          <w:sz w:val="24"/>
        </w:rPr>
        <w:t xml:space="preserve">3.8. Presupuesto de las Entidades Territoriales Autónomas (ETA) y </w:t>
      </w:r>
      <w:proofErr w:type="spellStart"/>
      <w:r w:rsidRPr="00836D20">
        <w:rPr>
          <w:rFonts w:ascii="Century Gothic" w:eastAsia="Century Gothic" w:hAnsi="Century Gothic" w:cs="Century Gothic"/>
          <w:szCs w:val="24"/>
          <w:highlight w:val="green"/>
          <w:sz w:val="24"/>
        </w:rPr>
        <w:t>Universidades</w:t>
      </w:r>
      <w:proofErr w:type="spellEnd"/>
      <w:r w:rsidRPr="00836D20">
        <w:rPr>
          <w:rFonts w:ascii="Century Gothic" w:eastAsia="Century Gothic" w:hAnsi="Century Gothic" w:cs="Century Gothic"/>
          <w:szCs w:val="24"/>
          <w:highlight w:val="green"/>
          <w:sz w:val="24"/>
        </w:rPr>
        <w:t xml:space="preserve"> </w:t>
      </w:r>
      <w:proofErr w:type="spellStart"/>
      <w:r w:rsidRPr="00836D20">
        <w:rPr>
          <w:rFonts w:ascii="Century Gothic" w:eastAsia="Century Gothic" w:hAnsi="Century Gothic" w:cs="Century Gothic"/>
          <w:szCs w:val="24"/>
          <w:highlight w:val="green"/>
          <w:sz w:val="24"/>
        </w:rPr>
        <w:t>Públicas</w:t>
      </w:r>
      <w:proofErr w:type="spellEnd"/>
      <w:r w:rsidRPr="00836D20">
        <w:rPr>
          <w:rFonts w:ascii="Century Gothic" w:eastAsia="Century Gothic" w:hAnsi="Century Gothic" w:cs="Century Gothic"/>
          <w:szCs w:val="24"/>
          <w:highlight w:val="green"/>
          <w:sz w:val="24"/>
        </w:rPr>
        <w:t xml:space="preserve"> (SILVIA</w:t>
      </w:r>
      <w:r w:rsidR="00836D20" w:rsidRPr="00836D20">
        <w:rPr>
          <w:rFonts w:ascii="Century Gothic" w:eastAsia="Century Gothic" w:hAnsi="Century Gothic" w:cs="Century Gothic"/>
          <w:szCs w:val="24"/>
          <w:highlight w:val="green"/>
          <w:sz w:val="24"/>
        </w:rPr>
        <w:t>)</w:t>
      </w:r>
    </w:p>
    <w:p w14:paraId="6374C752" w14:textId="51BA92A8" w:rsidR="00204EDB" w:rsidRPr="001A15AF" w:rsidRDefault="00204EDB" w:rsidP="00204EDB">
      <w:pPr>
        <w:spacing w:line="288" w:lineRule="auto"/>
        <w:jc w:val="both"/>
        <w:rPr>
          <w:rFonts w:ascii="Century Gothic" w:eastAsia="Century Gothic" w:hAnsi="Century Gothic" w:cs="Century Gothic"/>
          <w:sz w:val="24"/>
          <w:lang w:val="es-BO"/>
          <w:szCs w:val="24"/>
        </w:rPr>
      </w:pPr>
      <w:r w:rsidRPr="00204EDB">
        <w:rPr>
          <w:rFonts w:ascii="Century Gothic" w:eastAsia="Century Gothic" w:hAnsi="Century Gothic" w:cs="Century Gothic"/>
          <w:sz w:val="24"/>
          <w:lang w:val="es-BO"/>
          <w:szCs w:val="24"/>
        </w:rPr>
        <w:t>Las transferencias que se prevé realizar en la gestión 2027 a favor de los Gobiernos Autónomos Departamentales (GAD), Gobiernos Autónomos Regionales (GAR), Gobiernos Autónomos Municipales (GAM), Gobiernos Autónomos Indígena Originario Campesino (GAIOC) y Universidades Públicas Autónomas (UPA) registrarán un incremento de 26,3% respecto al presupuestado del 2026, alcanzando un total de Bs24.399 millones, que permitirá a las entidades beneficiarias disponer de mayores recursos. Estas transferencias generadas por concepto de coparticipación en tributos nacionales, regalías por la explotación de recursos naturales y la subvención ordinaria son distribuidos de la siguiente manera: a los GAD corresponde Bs6.665 millones, GAM Bs13.959 millones, Universidades Públicas Bs3.331 millones, GAR del Gran Chaco Bs352 millones y a los GAIOC Bs93 millones.</w:t>
      </w:r>
    </w:p>
    <w:p w14:paraId="16D90D36" w14:textId="77777777" w:rsidR="00204EDB" w:rsidRPr="00204EDB" w:rsidRDefault="00204EDB" w:rsidP="00204EDB">
      <w:pPr>
        <w:spacing w:after="0" w:line="240" w:lineRule="auto"/>
        <w:jc w:val="center"/>
        <w:rPr>
          <w:rFonts w:ascii="Century Gothic" w:eastAsia="Times New Roman" w:hAnsi="Century Gothic" w:cs="Tahoma"/>
          <w:b/>
          <w:bCs/>
          <w:color w:val="000000"/>
          <w:sz w:val="24"/>
          <w:szCs w:val="24"/>
          <w:lang w:val="es-ES" w:eastAsia="es-BO"/>
        </w:rPr>
      </w:pPr>
      <w:bookmarkStart w:id="2" w:name="_Toc86252013"/>
      <w:r w:rsidRPr="00204EDB">
        <w:rPr>
          <w:rFonts w:ascii="Century Gothic" w:eastAsia="Times New Roman" w:hAnsi="Century Gothic" w:cs="Tahoma"/>
          <w:b/>
          <w:bCs/>
          <w:color w:val="000000"/>
          <w:sz w:val="24"/>
          <w:szCs w:val="24"/>
          <w:lang w:val="es-ES" w:eastAsia="es-BO"/>
        </w:rPr>
        <w:t xml:space="preserve">Gráfico N° 13:</w:t>
      </w:r>
      <w:proofErr w:type="spellStart"/>
      <w:r w:rsidRPr="00204EDB">
        <w:rPr>
          <w:rFonts w:ascii="Century Gothic" w:eastAsia="Times New Roman" w:hAnsi="Century Gothic" w:cs="Tahoma"/>
          <w:b/>
          <w:bCs/>
          <w:color w:val="000000"/>
          <w:sz w:val="24"/>
          <w:szCs w:val="24"/>
          <w:lang w:val="es-ES" w:eastAsia="es-BO"/>
        </w:rPr>
        <w:t xml:space="preserve"/>
      </w:r>
      <w:proofErr w:type="spellEnd"/>
      <w:r w:rsidRPr="00204EDB">
        <w:rPr>
          <w:rFonts w:ascii="Century Gothic" w:eastAsia="Times New Roman" w:hAnsi="Century Gothic" w:cs="Tahoma"/>
          <w:b/>
          <w:bCs/>
          <w:color w:val="000000"/>
          <w:sz w:val="24"/>
          <w:szCs w:val="24"/>
          <w:lang w:val="es-ES" w:eastAsia="es-BO"/>
        </w:rPr>
        <w:t xml:space="preserve"> Transferencias y Regalías a GAD, GAR, GAM, GAIOC y </w:t>
      </w:r>
    </w:p>
    <w:p w14:paraId="1FDC806C" w14:textId="77777777" w:rsidR="00204EDB" w:rsidRPr="00204EDB" w:rsidRDefault="00204EDB" w:rsidP="00204EDB">
      <w:pPr>
        <w:spacing w:after="0" w:line="240" w:lineRule="auto"/>
        <w:jc w:val="center"/>
        <w:rPr>
          <w:rFonts w:ascii="Century Gothic" w:eastAsia="Times New Roman" w:hAnsi="Century Gothic" w:cs="Tahoma"/>
          <w:b/>
          <w:bCs/>
          <w:color w:val="000000"/>
          <w:sz w:val="24"/>
          <w:szCs w:val="24"/>
          <w:lang w:val="es-ES" w:eastAsia="es-BO"/>
        </w:rPr>
      </w:pPr>
      <w:r w:rsidRPr="00204EDB">
        <w:rPr>
          <w:rFonts w:ascii="Century Gothic" w:eastAsia="Times New Roman" w:hAnsi="Century Gothic" w:cs="Tahoma"/>
          <w:b/>
          <w:bCs/>
          <w:color w:val="000000"/>
          <w:sz w:val="24"/>
          <w:szCs w:val="24"/>
          <w:lang w:val="es-ES" w:eastAsia="es-BO"/>
        </w:rPr>
        <w:t>Universidades Públicas, 2026 – 202</w:t>
      </w:r>
      <w:bookmarkEnd w:id="9"/>
      <w:r w:rsidRPr="00204EDB">
        <w:rPr>
          <w:rFonts w:ascii="Century Gothic" w:eastAsia="Times New Roman" w:hAnsi="Century Gothic" w:cs="Tahoma"/>
          <w:b/>
          <w:bCs/>
          <w:color w:val="000000"/>
          <w:sz w:val="24"/>
          <w:szCs w:val="24"/>
          <w:lang w:val="es-ES" w:eastAsia="es-BO"/>
        </w:rPr>
        <w:t xml:space="preserve">7 (P)          </w:t>
      </w:r>
    </w:p>
    <w:p w14:paraId="693784BA" w14:textId="77777777" w:rsidR="00204EDB" w:rsidRPr="00204EDB" w:rsidRDefault="00204EDB" w:rsidP="00204EDB">
      <w:pPr>
        <w:spacing w:after="0" w:line="240" w:lineRule="auto"/>
        <w:jc w:val="center"/>
        <w:rPr>
          <w:rFonts w:ascii="Century Gothic" w:eastAsia="Times New Roman" w:hAnsi="Century Gothic" w:cs="Tahoma"/>
          <w:color w:val="000000"/>
          <w:sz w:val="24"/>
          <w:szCs w:val="24"/>
          <w:lang w:val="es-ES" w:eastAsia="es-BO"/>
        </w:rPr>
      </w:pPr>
      <w:r w:rsidRPr="00204EDB">
        <w:rPr>
          <w:rFonts w:ascii="Century Gothic" w:eastAsia="Times New Roman" w:hAnsi="Century Gothic" w:cs="Tahoma"/>
          <w:color w:val="000000"/>
          <w:sz w:val="24"/>
          <w:szCs w:val="24"/>
          <w:lang w:val="es-ES" w:eastAsia="es-BO"/>
        </w:rPr>
        <w:t>(En millones de bolivianos y porcentaje)</w:t>
      </w:r>
    </w:p>
    <w:p w14:paraId="6755D475" w14:textId="542FD845" w:rsidR="00204EDB" w:rsidRDefault="00204EDB" w:rsidP="00204EDB">
      <w:pPr>
        <w:jc w:val="center"/>
        <w:rPr>
          <w:rFonts w:ascii="Century Gothic" w:hAnsi="Century Gothic"/>
          <w:color w:val="000000" w:themeColor="text1"/>
          <w:sz w:val="24"/>
          <w:szCs w:val="24"/>
        </w:rPr>
      </w:pPr>
      <w:bookmarkStart w:id="3" w:name="_Hlk243749335"/>
      <w:r>
        <w:rPr>
          <w:noProof/>
          <w:sz w:val="24"/>
          <w:szCs w:val="24"/>
        </w:rPr>
        <mc:AlternateContent>
          <mc:Choice Requires="wps">
            <w:drawing>
              <wp:anchor distT="0" distB="0" distL="114300" distR="114300" simplePos="0" relativeHeight="251657216" behindDoc="0" locked="0" layoutInCell="1" allowOverlap="1" wp14:anchorId="43CBA965" wp14:editId="446CE05D">
                <wp:simplePos x="0" y="0"/>
                <wp:positionH relativeFrom="column">
                  <wp:posOffset>1603375</wp:posOffset>
                </wp:positionH>
                <wp:positionV relativeFrom="paragraph">
                  <wp:posOffset>908448</wp:posOffset>
                </wp:positionV>
                <wp:extent cx="573361" cy="190500"/>
                <wp:effectExtent l="0" t="0" r="17780" b="19050"/>
                <wp:wrapNone/>
                <wp:docPr id="16" name="CuadroTexto 2"/>
                <wp:cNvGraphicFramePr/>
                <a:graphic xmlns:a="http://schemas.openxmlformats.org/drawingml/2006/main">
                  <a:graphicData uri="http://schemas.microsoft.com/office/word/2010/wordprocessingShape">
                    <wps:wsp>
                      <wps:cNvSpPr txBox="1"/>
                      <wps:spPr>
                        <a:xfrm>
                          <a:off x="0" y="0"/>
                          <a:ext cx="573361" cy="190500"/>
                        </a:xfrm>
                        <a:prstGeom prst="rect">
                          <a:avLst/>
                        </a:prstGeom>
                        <a:solidFill>
                          <a:schemeClr val="lt1"/>
                        </a:solidFill>
                        <a:ln w="9525" cmpd="sng">
                          <a:solidFill>
                            <a:sysClr val="windowText" lastClr="000000"/>
                          </a:solidFill>
                          <a:prstDash val="dash"/>
                        </a:ln>
                      </wps:spPr>
                      <wps:style>
                        <a:lnRef idx="0">
                          <a:scrgbClr r="0" g="0" b="0"/>
                        </a:lnRef>
                        <a:fillRef idx="0">
                          <a:scrgbClr r="0" g="0" b="0"/>
                        </a:fillRef>
                        <a:effectRef idx="0">
                          <a:scrgbClr r="0" g="0" b="0"/>
                        </a:effectRef>
                        <a:fontRef idx="minor">
                          <a:schemeClr val="dk1"/>
                        </a:fontRef>
                      </wps:style>
                      <wps:txbx>
                        <w:txbxContent>
                          <w:p w14:paraId="510FD471" w14:textId="77777777" w:rsidR="00204EDB" w:rsidRPr="00204EDB" w:rsidRDefault="00204EDB" w:rsidP="00204EDB">
                            <w:pPr>
                              <w:jc w:val="center"/>
                              <w:rPr>
                                <w:rFonts w:ascii="Century Gothic" w:hAnsi="Century Gothic"/>
                                <w:b/>
                                <w:bCs/>
                                <w:color w:val="000000" w:themeColor="dark1"/>
                                <w:sz w:val="22"/>
                              </w:rPr>
                            </w:pPr>
                            <w:r w:rsidRPr="00204EDB">
                              <w:rPr>
                                <w:rFonts w:ascii="Century Gothic" w:hAnsi="Century Gothic"/>
                                <w:b/>
                                <w:bCs/>
                                <w:color w:val="000000" w:themeColor="dark1"/>
                                <w:sz w:val="24"/>
                                <w:szCs w:val="24"/>
                              </w:rPr>
                              <w:t>19.315</w:t>
                            </w:r>
                          </w:p>
                        </w:txbxContent>
                      </wps:txbx>
                      <wps:bodyPr vertOverflow="clip" horzOverflow="clip" wrap="square" lIns="0" tIns="0" rIns="0" bIns="0" rtlCol="0" anchor="ctr"/>
                    </wps:wsp>
                  </a:graphicData>
                </a:graphic>
              </wp:anchor>
            </w:drawing>
          </mc:Choice>
          <mc:Fallback>
            <w:pict>
              <v:shapetype w14:anchorId="43CBA965" id="_x0000_t202" coordsize="21600,21600" o:spt="202" path="m,l,21600r21600,l21600,xe">
                <v:stroke joinstyle="miter"/>
                <v:path gradientshapeok="t" o:connecttype="rect"/>
              </v:shapetype>
              <v:shape id="CuadroTexto 2" o:spid="_x0000_s1026" type="#_x0000_t202" style="position:absolute;left:0;text-align:left;margin-left:126.25pt;margin-top:71.55pt;width:45.15pt;height:1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" fillcolor="white [3201]" strokecolor="windowText">
                <v:stroke dashstyle="dash"/>
                <v:textbox inset="0,0,0,0">
                  <w:txbxContent>
                    <w:p w14:paraId="510FD471" w14:textId="77777777" w:rsidR="00204EDB" w:rsidRPr="00204EDB" w:rsidRDefault="00204EDB" w:rsidP="00204EDB">
                      <w:pPr>
                        <w:jc w:val="center"/>
                        <w:rPr>
                          <w:rFonts w:ascii="Century Gothic" w:hAnsi="Century Gothic"/>
                          <w:b/>
                          <w:bCs/>
                          <w:color w:val="000000" w:themeColor="dark1"/>
                          <w:sz w:val="22"/>
                        </w:rPr>
                      </w:pPr>
                      <w:r w:rsidRPr="00204EDB">
                        <w:rPr>
                          <w:rFonts w:ascii="Century Gothic" w:hAnsi="Century Gothic"/>
                          <w:b/>
                          <w:bCs/>
                          <w:color w:val="000000" w:themeColor="dark1"/>
                          <w:sz w:val="24"/>
                          <w:szCs w:val="24"/>
                        </w:rPr>
                        <w:t>19.315</w:t>
                      </w:r>
                    </w:p>
                  </w:txbxContent>
                </v:textbox>
              </v:shape>
            </w:pict>
          </mc:Fallback>
        </mc:AlternateContent>
      </w:r>
      <w:r>
        <w:rPr>
          <w:noProof/>
          <w:sz w:val="24"/>
          <w:szCs w:val="24"/>
        </w:rPr>
        <mc:AlternateContent>
          <mc:Choice Requires="wps">
            <w:drawing>
              <wp:anchor distT="0" distB="0" distL="114300" distR="114300" simplePos="0" relativeHeight="251665408" behindDoc="0" locked="0" layoutInCell="1" allowOverlap="1" wp14:anchorId="0EC5491C" wp14:editId="419279A2">
                <wp:simplePos x="0" y="0"/>
                <wp:positionH relativeFrom="column">
                  <wp:posOffset>2538483</wp:posOffset>
                </wp:positionH>
                <wp:positionV relativeFrom="paragraph">
                  <wp:posOffset>767620</wp:posOffset>
                </wp:positionV>
                <wp:extent cx="653143" cy="332016"/>
                <wp:effectExtent l="0" t="38100" r="52070" b="30480"/>
                <wp:wrapNone/>
                <wp:docPr id="17" name="Conector recto de flecha 15"/>
                <wp:cNvGraphicFramePr/>
                <a:graphic xmlns:a="http://schemas.openxmlformats.org/drawingml/2006/main">
                  <a:graphicData uri="http://schemas.microsoft.com/office/word/2010/wordprocessingShape">
                    <wps:wsp>
                      <wps:cNvCnPr/>
                      <wps:spPr>
                        <a:xfrm flipV="1">
                          <a:off x="0" y="0"/>
                          <a:ext cx="653143" cy="332016"/>
                        </a:xfrm>
                        <a:prstGeom prst="straightConnector1">
                          <a:avLst/>
                        </a:prstGeom>
                        <a:ln w="254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F69D362" id="_x0000_t32" coordsize="21600,21600" o:spt="32" o:oned="t" path="m,l21600,21600e" filled="f">
                <v:path arrowok="t" fillok="f" o:connecttype="none"/>
                <o:lock v:ext="edit" shapetype="t"/>
              </v:shapetype>
              <v:shape id="Conector recto de flecha 15" o:spid="_x0000_s1026" type="#_x0000_t32" style="position:absolute;margin-left:199.9pt;margin-top:60.45pt;width:51.45pt;height:26.15pt;flip: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" strokecolor="black [3213]" strokeweight="2pt">
                <v:stroke endarrow="block"/>
              </v:shape>
            </w:pict>
          </mc:Fallback>
        </mc:AlternateContent>
      </w:r>
      <w:r>
        <w:rPr>
          <w:noProof/>
        </w:rPr>
        <w:drawing>
          <wp:inline distT="0" distB="0" distL="0" distR="0" wp14:anchorId="2B511A1D" wp14:editId="68DB654C">
            <wp:extent cx="4331335" cy="3425588"/>
            <wp:effectExtent l="0" t="0" r="0" b="0"/>
            <wp:docPr id="18" name="Gráfico 12">
              <a:extLst xmlns:a="http://schemas.openxmlformats.org/drawingml/2006/main">
                <a:ext uri="{FF2B5EF4-FFF2-40B4-BE49-F238E27FC236}">
                  <a16:creationId xmlns:a16="http://schemas.microsoft.com/office/drawing/2014/main" id="{D0F83BC7-10FE-4441-BD71-E1DD833C7459}"/>
                </a:ext>
              </a:extLst>
            </wp:docPr>
            <wp:cNvGraphicFramePr/>
            <a:graphic xmlns:a="http://schemas.openxmlformats.org/drawingml/2006/main">
              <a:graphicData uri="http://schemas.openxmlformats.org/drawingml/2006/chart">
                <c:chart xmlns:c="http://schemas.openxmlformats.org/drawingml/2006/chart" r:id="rId41"/>
              </a:graphicData>
            </a:graphic>
          </wp:inline>
        </w:drawing>
      </w:r>
    </w:p>
    <w:p w14:paraId="62C46B70" w14:textId="77777777" w:rsidR="00204EDB" w:rsidRPr="00204EDB" w:rsidRDefault="00204EDB" w:rsidP="00204EDB">
      <w:pPr>
        <w:spacing w:after="0" w:line="240" w:lineRule="auto" w:before="0"/>
        <w:rPr>
          <w:rFonts w:ascii="Century Gothic" w:eastAsia="Century Gothic" w:hAnsi="Century Gothic" w:cs="Century Gothic"/>
          <w:b/>
          <w:sz w:val="16"/>
          <w:szCs w:val="16"/>
          <w:lang w:val="es-BO"/>
        </w:rPr>
      </w:pPr>
      <w:r w:rsidRPr="00204EDB">
        <w:rPr>
          <w:rFonts w:ascii="Century Gothic" w:eastAsia="Century Gothic" w:hAnsi="Century Gothic" w:cs="Century Gothic"/>
          <w:b/>
          <w:sz w:val="16"/>
          <w:szCs w:val="16"/>
          <w:lang w:val="es-BO"/>
        </w:rPr>
        <w:t xml:space="preserve">Fuente: </w:t>
      </w:r>
      <w:r w:rsidRPr="00204EDB">
        <w:rPr>
          <w:rFonts w:ascii="Century Gothic" w:eastAsia="Century Gothic" w:hAnsi="Century Gothic" w:cs="Century Gothic"/>
          <w:sz w:val="16"/>
          <w:szCs w:val="16"/>
          <w:lang w:val="es-BO"/>
        </w:rPr>
        <w:t>PGE 2026 y Proyecto de PGE 2027</w:t>
      </w:r>
    </w:p>
    <w:p w14:paraId="245A86D9" w14:textId="77777777" w:rsidR="00204EDB" w:rsidRPr="00204EDB" w:rsidRDefault="00204EDB" w:rsidP="00204EDB">
      <w:pPr>
        <w:spacing w:after="0" w:line="240" w:lineRule="auto" w:before="0"/>
        <w:rPr>
          <w:rFonts w:ascii="Century Gothic" w:eastAsia="Century Gothic" w:hAnsi="Century Gothic" w:cs="Century Gothic"/>
          <w:b/>
          <w:sz w:val="16"/>
          <w:szCs w:val="16"/>
          <w:lang w:val="es-BO"/>
        </w:rPr>
      </w:pPr>
      <w:r w:rsidRPr="00204EDB">
        <w:rPr>
          <w:rFonts w:ascii="Century Gothic" w:eastAsia="Century Gothic" w:hAnsi="Century Gothic" w:cs="Century Gothic"/>
          <w:b/>
          <w:sz w:val="16"/>
          <w:szCs w:val="16"/>
          <w:lang w:val="es-BO"/>
        </w:rPr>
        <w:t xml:space="preserve">Elaboración: </w:t>
      </w:r>
      <w:r w:rsidRPr="00204EDB">
        <w:rPr>
          <w:rFonts w:ascii="Century Gothic" w:eastAsia="Century Gothic" w:hAnsi="Century Gothic" w:cs="Century Gothic"/>
          <w:sz w:val="16"/>
          <w:szCs w:val="16"/>
          <w:lang w:val="es-BO"/>
        </w:rPr>
        <w:t>MEFP-VPCF-DGPGP-UGPPP</w:t>
      </w:r>
    </w:p>
    <w:bookmarkEnd w:id="10"/>
    <w:p w14:paraId="4177752A" w14:textId="77777777" w:rsidR="000D5962" w:rsidRDefault="000D5962">
      <w:pPr>
        <w:spacing w:after="40"/>
        <w:rPr>
          <w:sz w:val="24"/>
          <w:szCs w:val="24"/>
        </w:rPr>
      </w:pPr>
    </w:p>
    <w:p w14:paraId="1ED6940B" w14:textId="7ACA3264" w:rsidR="000D5962" w:rsidRDefault="00D030A2">
      <w:pPr>
        <w:pStyle w:val="Ttulo2"/>
        <w:spacing w:line="288" w:lineRule="auto"/>
        <w:rPr>
          <w:sz w:val="24"/>
          <w:szCs w:val="24"/>
        </w:rPr>
      </w:pPr>
      <w:r w:rsidRPr="00836D20">
        <w:rPr>
          <w:rFonts w:ascii="Century Gothic" w:eastAsia="Century Gothic" w:hAnsi="Century Gothic" w:cs="Century Gothic"/>
          <w:szCs w:val="24"/>
          <w:highlight w:val="green"/>
          <w:sz w:val="24"/>
        </w:rPr>
        <w:t xml:space="preserve">3.9. Aportes de Capital a las </w:t>
      </w:r>
      <w:proofErr w:type="spellStart"/>
      <w:r w:rsidRPr="00836D20">
        <w:rPr>
          <w:rFonts w:ascii="Century Gothic" w:eastAsia="Century Gothic" w:hAnsi="Century Gothic" w:cs="Century Gothic"/>
          <w:szCs w:val="24"/>
          <w:highlight w:val="green"/>
          <w:sz w:val="24"/>
        </w:rPr>
        <w:t>Empresas</w:t>
      </w:r>
      <w:proofErr w:type="spellEnd"/>
      <w:r w:rsidRPr="00836D20">
        <w:rPr>
          <w:rFonts w:ascii="Century Gothic" w:eastAsia="Century Gothic" w:hAnsi="Century Gothic" w:cs="Century Gothic"/>
          <w:szCs w:val="24"/>
          <w:highlight w:val="green"/>
          <w:sz w:val="24"/>
        </w:rPr>
        <w:t xml:space="preserve"> </w:t>
      </w:r>
      <w:proofErr w:type="spellStart"/>
      <w:r w:rsidRPr="00836D20">
        <w:rPr>
          <w:rFonts w:ascii="Century Gothic" w:eastAsia="Century Gothic" w:hAnsi="Century Gothic" w:cs="Century Gothic"/>
          <w:szCs w:val="24"/>
          <w:highlight w:val="green"/>
          <w:sz w:val="24"/>
        </w:rPr>
        <w:t>Públicas</w:t>
      </w:r>
      <w:proofErr w:type="spellEnd"/>
      <w:r w:rsidRPr="00836D20">
        <w:rPr>
          <w:rFonts w:ascii="Century Gothic" w:eastAsia="Century Gothic" w:hAnsi="Century Gothic" w:cs="Century Gothic"/>
          <w:szCs w:val="24"/>
          <w:highlight w:val="green"/>
          <w:sz w:val="24"/>
        </w:rPr>
        <w:t xml:space="preserve"> (</w:t>
      </w:r>
      <w:r w:rsidR="00836D20">
        <w:rPr>
          <w:rFonts w:ascii="Century Gothic" w:eastAsia="Century Gothic" w:hAnsi="Century Gothic" w:cs="Century Gothic"/>
          <w:szCs w:val="24"/>
          <w:highlight w:val="green"/>
          <w:sz w:val="24"/>
        </w:rPr>
        <w:t>UEP</w:t>
      </w:r>
      <w:r w:rsidRPr="00836D20">
        <w:rPr>
          <w:rFonts w:ascii="Century Gothic" w:eastAsia="Century Gothic" w:hAnsi="Century Gothic" w:cs="Century Gothic"/>
          <w:szCs w:val="24"/>
          <w:highlight w:val="green"/>
          <w:sz w:val="24"/>
        </w:rPr>
        <w:t>)</w:t>
      </w:r>
    </w:p>
    <w:p w14:paraId="28FA1DEC" w14:textId="77777777" w:rsidR="000D5962" w:rsidRDefault="00D030A2">
      <w:pPr>
        <w:spacing w:line="288" w:lineRule="auto"/>
        <w:jc w:val="both"/>
        <w:rPr>
          <w:sz w:val="24"/>
          <w:szCs w:val="24"/>
        </w:rPr>
      </w:pPr>
      <w:r>
        <w:rPr>
          <w:rFonts w:ascii="Century Gothic" w:eastAsia="Century Gothic" w:hAnsi="Century Gothic" w:cs="Century Gothic"/>
          <w:sz w:val="24"/>
          <w:szCs w:val="24"/>
        </w:rPr>
        <w:t xml:space="preserve">Para la gestión 2027, el TGN registra Bs529 millones en acciones y participaciones de capital en empresas públicas nacionales </w:t>
      </w:r>
      <w:r>
        <w:rPr>
          <w:rFonts w:ascii="Century Gothic" w:eastAsia="Century Gothic" w:hAnsi="Century Gothic" w:cs="Century Gothic"/>
          <w:sz w:val="24"/>
          <w:highlight w:val="yellow"/>
          <w:szCs w:val="24"/>
        </w:rPr>
        <w:t>[VERIFICAR]</w:t>
      </w:r>
      <w:r>
        <w:rPr>
          <w:rFonts w:ascii="Century Gothic" w:eastAsia="Century Gothic" w:hAnsi="Century Gothic" w:cs="Century Gothic"/>
          <w:sz w:val="24"/>
          <w:szCs w:val="24"/>
        </w:rPr>
        <w:t xml:space="preserve">, destinados a </w:t>
      </w:r>
      <w:r>
        <w:rPr>
          <w:rFonts w:ascii="Century Gothic" w:eastAsia="Century Gothic" w:hAnsi="Century Gothic" w:cs="Century Gothic"/>
          <w:sz w:val="24"/>
          <w:highlight w:val="yellow"/>
          <w:szCs w:val="24"/>
        </w:rPr>
        <w:t xml:space="preserve">[COMPLETAR: </w:t>
      </w:r>
      <w:proofErr w:type="spellStart"/>
      <w:r>
        <w:rPr>
          <w:rFonts w:ascii="Century Gothic" w:eastAsia="Century Gothic" w:hAnsi="Century Gothic" w:cs="Century Gothic"/>
          <w:sz w:val="24"/>
          <w:highlight w:val="yellow"/>
          <w:szCs w:val="24"/>
        </w:rPr>
        <w:t>empresas</w:t>
      </w:r>
      <w:proofErr w:type="spellEnd"/>
      <w:r>
        <w:rPr>
          <w:rFonts w:ascii="Century Gothic" w:eastAsia="Century Gothic" w:hAnsi="Century Gothic" w:cs="Century Gothic"/>
          <w:sz w:val="24"/>
          <w:highlight w:val="yellow"/>
          <w:szCs w:val="24"/>
        </w:rPr>
        <w:t xml:space="preserve"> y </w:t>
      </w:r>
      <w:proofErr w:type="spellStart"/>
      <w:r>
        <w:rPr>
          <w:rFonts w:ascii="Century Gothic" w:eastAsia="Century Gothic" w:hAnsi="Century Gothic" w:cs="Century Gothic"/>
          <w:sz w:val="24"/>
          <w:highlight w:val="yellow"/>
          <w:szCs w:val="24"/>
        </w:rPr>
        <w:t>proyectos</w:t>
      </w:r>
      <w:proofErr w:type="spellEnd"/>
      <w:r>
        <w:rPr>
          <w:rFonts w:ascii="Century Gothic" w:eastAsia="Century Gothic" w:hAnsi="Century Gothic" w:cs="Century Gothic"/>
          <w:sz w:val="24"/>
          <w:highlight w:val="yellow"/>
          <w:szCs w:val="24"/>
        </w:rPr>
        <w:t xml:space="preserve"> </w:t>
      </w:r>
      <w:proofErr w:type="spellStart"/>
      <w:r>
        <w:rPr>
          <w:rFonts w:ascii="Century Gothic" w:eastAsia="Century Gothic" w:hAnsi="Century Gothic" w:cs="Century Gothic"/>
          <w:sz w:val="24"/>
          <w:highlight w:val="yellow"/>
          <w:szCs w:val="24"/>
        </w:rPr>
        <w:t>beneficiarios</w:t>
      </w:r>
      <w:proofErr w:type="spellEnd"/>
      <w:r>
        <w:rPr>
          <w:rFonts w:ascii="Century Gothic" w:eastAsia="Century Gothic" w:hAnsi="Century Gothic" w:cs="Century Gothic"/>
          <w:sz w:val="24"/>
          <w:highlight w:val="yellow"/>
          <w:szCs w:val="24"/>
        </w:rPr>
        <w:t>]</w:t>
      </w:r>
      <w:r>
        <w:rPr>
          <w:rFonts w:ascii="Century Gothic" w:eastAsia="Century Gothic" w:hAnsi="Century Gothic" w:cs="Century Gothic"/>
          <w:sz w:val="24"/>
          <w:szCs w:val="24"/>
        </w:rPr>
        <w:t>.</w:t>
      </w:r>
    </w:p>
    <w:p w14:paraId="1E5ABBDB" w14:textId="77777777" w:rsidR="000D5962" w:rsidRDefault="00D030A2">
      <w:pPr>
        <w:pStyle w:val="Ttulo2"/>
        <w:spacing w:line="288" w:lineRule="auto"/>
        <w:rPr>
          <w:sz w:val="24"/>
          <w:szCs w:val="24"/>
        </w:rPr>
      </w:pPr>
      <w:r w:rsidRPr="00836D20">
        <w:rPr>
          <w:rFonts w:ascii="Century Gothic" w:eastAsia="Century Gothic" w:hAnsi="Century Gothic" w:cs="Century Gothic"/>
          <w:szCs w:val="24"/>
          <w:highlight w:val="green"/>
          <w:sz w:val="24"/>
        </w:rPr>
        <w:t>3.10. Incentivo a las exportaciones mediante devolución de Certificado de Devolución Impositiva (CEDEIM) (SILVIA)</w:t>
      </w:r>
    </w:p>
    <w:p w14:paraId="3F9A0FC8" w14:textId="1ACC594C" w:rsidR="0021089F" w:rsidRDefault="008134C1" w:rsidP="008F41F5">
      <w:pPr>
        <w:spacing w:line="288" w:lineRule="auto"/>
        <w:jc w:val="both"/>
        <w:rPr>
          <w:rFonts w:ascii="Century Gothic" w:hAnsi="Century Gothic" w:cs="Arial"/>
          <w:color w:val="548DD4" w:themeColor="text2" w:themeTint="99"/>
          <w:szCs w:val="24"/>
          <w:sz w:val="24"/>
        </w:rPr>
      </w:pPr>
      <w:r w:rsidRPr="0021089F">
        <w:rPr>
          <w:rFonts w:ascii="Century Gothic" w:hAnsi="Century Gothic" w:cs="Arial"/>
          <w:szCs w:val="24"/>
          <w:sz w:val="24"/>
        </w:rPr>
        <w:t xml:space="preserve">Los CEDEIMS son títulos valores transferibles por simple endoso, con vigencia indefinida y que pueden ser utilizados por el beneficiario final para el pago de cualquier tributo cuya recaudación está a cargo de la </w:t>
      </w:r>
      <w:r w:rsidR="008A47EF" w:rsidRPr="0021089F">
        <w:rPr>
          <w:rFonts w:ascii="Century Gothic" w:hAnsi="Century Gothic" w:cs="Arial"/>
          <w:szCs w:val="24"/>
          <w:sz w:val="24"/>
        </w:rPr>
        <w:t xml:space="preserve">Aduana Nacional </w:t>
      </w:r>
      <w:r w:rsidR="0021089F">
        <w:rPr>
          <w:rFonts w:ascii="Century Gothic" w:hAnsi="Century Gothic" w:cs="Arial"/>
          <w:szCs w:val="24"/>
          <w:sz w:val="24"/>
        </w:rPr>
        <w:t xml:space="preserve">(AN) </w:t>
      </w:r>
      <w:r w:rsidR="00C11809" w:rsidRPr="0021089F">
        <w:rPr>
          <w:rFonts w:ascii="Century Gothic" w:hAnsi="Century Gothic" w:cs="Arial"/>
          <w:szCs w:val="24"/>
          <w:sz w:val="24"/>
        </w:rPr>
        <w:t>o</w:t>
      </w:r>
      <w:r w:rsidR="008A47EF" w:rsidRPr="0021089F">
        <w:rPr>
          <w:rFonts w:ascii="Century Gothic" w:hAnsi="Century Gothic" w:cs="Arial"/>
          <w:szCs w:val="24"/>
          <w:sz w:val="24"/>
        </w:rPr>
        <w:t xml:space="preserve"> el Servicio de Impuestos Nacionales</w:t>
      </w:r>
      <w:r w:rsidR="0021089F">
        <w:rPr>
          <w:rFonts w:ascii="Century Gothic" w:hAnsi="Century Gothic" w:cs="Arial"/>
          <w:szCs w:val="24"/>
          <w:sz w:val="24"/>
        </w:rPr>
        <w:t xml:space="preserve"> (SIN)</w:t>
      </w:r>
      <w:r w:rsidRPr="0021089F">
        <w:rPr>
          <w:rFonts w:ascii="Century Gothic" w:hAnsi="Century Gothic" w:cs="Arial"/>
          <w:szCs w:val="24"/>
          <w:sz w:val="24"/>
        </w:rPr>
        <w:t xml:space="preserve">, conforme a la legislación vigente. Estos títulos se emiten a efecto de coadyuvar al desarrollo del comercio exterior y sobre todo evitar la doble tributación internacional del Impuesto al Valor Agregado sobre un mismo bien, a las exportaciones no tradicionales y exportaciones de manufacturas realizadas por el sector minero metalúrgico. Asimismo, el </w:t>
      </w:r>
      <w:r w:rsidR="00C4410D" w:rsidRPr="0021089F">
        <w:rPr>
          <w:rFonts w:ascii="Century Gothic" w:hAnsi="Century Gothic" w:cs="Arial"/>
          <w:szCs w:val="24"/>
          <w:sz w:val="24"/>
        </w:rPr>
        <w:t xml:space="preserve">actual </w:t>
      </w:r>
      <w:r w:rsidRPr="0021089F">
        <w:rPr>
          <w:rFonts w:ascii="Century Gothic" w:hAnsi="Century Gothic" w:cs="Arial"/>
          <w:szCs w:val="24"/>
          <w:sz w:val="24"/>
        </w:rPr>
        <w:t xml:space="preserve">Gobierno </w:t>
      </w:r>
      <w:r w:rsidR="00D804D9" w:rsidRPr="0021089F">
        <w:rPr>
          <w:rFonts w:ascii="Century Gothic" w:hAnsi="Century Gothic" w:cs="Arial"/>
          <w:szCs w:val="24"/>
          <w:sz w:val="24"/>
        </w:rPr>
        <w:t xml:space="preserve">Nacional mediante </w:t>
      </w:r>
      <w:r w:rsidR="00D804D9" w:rsidRPr="0021089F">
        <w:rPr>
          <w:rFonts w:ascii="Century Gothic" w:hAnsi="Century Gothic" w:cs="Arial"/>
          <w:szCs w:val="24"/>
          <w:sz w:val="24"/>
        </w:rPr>
        <w:t xml:space="preserve">Decreto Supremo </w:t>
      </w:r>
      <w:proofErr w:type="spellStart"/>
      <w:r w:rsidR="0021089F" w:rsidRPr="0021089F">
        <w:rPr>
          <w:rFonts w:ascii="Century Gothic" w:hAnsi="Century Gothic" w:cs="Arial"/>
          <w:szCs w:val="24"/>
          <w:sz w:val="24"/>
        </w:rPr>
        <w:t>Nº</w:t>
      </w:r>
      <w:proofErr w:type="spellEnd"/>
      <w:r w:rsidR="0021089F" w:rsidRPr="0021089F">
        <w:rPr>
          <w:rFonts w:ascii="Century Gothic" w:hAnsi="Century Gothic" w:cs="Arial"/>
          <w:szCs w:val="24"/>
          <w:sz w:val="24"/>
        </w:rPr>
        <w:t xml:space="preserve"> </w:t>
      </w:r>
      <w:r w:rsidR="00D804D9" w:rsidRPr="0021089F">
        <w:rPr>
          <w:rFonts w:ascii="Century Gothic" w:hAnsi="Century Gothic" w:cs="Arial"/>
          <w:szCs w:val="24"/>
          <w:sz w:val="24"/>
        </w:rPr>
        <w:t>5748</w:t>
      </w:r>
      <w:r w:rsidR="0021089F" w:rsidRPr="0021089F">
        <w:rPr>
          <w:rFonts w:ascii="Century Gothic" w:hAnsi="Century Gothic" w:cs="Arial"/>
          <w:szCs w:val="24"/>
          <w:sz w:val="24"/>
        </w:rPr>
        <w:t xml:space="preserve"> </w:t>
      </w:r>
      <w:r w:rsidR="00D804D9" w:rsidRPr="0021089F">
        <w:rPr>
          <w:rFonts w:ascii="Century Gothic" w:hAnsi="Century Gothic" w:cs="Arial"/>
          <w:szCs w:val="24"/>
          <w:sz w:val="24"/>
        </w:rPr>
        <w:t>de</w:t>
      </w:r>
      <w:r w:rsidR="00D804D9" w:rsidRPr="0021089F">
        <w:rPr>
          <w:rFonts w:ascii="Century Gothic" w:hAnsi="Century Gothic" w:cs="Arial"/>
          <w:szCs w:val="24"/>
          <w:sz w:val="24"/>
        </w:rPr>
        <w:t xml:space="preserve"> 13 de octubre</w:t>
      </w:r>
      <w:r w:rsidR="00D804D9" w:rsidRPr="0021089F">
        <w:rPr>
          <w:rFonts w:ascii="Century Gothic" w:hAnsi="Century Gothic" w:cs="Arial"/>
          <w:szCs w:val="24"/>
          <w:sz w:val="24"/>
        </w:rPr>
        <w:t xml:space="preserve"> de 2026</w:t>
      </w:r>
      <w:r w:rsidR="0021089F" w:rsidRPr="0021089F">
        <w:rPr>
          <w:rFonts w:ascii="Century Gothic" w:hAnsi="Century Gothic" w:cs="Arial"/>
          <w:szCs w:val="24"/>
          <w:sz w:val="24"/>
        </w:rPr>
        <w:t>,</w:t>
      </w:r>
      <w:r w:rsidR="00D804D9" w:rsidRPr="0021089F">
        <w:rPr>
          <w:rFonts w:ascii="Century Gothic" w:hAnsi="Century Gothic" w:cs="Arial"/>
          <w:szCs w:val="24"/>
          <w:sz w:val="24"/>
        </w:rPr>
        <w:t xml:space="preserve"> </w:t>
      </w:r>
      <w:r w:rsidR="0021089F" w:rsidRPr="0021089F">
        <w:rPr>
          <w:rFonts w:ascii="Century Gothic" w:hAnsi="Century Gothic" w:cs="Arial"/>
          <w:szCs w:val="24"/>
          <w:lang w:val="es"/>
          <w:sz w:val="24"/>
        </w:rPr>
        <w:t xml:space="preserve">moderniza la devolución impositiva </w:t>
      </w:r>
      <w:r w:rsidR="0021089F" w:rsidRPr="0021089F">
        <w:rPr>
          <w:rFonts w:ascii="Century Gothic" w:hAnsi="Century Gothic" w:cs="Arial"/>
          <w:szCs w:val="24"/>
          <w:lang w:val="es"/>
          <w:sz w:val="24"/>
        </w:rPr>
        <w:t xml:space="preserve">a través de un nuevo sistema </w:t>
      </w:r>
      <w:r w:rsidR="0021089F" w:rsidRPr="0021089F">
        <w:rPr>
          <w:rFonts w:ascii="Century Gothic" w:hAnsi="Century Gothic" w:cs="Arial"/>
          <w:szCs w:val="24"/>
          <w:sz w:val="24"/>
        </w:rPr>
        <w:t>para devolver impuestos a los exportadores</w:t>
      </w:r>
      <w:r w:rsidR="00D804D9" w:rsidRPr="0021089F">
        <w:rPr>
          <w:rFonts w:ascii="Century Gothic" w:hAnsi="Century Gothic" w:cs="Arial"/>
          <w:szCs w:val="24"/>
          <w:sz w:val="24"/>
        </w:rPr>
        <w:t>, con trámites electrónicos, certificados digitales y controles diferenciados según el riesgo de las facturas presentadas</w:t>
      </w:r>
      <w:r w:rsidR="00D804D9" w:rsidRPr="0021089F">
        <w:rPr>
          <w:rFonts w:ascii="Century Gothic" w:hAnsi="Century Gothic" w:cs="Arial"/>
          <w:szCs w:val="24"/>
          <w:sz w:val="24"/>
        </w:rPr>
        <w:t>, mismo que entrara en vigencia a partir del 1 de junio de 2027.</w:t>
      </w:r>
      <w:r w:rsidR="0021089F" w:rsidRPr="0021089F">
        <w:rPr>
          <w:rFonts w:ascii="Century Gothic" w:hAnsi="Century Gothic" w:cs="Arial"/>
          <w:szCs w:val="24"/>
          <w:sz w:val="24"/>
        </w:rPr>
        <w:t xml:space="preserve"> </w:t>
      </w:r>
    </w:p>
    <w:p w14:paraId="4061A55D" w14:textId="77777777" w:rsidR="0021089F" w:rsidRDefault="0021089F" w:rsidP="008F41F5">
      <w:pPr>
        <w:spacing w:line="288" w:lineRule="auto"/>
        <w:jc w:val="both"/>
        <w:rPr>
          <w:rFonts w:ascii="Century Gothic" w:hAnsi="Century Gothic" w:cs="Arial"/>
          <w:color w:val="548DD4" w:themeColor="text2" w:themeTint="99"/>
          <w:szCs w:val="24"/>
          <w:sz w:val="24"/>
        </w:rPr>
      </w:pPr>
    </w:p>
    <w:p w14:paraId="4FCFF87F" w14:textId="77777777" w:rsidR="0007625F" w:rsidRDefault="0007625F">
      <w:pPr>
        <w:spacing w:line="288" w:lineRule="auto"/>
        <w:jc w:val="both"/>
        <w:rPr>
          <w:rFonts w:ascii="Century Gothic" w:hAnsi="Century Gothic" w:cs="Arial"/>
          <w:color w:val="548DD4" w:themeColor="text2" w:themeTint="99"/>
          <w:szCs w:val="24"/>
          <w:sz w:val="24"/>
        </w:rPr>
      </w:pPr>
      <w:r>
        <w:rPr>
          <w:rFonts w:ascii="Century Gothic" w:hAnsi="Century Gothic" w:cs="Arial"/>
          <w:szCs w:val="24"/>
          <w:sz w:val="24"/>
        </w:rPr>
        <w:t xml:space="preserve">Esta medida </w:t>
      </w:r>
      <w:r w:rsidR="0021089F" w:rsidRPr="0021089F">
        <w:rPr>
          <w:rFonts w:ascii="Century Gothic" w:hAnsi="Century Gothic" w:cs="Arial"/>
          <w:szCs w:val="24"/>
          <w:sz w:val="24"/>
        </w:rPr>
        <w:t>permitirá</w:t>
      </w:r>
      <w:r w:rsidR="0021089F" w:rsidRPr="0021089F">
        <w:rPr>
          <w:rFonts w:ascii="Century Gothic" w:hAnsi="Century Gothic" w:cs="Arial"/>
          <w:szCs w:val="24"/>
          <w:sz w:val="24"/>
        </w:rPr>
        <w:t xml:space="preserve"> a los exportadores recuperar determinados impuestos incorporados en los costos y gastos de su actividad. Estos recursos se reconocen mediante el</w:t>
      </w:r>
      <w:r w:rsidR="0021089F" w:rsidRPr="0021089F">
        <w:rPr>
          <w:rFonts w:ascii="Century Gothic" w:hAnsi="Century Gothic" w:cs="Arial"/>
          <w:szCs w:val="24"/>
          <w:sz w:val="24"/>
        </w:rPr>
        <w:t xml:space="preserve"> CEDEIM</w:t>
      </w:r>
      <w:r w:rsidR="0021089F" w:rsidRPr="0021089F">
        <w:rPr>
          <w:rFonts w:ascii="Century Gothic" w:hAnsi="Century Gothic" w:cs="Arial"/>
          <w:szCs w:val="24"/>
          <w:sz w:val="24"/>
        </w:rPr>
        <w:t>, que puede utilizarse para pagar obligaciones tributarias</w:t>
      </w:r>
      <w:r w:rsidR="0021089F">
        <w:rPr>
          <w:rFonts w:ascii="Century Gothic" w:hAnsi="Century Gothic" w:cs="Arial"/>
          <w:szCs w:val="24"/>
          <w:sz w:val="24"/>
        </w:rPr>
        <w:t>, c</w:t>
      </w:r>
      <w:r w:rsidR="0021089F" w:rsidRPr="0021089F">
        <w:rPr>
          <w:rFonts w:ascii="Century Gothic" w:hAnsi="Century Gothic" w:cs="Arial"/>
          <w:szCs w:val="24"/>
          <w:sz w:val="24"/>
        </w:rPr>
        <w:t xml:space="preserve">on </w:t>
      </w:r>
      <w:r>
        <w:rPr>
          <w:rFonts w:ascii="Century Gothic" w:hAnsi="Century Gothic" w:cs="Arial"/>
          <w:szCs w:val="24"/>
          <w:sz w:val="24"/>
        </w:rPr>
        <w:t xml:space="preserve">esta </w:t>
      </w:r>
      <w:r w:rsidR="0021089F" w:rsidRPr="0021089F">
        <w:rPr>
          <w:rFonts w:ascii="Century Gothic" w:hAnsi="Century Gothic" w:cs="Arial"/>
          <w:szCs w:val="24"/>
          <w:sz w:val="24"/>
        </w:rPr>
        <w:t>nueva norma, el certificado será digital, podrá transferirse a otro titular y tendrá vigencia indefinida</w:t>
      </w:r>
      <w:r w:rsidR="0021089F">
        <w:rPr>
          <w:rFonts w:ascii="Century Gothic" w:hAnsi="Century Gothic" w:cs="Arial"/>
          <w:szCs w:val="24"/>
          <w:sz w:val="24"/>
        </w:rPr>
        <w:t>, asimismo s</w:t>
      </w:r>
      <w:r w:rsidR="0021089F" w:rsidRPr="0021089F">
        <w:rPr>
          <w:rFonts w:ascii="Century Gothic" w:hAnsi="Century Gothic" w:cs="Arial"/>
          <w:szCs w:val="24"/>
          <w:sz w:val="24"/>
        </w:rPr>
        <w:t xml:space="preserve">ervirá para pagar impuestos o deudas tributarias ante el SIN y la </w:t>
      </w:r>
      <w:r w:rsidR="0021089F">
        <w:rPr>
          <w:rFonts w:ascii="Century Gothic" w:hAnsi="Century Gothic" w:cs="Arial"/>
          <w:szCs w:val="24"/>
          <w:sz w:val="24"/>
        </w:rPr>
        <w:t>AN</w:t>
      </w:r>
      <w:r w:rsidR="0021089F" w:rsidRPr="0021089F">
        <w:rPr>
          <w:rFonts w:ascii="Century Gothic" w:hAnsi="Century Gothic" w:cs="Arial"/>
          <w:szCs w:val="24"/>
          <w:sz w:val="24"/>
        </w:rPr>
        <w:t>.</w:t>
      </w:r>
      <w:r w:rsidR="0021089F">
        <w:rPr>
          <w:rFonts w:ascii="Century Gothic" w:hAnsi="Century Gothic" w:cs="Arial"/>
          <w:szCs w:val="24"/>
          <w:sz w:val="24"/>
        </w:rPr>
        <w:t xml:space="preserve"> </w:t>
      </w:r>
    </w:p>
    <w:p w14:paraId="25351FF9" w14:textId="787CF22E" w:rsidR="00405503" w:rsidRDefault="008134C1">
      <w:pPr>
        <w:spacing w:line="288" w:lineRule="auto"/>
        <w:jc w:val="both"/>
        <w:rPr>
          <w:rFonts w:ascii="Century Gothic" w:hAnsi="Century Gothic" w:cs="Arial"/>
          <w:color w:val="548DD4" w:themeColor="text2" w:themeTint="99"/>
          <w:szCs w:val="24"/>
          <w:sz w:val="24"/>
        </w:rPr>
      </w:pPr>
      <w:r w:rsidRPr="0021089F">
        <w:rPr>
          <w:rFonts w:ascii="Century Gothic" w:hAnsi="Century Gothic" w:cs="Arial"/>
          <w:szCs w:val="24"/>
          <w:sz w:val="24"/>
        </w:rPr>
        <w:t>Para la gestión 202</w:t>
      </w:r>
      <w:r w:rsidR="0021089F" w:rsidRPr="0021089F">
        <w:rPr>
          <w:rFonts w:ascii="Century Gothic" w:hAnsi="Century Gothic" w:cs="Arial"/>
          <w:szCs w:val="24"/>
          <w:sz w:val="24"/>
        </w:rPr>
        <w:t>7</w:t>
      </w:r>
      <w:r w:rsidRPr="0021089F">
        <w:rPr>
          <w:rFonts w:ascii="Century Gothic" w:hAnsi="Century Gothic" w:cs="Arial"/>
          <w:szCs w:val="24"/>
          <w:sz w:val="24"/>
        </w:rPr>
        <w:t>, se tiene programado Bs2.000 millones para otorgar este beneficio.</w:t>
      </w:r>
    </w:p>
    <w:p w14:paraId="149B382F" w14:textId="77777777" w:rsidR="000D5962" w:rsidRDefault="00D030A2">
      <w:pPr>
        <w:pStyle w:val="Ttulo2"/>
        <w:spacing w:line="288" w:lineRule="auto"/>
        <w:rPr>
          <w:sz w:val="24"/>
          <w:szCs w:val="24"/>
        </w:rPr>
      </w:pPr>
      <w:r>
        <w:rPr>
          <w:rFonts w:ascii="Century Gothic" w:eastAsia="Century Gothic" w:hAnsi="Century Gothic" w:cs="Century Gothic"/>
          <w:szCs w:val="24"/>
          <w:sz w:val="24"/>
        </w:rPr>
        <w:lastRenderedPageBreak/>
        <w:t>3.11. Subvención e incentivo a los Hidrocarburos y Alimentos (UEP)</w:t>
      </w:r>
    </w:p>
    <w:p w14:paraId="21C719B3" w14:textId="77777777" w:rsidR="000D5962" w:rsidRDefault="00D030A2">
      <w:pPr>
        <w:spacing w:line="288" w:lineRule="auto"/>
        <w:jc w:val="both"/>
        <w:rPr>
          <w:sz w:val="24"/>
          <w:szCs w:val="24"/>
        </w:rPr>
      </w:pPr>
      <w:r>
        <w:rPr>
          <w:rFonts w:ascii="Century Gothic" w:eastAsia="Century Gothic" w:hAnsi="Century Gothic" w:cs="Century Gothic"/>
          <w:sz w:val="24"/>
          <w:szCs w:val="24"/>
        </w:rPr>
        <w:t xml:space="preserve">La subvención a los hidrocarburos y los incentivos a la producción de petróleo y condensado estimados para 2027 alcanzan </w:t>
      </w:r>
      <w:r>
        <w:rPr>
          <w:rFonts w:ascii="Century Gothic" w:eastAsia="Century Gothic" w:hAnsi="Century Gothic" w:cs="Century Gothic"/>
          <w:sz w:val="24"/>
          <w:highlight w:val="yellow"/>
          <w:szCs w:val="24"/>
        </w:rPr>
        <w:t>[COMPLETAR: monto]</w:t>
      </w:r>
      <w:r>
        <w:rPr>
          <w:rFonts w:ascii="Century Gothic" w:eastAsia="Century Gothic" w:hAnsi="Century Gothic" w:cs="Century Gothic"/>
          <w:sz w:val="24"/>
          <w:szCs w:val="24"/>
        </w:rPr>
        <w:t xml:space="preserve">, en el marco de la estabilización de precios dispuesta por el Decreto Supremo N° 5516. La subvención de alimentos programada alcanza </w:t>
      </w:r>
      <w:r>
        <w:rPr>
          <w:rFonts w:ascii="Century Gothic" w:eastAsia="Century Gothic" w:hAnsi="Century Gothic" w:cs="Century Gothic"/>
          <w:sz w:val="24"/>
          <w:highlight w:val="yellow"/>
          <w:szCs w:val="24"/>
        </w:rPr>
        <w:t>[COMPLETAR: monto y composición]</w:t>
      </w:r>
      <w:r>
        <w:rPr>
          <w:rFonts w:ascii="Century Gothic" w:eastAsia="Century Gothic" w:hAnsi="Century Gothic" w:cs="Century Gothic"/>
          <w:sz w:val="24"/>
          <w:szCs w:val="24"/>
        </w:rPr>
        <w:t>.</w:t>
      </w:r>
    </w:p>
    <w:p w14:paraId="6E31AB76" w14:textId="77777777" w:rsidR="000D5962" w:rsidRDefault="00D030A2">
      <w:pPr>
        <w:pStyle w:val="Ttulo2"/>
        <w:spacing w:line="288" w:lineRule="auto"/>
        <w:rPr>
          <w:sz w:val="24"/>
          <w:szCs w:val="24"/>
        </w:rPr>
      </w:pPr>
      <w:r>
        <w:rPr>
          <w:rFonts w:ascii="Century Gothic" w:eastAsia="Century Gothic" w:hAnsi="Century Gothic" w:cs="Century Gothic"/>
          <w:szCs w:val="24"/>
          <w:sz w:val="24"/>
        </w:rPr>
        <w:t>3.12. Continuidad de las Políticas Sociales (REBECA)</w:t>
      </w:r>
    </w:p>
    <w:p w14:paraId="7B44F622" w14:textId="21D3FADB" w:rsidR="009E2118" w:rsidRPr="00BE2C9F" w:rsidRDefault="00BE2C9F" w:rsidP="00BE2C9F">
      <w:pPr>
        <w:spacing w:line="288" w:lineRule="auto"/>
        <w:jc w:val="both"/>
        <w:rPr>
          <w:rFonts w:ascii="Century Gothic" w:hAnsi="Century Gothic" w:cs="Arial"/>
          <w:color w:val="000000" w:themeColor="text1"/>
          <w:szCs w:val="24"/>
          <w:lang w:val="es-ES_tradnl"/>
          <w:sz w:val="24"/>
        </w:rPr>
      </w:pPr>
      <w:r w:rsidRPr="00BE2C9F">
        <w:rPr>
          <w:rFonts w:ascii="Century Gothic" w:hAnsi="Century Gothic" w:cs="Arial"/>
          <w:color w:val="000000" w:themeColor="text1"/>
          <w:szCs w:val="24"/>
          <w:lang w:val="es-ES_tradnl"/>
          <w:sz w:val="24"/>
        </w:rPr>
        <w:t>El PGE 2027 garantiza la continuidad de las políticas sociales orientadas a reducir la pobreza y la desigualdad de ingresos, mediante transferencias monetarias y en especie destinadas a mejorar las condiciones de vida de la población boliviana, especialmente de los sectores más vulnerables. Para este propósito, se contempla una asignación presupuestaria de Bs 7.</w:t>
      </w:r>
      <w:r w:rsidR="00F97B35">
        <w:rPr>
          <w:rFonts w:ascii="Century Gothic" w:hAnsi="Century Gothic" w:cs="Arial"/>
          <w:color w:val="000000" w:themeColor="text1"/>
          <w:szCs w:val="24"/>
          <w:lang w:val="es-ES_tradnl"/>
          <w:sz w:val="24"/>
        </w:rPr>
        <w:t>238</w:t>
      </w:r>
      <w:r w:rsidRPr="00BE2C9F">
        <w:rPr>
          <w:rFonts w:ascii="Century Gothic" w:hAnsi="Century Gothic" w:cs="Arial"/>
          <w:color w:val="000000" w:themeColor="text1"/>
          <w:szCs w:val="24"/>
          <w:lang w:val="es-ES_tradnl"/>
          <w:sz w:val="24"/>
        </w:rPr>
        <w:t>,</w:t>
      </w:r>
      <w:r w:rsidR="00F97B35">
        <w:rPr>
          <w:rFonts w:ascii="Century Gothic" w:hAnsi="Century Gothic" w:cs="Arial"/>
          <w:color w:val="000000" w:themeColor="text1"/>
          <w:szCs w:val="24"/>
          <w:lang w:val="es-ES_tradnl"/>
          <w:sz w:val="24"/>
        </w:rPr>
        <w:t>2</w:t>
      </w:r>
      <w:r w:rsidRPr="00BE2C9F">
        <w:rPr>
          <w:rFonts w:ascii="Century Gothic" w:hAnsi="Century Gothic" w:cs="Arial"/>
          <w:color w:val="000000" w:themeColor="text1"/>
          <w:szCs w:val="24"/>
          <w:lang w:val="es-ES_tradnl"/>
          <w:sz w:val="24"/>
        </w:rPr>
        <w:t xml:space="preserve"> millones, que permitirá beneficiar a 3.964.321 beneficiarios, a través de programas que contribuyen al bienestar social, la protección de la población y el desarrollo humano.</w:t>
      </w:r>
    </w:p>
    <w:p w14:paraId="1D12FDB7" w14:textId="6B50D6B2" w:rsidR="004734BF" w:rsidRDefault="004734BF" w:rsidP="004734BF">
      <w:pPr>
        <w:jc w:val="center"/>
        <w:rPr>
          <w:rFonts w:ascii="Century Gothic" w:eastAsia="Century Gothic" w:hAnsi="Century Gothic" w:cs="Century Gothic"/>
          <w:b/>
          <w:bCs/>
          <w:color w:val="000000"/>
          <w:sz w:val="24"/>
          <w:szCs w:val="24"/>
        </w:rPr>
      </w:pPr>
      <w:r>
        <w:rPr>
          <w:rFonts w:ascii="Century Gothic" w:eastAsia="Century Gothic" w:hAnsi="Century Gothic" w:cs="Century Gothic"/>
          <w:b/>
          <w:bCs/>
          <w:color w:val="000000"/>
          <w:sz w:val="24"/>
          <w:szCs w:val="24"/>
        </w:rPr>
        <w:t xml:space="preserve">Gráfico N° 14:</w:t>
      </w:r>
      <w:r w:rsidR="00FD12CF" w:rsidRPr="00E23DB1">
        <w:rPr>
          <w:rFonts w:ascii="Century Gothic" w:eastAsia="Century Gothic" w:hAnsi="Century Gothic" w:cs="Century Gothic"/>
          <w:b/>
          <w:bCs/>
          <w:color w:val="000000"/>
          <w:highlight w:val="green"/>
          <w:sz w:val="24"/>
          <w:szCs w:val="24"/>
        </w:rPr>
        <w:t xml:space="preserve"/>
      </w:r>
      <w:r>
        <w:rPr>
          <w:rFonts w:ascii="Century Gothic" w:eastAsia="Century Gothic" w:hAnsi="Century Gothic" w:cs="Century Gothic"/>
          <w:b/>
          <w:bCs/>
          <w:color w:val="000000"/>
          <w:sz w:val="24"/>
          <w:szCs w:val="24"/>
        </w:rPr>
        <w:t xml:space="preserve"> </w:t>
      </w:r>
      <w:r w:rsidRPr="00070C73">
        <w:rPr>
          <w:rFonts w:ascii="Century Gothic" w:eastAsia="Century Gothic" w:hAnsi="Century Gothic" w:cs="Century Gothic"/>
          <w:b/>
          <w:bCs/>
          <w:color w:val="000000"/>
          <w:sz w:val="24"/>
          <w:szCs w:val="24"/>
        </w:rPr>
        <w:t>Políticas Sociales, 202</w:t>
      </w:r>
      <w:r>
        <w:rPr>
          <w:rFonts w:ascii="Century Gothic" w:eastAsia="Century Gothic" w:hAnsi="Century Gothic" w:cs="Century Gothic"/>
          <w:b/>
          <w:bCs/>
          <w:color w:val="000000"/>
          <w:sz w:val="24"/>
          <w:szCs w:val="24"/>
        </w:rPr>
        <w:t>7</w:t>
      </w:r>
      <w:r w:rsidRPr="00070C73">
        <w:rPr>
          <w:rFonts w:ascii="Century Gothic" w:eastAsia="Century Gothic" w:hAnsi="Century Gothic" w:cs="Century Gothic"/>
          <w:b/>
          <w:bCs/>
          <w:color w:val="000000"/>
          <w:sz w:val="24"/>
          <w:szCs w:val="24"/>
        </w:rPr>
        <w:t xml:space="preserve"> (P)</w:t>
      </w:r>
    </w:p>
    <w:p w14:paraId="233BCCB2" w14:textId="7845AA11" w:rsidR="00B55EF3" w:rsidRDefault="004734BF" w:rsidP="00D67D17">
      <w:pPr>
        <w:jc w:val="center"/>
        <w:rPr>
          <w:rFonts w:ascii="Century Gothic" w:eastAsia="Century Gothic" w:hAnsi="Century Gothic" w:cs="Century Gothic"/>
          <w:color w:val="000000"/>
          <w:sz w:val="24"/>
          <w:szCs w:val="24"/>
        </w:rPr>
      </w:pPr>
      <w:r w:rsidRPr="00070C73">
        <w:rPr>
          <w:rFonts w:ascii="Century Gothic" w:eastAsia="Century Gothic" w:hAnsi="Century Gothic" w:cs="Century Gothic"/>
          <w:color w:val="000000"/>
          <w:sz w:val="24"/>
          <w:szCs w:val="24"/>
        </w:rPr>
        <w:t>(En millones de bolivianos y número de personas)</w:t>
      </w:r>
    </w:p>
    <w:p w14:paraId="239A550C" w14:textId="77777777" w:rsidR="00D67D17" w:rsidRDefault="00D67D17" w:rsidP="00D67D17">
      <w:pPr>
        <w:jc w:val="center"/>
        <w:rPr>
          <w:rFonts w:ascii="Century Gothic" w:eastAsia="Century Gothic" w:hAnsi="Century Gothic" w:cs="Century Gothic"/>
          <w:color w:val="000000"/>
          <w:sz w:val="24"/>
          <w:szCs w:val="24"/>
        </w:rPr>
      </w:pPr>
    </w:p>
    <w:p w14:paraId="0B74F43D" w14:textId="499C64D2" w:rsidR="00B55EF3" w:rsidRDefault="000718E1" w:rsidP="00B55EF3">
      <w:pPr>
        <w:rPr>
          <w:rFonts w:ascii="Century Gothic" w:eastAsia="Century Gothic" w:hAnsi="Century Gothic" w:cs="Century Gothic"/>
          <w:noProof/>
          <w:color w:val="000000"/>
          <w:sz w:val="24"/>
          <w:szCs w:val="24"/>
        </w:rPr>
      </w:pPr>
      <w:r>
        <w:rPr>
          <w:rFonts w:ascii="Century Gothic" w:eastAsia="Century Gothic" w:hAnsi="Century Gothic" w:cs="Century Gothic"/>
          <w:noProof/>
          <w:color w:val="000000"/>
        </w:rPr>
        <w:lastRenderedPageBreak/>
        <w:drawing>
          <wp:inline distT="0" distB="0" distL="0" distR="0" wp14:anchorId="0FD4AF33" wp14:editId="76A26BA6">
            <wp:extent cx="5845810" cy="2750400"/>
            <wp:effectExtent l="0" t="0" r="2540" b="0"/>
            <wp:docPr id="1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3"/>
                    <pic:cNvPicPr/>
                  </pic:nvPicPr>
                  <pic:blipFill rotWithShape="1">
                    <a:blip r:embed="rId42">
                      <a:clrChange>
                        <a:clrFrom>
                          <a:srgbClr val="F9FEF8"/>
                        </a:clrFrom>
                        <a:clrTo>
                          <a:srgbClr val="F9FEF8">
                            <a:alpha val="0"/>
                          </a:srgbClr>
                        </a:clrTo>
                      </a:clrChange>
                      <a:extLst>
                        <a:ext uri="{28A0092B-C50C-407E-A947-70E740481C1C}">
                          <a14:useLocalDpi xmlns:a14="http://schemas.microsoft.com/office/drawing/2010/main" val="0"/>
                        </a:ext>
                      </a:extLst>
                    </a:blip>
                    <a:srcRect b="15670"/>
                    <a:stretch/>
                  </pic:blipFill>
                  <pic:spPr bwMode="auto">
                    <a:xfrm>
                      <a:off x="0" y="0"/>
                      <a:ext cx="5881558" cy="2767219"/>
                    </a:xfrm>
                    <a:prstGeom prst="rect">
                      <a:avLst/>
                    </a:prstGeom>
                    <a:ln>
                      <a:noFill/>
                    </a:ln>
                    <a:extLst>
                      <a:ext uri="{53640926-AAD7-44D8-BBD7-CCE9431645EC}">
                        <a14:shadowObscured xmlns:a14="http://schemas.microsoft.com/office/drawing/2010/main"/>
                      </a:ext>
                    </a:extLst>
                  </pic:spPr>
                </pic:pic>
              </a:graphicData>
            </a:graphic>
          </wp:inline>
        </w:drawing>
      </w:r>
    </w:p>
    <w:p w14:paraId="0C31613B" w14:textId="5144336F" w:rsidR="004734BF" w:rsidRPr="00046D25" w:rsidRDefault="004734BF" w:rsidP="00046D25">
      <w:pPr>
        <w:spacing w:before="0" w:after="0" w:line="240" w:lineRule="auto"/>
        <w:rPr>
          <w:rFonts w:ascii="Century Gothic" w:eastAsia="Century Gothic" w:hAnsi="Century Gothic" w:cs="Century Gothic"/>
          <w:color w:val="000000"/>
          <w:sz w:val="16"/>
          <w:szCs w:val="16"/>
        </w:rPr>
      </w:pPr>
      <w:r w:rsidRPr="00046D25">
        <w:rPr>
          <w:rFonts w:ascii="Century Gothic" w:eastAsia="Century Gothic" w:hAnsi="Century Gothic" w:cs="Century Gothic"/>
          <w:color w:val="000000"/>
          <w:sz w:val="16"/>
          <w:szCs w:val="16"/>
          <w:b/>
        </w:rPr>
        <w:t>Fuente: Proyecto de PGE 202</w:t>
      </w:r>
      <w:r w:rsidR="002A5F3A" w:rsidRPr="00046D25">
        <w:rPr>
          <w:rFonts w:ascii="Century Gothic" w:eastAsia="Century Gothic" w:hAnsi="Century Gothic" w:cs="Century Gothic"/>
          <w:color w:val="000000"/>
          <w:sz w:val="16"/>
          <w:szCs w:val="16"/>
        </w:rPr>
        <w:t>7</w:t>
      </w:r>
    </w:p>
    <w:p w14:paraId="5D6BD372" w14:textId="4D57FF80" w:rsidR="004734BF" w:rsidRPr="00046D25" w:rsidRDefault="004734BF" w:rsidP="00046D25">
      <w:pPr>
        <w:spacing w:before="0" w:after="0" w:line="240" w:lineRule="auto"/>
        <w:rPr>
          <w:rFonts w:ascii="Century Gothic" w:eastAsia="Century Gothic" w:hAnsi="Century Gothic" w:cs="Century Gothic"/>
          <w:color w:val="000000"/>
          <w:sz w:val="16"/>
          <w:szCs w:val="16"/>
        </w:rPr>
      </w:pPr>
      <w:r w:rsidRPr="00046D25">
        <w:rPr>
          <w:rFonts w:ascii="Century Gothic" w:eastAsia="Century Gothic" w:hAnsi="Century Gothic" w:cs="Century Gothic"/>
          <w:color w:val="000000"/>
          <w:sz w:val="16"/>
          <w:szCs w:val="16"/>
          <w:b/>
        </w:rPr>
        <w:t>Elaboración: MEFP-VPCF-DGPGP-</w:t>
      </w:r>
      <w:r w:rsidR="00F97B35">
        <w:rPr>
          <w:rFonts w:ascii="Century Gothic" w:eastAsia="Century Gothic" w:hAnsi="Century Gothic" w:cs="Century Gothic"/>
          <w:color w:val="000000"/>
          <w:sz w:val="16"/>
          <w:szCs w:val="16"/>
        </w:rPr>
        <w:t>USS-UET-</w:t>
      </w:r>
      <w:r w:rsidRPr="00046D25">
        <w:rPr>
          <w:rFonts w:ascii="Century Gothic" w:eastAsia="Century Gothic" w:hAnsi="Century Gothic" w:cs="Century Gothic"/>
          <w:color w:val="000000"/>
          <w:sz w:val="16"/>
          <w:szCs w:val="16"/>
        </w:rPr>
        <w:t>UGPPP</w:t>
      </w:r>
    </w:p>
    <w:p w14:paraId="0C9BB367" w14:textId="0916C2EF" w:rsidR="004734BF" w:rsidRPr="00046D25" w:rsidRDefault="004734BF" w:rsidP="00046D25">
      <w:pPr>
        <w:spacing w:before="0" w:after="0" w:line="240" w:lineRule="auto"/>
        <w:rPr>
          <w:rFonts w:ascii="Century Gothic" w:eastAsia="Century Gothic" w:hAnsi="Century Gothic" w:cs="Century Gothic"/>
          <w:color w:val="000000"/>
          <w:sz w:val="16"/>
          <w:szCs w:val="16"/>
        </w:rPr>
      </w:pPr>
      <w:r w:rsidRPr="00046D25">
        <w:rPr>
          <w:rFonts w:ascii="Century Gothic" w:eastAsia="Century Gothic" w:hAnsi="Century Gothic" w:cs="Century Gothic"/>
          <w:color w:val="000000"/>
          <w:sz w:val="16"/>
          <w:szCs w:val="16"/>
        </w:rPr>
        <w:t>(P): Proyecto PGE 202</w:t>
      </w:r>
      <w:r w:rsidR="002A5F3A" w:rsidRPr="00046D25">
        <w:rPr>
          <w:rFonts w:ascii="Century Gothic" w:eastAsia="Century Gothic" w:hAnsi="Century Gothic" w:cs="Century Gothic"/>
          <w:color w:val="000000"/>
          <w:sz w:val="16"/>
          <w:szCs w:val="16"/>
        </w:rPr>
        <w:t>7</w:t>
      </w:r>
    </w:p>
    <w:p w14:paraId="4CA729D9" w14:textId="4D38A29B" w:rsidR="00BA28A5" w:rsidRPr="009E2118" w:rsidRDefault="004734BF" w:rsidP="009E2118">
      <w:pPr>
        <w:ind w:left="720" w:firstLine="720"/>
        <w:rPr>
          <w:rFonts w:ascii="Century Gothic" w:eastAsia="Century Gothic" w:hAnsi="Century Gothic" w:cs="Century Gothic"/>
          <w:color w:val="000000"/>
          <w:sz w:val="24"/>
          <w:szCs w:val="24"/>
        </w:rPr>
      </w:pPr>
      <w:r w:rsidRPr="002A5F3A">
        <w:rPr>
          <w:rFonts w:ascii="Century Gothic" w:eastAsia="Century Gothic" w:hAnsi="Century Gothic" w:cs="Century Gothic"/>
          <w:color w:val="000000"/>
          <w:sz w:val="24"/>
          <w:szCs w:val="24"/>
        </w:rPr>
        <w:t xml:space="preserve">   </w:t>
      </w:r>
    </w:p>
    <w:p w14:paraId="5F9159D3" w14:textId="310EC1AA" w:rsidR="00BE2C9F" w:rsidRDefault="00BE2C9F" w:rsidP="00BE2C9F">
      <w:pPr>
        <w:spacing w:line="288" w:lineRule="auto"/>
        <w:jc w:val="both"/>
        <w:rPr>
          <w:rFonts w:ascii="Century Gothic" w:hAnsi="Century Gothic" w:cs="Arial"/>
          <w:color w:val="000000" w:themeColor="text1"/>
          <w:szCs w:val="24"/>
          <w:lang w:val="es-ES_tradnl"/>
          <w:sz w:val="24"/>
        </w:rPr>
      </w:pPr>
      <w:r w:rsidRPr="00BE2C9F">
        <w:rPr>
          <w:rFonts w:ascii="Century Gothic" w:hAnsi="Century Gothic" w:cs="Arial"/>
          <w:color w:val="000000" w:themeColor="text1"/>
          <w:szCs w:val="24"/>
          <w:lang w:val="es-ES_tradnl"/>
          <w:sz w:val="24"/>
        </w:rPr>
        <w:t>Entre estas políticas destaca la Renta Dignidad, creada mediante la Ley N.º 3791, de 28 de noviembre de 2007, que para la gestión 2027 cuenta con un presupuesto de Bs 6.001,3 millones, en beneficio de 1.343.929 personas adultas mayores. Esta transferencia contribuye a fortalecer sus ingresos y brindarles mayor seguridad económica durante esta etapa de la vida, reafirmando el compromiso del Estado con la protección social y el bienestar de las personas adultas mayores.</w:t>
      </w:r>
    </w:p>
    <w:p w14:paraId="1E285C4B" w14:textId="77777777" w:rsidR="00BE2C9F" w:rsidRPr="00BE2C9F" w:rsidRDefault="00BE2C9F" w:rsidP="00BE2C9F">
      <w:pPr>
        <w:spacing w:line="288" w:lineRule="auto"/>
        <w:jc w:val="both"/>
        <w:rPr>
          <w:rFonts w:ascii="Century Gothic" w:hAnsi="Century Gothic" w:cs="Arial"/>
          <w:color w:val="000000" w:themeColor="text1"/>
          <w:sz w:val="24"/>
          <w:szCs w:val="24"/>
          <w:lang w:val="es-ES_tradnl"/>
        </w:rPr>
      </w:pPr>
    </w:p>
    <w:p w14:paraId="662FE4CB" w14:textId="4BE79485" w:rsidR="00BE2C9F" w:rsidRDefault="00BE2C9F" w:rsidP="00BE2C9F">
      <w:pPr>
        <w:spacing w:line="288" w:lineRule="auto"/>
        <w:jc w:val="both"/>
        <w:rPr>
          <w:rFonts w:ascii="Century Gothic" w:hAnsi="Century Gothic" w:cs="Arial"/>
          <w:color w:val="000000" w:themeColor="text1"/>
          <w:szCs w:val="24"/>
          <w:lang w:val="es-ES_tradnl"/>
          <w:sz w:val="24"/>
        </w:rPr>
      </w:pPr>
      <w:r w:rsidRPr="00BE2C9F">
        <w:rPr>
          <w:rFonts w:ascii="Century Gothic" w:hAnsi="Century Gothic" w:cs="Arial"/>
          <w:color w:val="000000" w:themeColor="text1"/>
          <w:szCs w:val="24"/>
          <w:lang w:val="es-ES_tradnl"/>
          <w:sz w:val="24"/>
        </w:rPr>
        <w:t>Por su parte, el Bono Juancito Pinto constituye un incentivo económico destinado a promover la permanencia escolar y contribuir a la reducción de la deserción educativa. Para 2027, se prevé una asignación de Bs 690,8 millones, con la que se beneficiará a 2.256.646 estudiantes. Este programa representa un mecanismo de apoyo a las familias y contribuye al ejercicio del derecho a la educación, mediante el incentivo a la asistencia y permanencia de niñas, niños y adolescentes en el sistema educativo.</w:t>
      </w:r>
    </w:p>
    <w:p w14:paraId="0E39941A" w14:textId="77777777" w:rsidR="004B19A4" w:rsidRPr="00BE2C9F" w:rsidRDefault="004B19A4" w:rsidP="00BE2C9F">
      <w:pPr>
        <w:spacing w:line="288" w:lineRule="auto"/>
        <w:jc w:val="both"/>
        <w:rPr>
          <w:rFonts w:ascii="Century Gothic" w:hAnsi="Century Gothic" w:cs="Arial"/>
          <w:color w:val="000000" w:themeColor="text1"/>
          <w:sz w:val="24"/>
          <w:szCs w:val="24"/>
          <w:lang w:val="es-ES_tradnl"/>
        </w:rPr>
      </w:pPr>
    </w:p>
    <w:p w14:paraId="56692439" w14:textId="0D69724E" w:rsidR="00BE2C9F" w:rsidRDefault="00BE2C9F" w:rsidP="00BE2C9F">
      <w:pPr>
        <w:spacing w:line="288" w:lineRule="auto"/>
        <w:jc w:val="both"/>
        <w:rPr>
          <w:rFonts w:ascii="Century Gothic" w:hAnsi="Century Gothic" w:cs="Arial"/>
          <w:color w:val="000000" w:themeColor="text1"/>
          <w:szCs w:val="24"/>
          <w:lang w:val="es-ES_tradnl"/>
          <w:sz w:val="24"/>
        </w:rPr>
      </w:pPr>
      <w:r w:rsidRPr="00BE2C9F">
        <w:rPr>
          <w:rFonts w:ascii="Century Gothic" w:hAnsi="Century Gothic" w:cs="Arial"/>
          <w:color w:val="000000" w:themeColor="text1"/>
          <w:szCs w:val="24"/>
          <w:lang w:val="es-ES_tradnl"/>
          <w:sz w:val="24"/>
        </w:rPr>
        <w:t>Asimismo, el Bono Madre Niño-Niña “Juana Azurduy” tiene como finalidad contribuir a la reducción de la mortalidad materno-infantil y la desnutrición crónica en niñas y niños menores de dos años. Para la gestión 2027, se prevé destinar Bs 187,4 millones, con una cobertura estimada de 233.268 beneficiarios, favoreciendo el cuidado de la salud materna y el desarrollo integral de la primera infancia.</w:t>
      </w:r>
    </w:p>
    <w:p w14:paraId="2152D1A3" w14:textId="77777777" w:rsidR="00BE2C9F" w:rsidRPr="00BE2C9F" w:rsidRDefault="00BE2C9F" w:rsidP="00BE2C9F">
      <w:pPr>
        <w:spacing w:line="288" w:lineRule="auto"/>
        <w:jc w:val="both"/>
        <w:rPr>
          <w:rFonts w:ascii="Century Gothic" w:hAnsi="Century Gothic" w:cs="Arial"/>
          <w:color w:val="000000" w:themeColor="text1"/>
          <w:sz w:val="24"/>
          <w:szCs w:val="24"/>
          <w:lang w:val="es-ES_tradnl"/>
        </w:rPr>
      </w:pPr>
    </w:p>
    <w:p w14:paraId="1A9F8ECD" w14:textId="0360337D" w:rsidR="00BE2C9F" w:rsidRDefault="00BE2C9F" w:rsidP="00BE2C9F">
      <w:pPr>
        <w:spacing w:line="288" w:lineRule="auto"/>
        <w:jc w:val="both"/>
        <w:rPr>
          <w:rFonts w:ascii="Century Gothic" w:hAnsi="Century Gothic" w:cs="Arial"/>
          <w:color w:val="000000" w:themeColor="text1"/>
          <w:szCs w:val="24"/>
          <w:lang w:val="es-ES_tradnl"/>
          <w:sz w:val="24"/>
        </w:rPr>
      </w:pPr>
      <w:r w:rsidRPr="00BE2C9F">
        <w:rPr>
          <w:rFonts w:ascii="Century Gothic" w:hAnsi="Century Gothic" w:cs="Arial"/>
          <w:color w:val="000000" w:themeColor="text1"/>
          <w:szCs w:val="24"/>
          <w:lang w:val="es-ES_tradnl"/>
          <w:sz w:val="24"/>
        </w:rPr>
        <w:t>De manera complementaria, el Subsidio Universal Prenatal por la Vida contempla un presupuesto de Bs 1</w:t>
      </w:r>
      <w:r w:rsidR="00F97B35">
        <w:rPr>
          <w:rFonts w:ascii="Century Gothic" w:hAnsi="Century Gothic" w:cs="Arial"/>
          <w:color w:val="000000" w:themeColor="text1"/>
          <w:szCs w:val="24"/>
          <w:lang w:val="es-ES_tradnl"/>
          <w:sz w:val="24"/>
        </w:rPr>
        <w:t>6</w:t>
      </w:r>
      <w:r w:rsidRPr="00BE2C9F">
        <w:rPr>
          <w:rFonts w:ascii="Century Gothic" w:hAnsi="Century Gothic" w:cs="Arial"/>
          <w:color w:val="000000" w:themeColor="text1"/>
          <w:szCs w:val="24"/>
          <w:lang w:val="es-ES_tradnl"/>
          <w:sz w:val="24"/>
        </w:rPr>
        <w:t>8,</w:t>
      </w:r>
      <w:r w:rsidR="00F97B35">
        <w:rPr>
          <w:rFonts w:ascii="Century Gothic" w:hAnsi="Century Gothic" w:cs="Arial"/>
          <w:color w:val="000000" w:themeColor="text1"/>
          <w:szCs w:val="24"/>
          <w:lang w:val="es-ES_tradnl"/>
          <w:sz w:val="24"/>
        </w:rPr>
        <w:t>8</w:t>
      </w:r>
      <w:r w:rsidRPr="00BE2C9F">
        <w:rPr>
          <w:rFonts w:ascii="Century Gothic" w:hAnsi="Century Gothic" w:cs="Arial"/>
          <w:color w:val="000000" w:themeColor="text1"/>
          <w:szCs w:val="24"/>
          <w:lang w:val="es-ES_tradnl"/>
          <w:sz w:val="24"/>
        </w:rPr>
        <w:t xml:space="preserve"> millones para beneficiar a 67.652 mujeres gestantes. Esta transferencia en especie busca contribuir a mejorar la salud materna y la nutrición durante el embarazo, complementando las acciones del Bono Juana Azurduy y fortaleciendo la atención de la población materno-infantil en el país.</w:t>
      </w:r>
    </w:p>
    <w:p w14:paraId="05C2DC85" w14:textId="77777777" w:rsidR="00BE2C9F" w:rsidRPr="00BE2C9F" w:rsidRDefault="00BE2C9F" w:rsidP="00BE2C9F">
      <w:pPr>
        <w:spacing w:line="288" w:lineRule="auto"/>
        <w:jc w:val="both"/>
        <w:rPr>
          <w:rFonts w:ascii="Century Gothic" w:hAnsi="Century Gothic" w:cs="Arial"/>
          <w:color w:val="000000" w:themeColor="text1"/>
          <w:sz w:val="24"/>
          <w:szCs w:val="24"/>
          <w:lang w:val="es-ES_tradnl"/>
        </w:rPr>
      </w:pPr>
    </w:p>
    <w:p w14:paraId="76361E1E" w14:textId="1F928002" w:rsidR="00BE2C9F" w:rsidRDefault="00BE2C9F" w:rsidP="00BE2C9F">
      <w:pPr>
        <w:spacing w:line="288" w:lineRule="auto"/>
        <w:jc w:val="both"/>
        <w:rPr>
          <w:rFonts w:ascii="Century Gothic" w:hAnsi="Century Gothic" w:cs="Arial"/>
          <w:color w:val="000000" w:themeColor="text1"/>
          <w:szCs w:val="24"/>
          <w:lang w:val="es-ES_tradnl"/>
          <w:sz w:val="24"/>
        </w:rPr>
      </w:pPr>
      <w:r w:rsidRPr="00BE2C9F">
        <w:rPr>
          <w:rFonts w:ascii="Century Gothic" w:hAnsi="Century Gothic" w:cs="Arial"/>
          <w:color w:val="000000" w:themeColor="text1"/>
          <w:szCs w:val="24"/>
          <w:lang w:val="es-ES_tradnl"/>
          <w:sz w:val="24"/>
        </w:rPr>
        <w:t>Finalmente, el Bono Mensual para las Personas con Discapacidad Grave y Muy Grave, en el marco de la Ley N.º 977, de 26 de septiembre de 2017, y su normativa reglamentaria, constituye un mecanismo de apoyo económico para esta población. Para 2027, se prevé una asignación de Bs 189,9 millones, destinada a beneficiar a 62.826 personas, con el propósito de contribuir a cubrir parte de sus necesidades y favorecer mejores condiciones de vida. Su financiamiento involucra a los gobiernos autónomos municipales y al nivel central del Estado, conforme a la normativa vigente.</w:t>
      </w:r>
    </w:p>
    <w:p w14:paraId="52458E37" w14:textId="77777777" w:rsidR="00BE2C9F" w:rsidRPr="00BE2C9F" w:rsidRDefault="00BE2C9F" w:rsidP="00BE2C9F">
      <w:pPr>
        <w:spacing w:line="288" w:lineRule="auto"/>
        <w:jc w:val="both"/>
        <w:rPr>
          <w:rFonts w:ascii="Century Gothic" w:hAnsi="Century Gothic" w:cs="Arial"/>
          <w:color w:val="000000" w:themeColor="text1"/>
          <w:sz w:val="24"/>
          <w:szCs w:val="24"/>
          <w:lang w:val="es-ES_tradnl"/>
        </w:rPr>
      </w:pPr>
    </w:p>
    <w:p w14:paraId="152E6853" w14:textId="77777777" w:rsidR="00BE2C9F" w:rsidRPr="00BE2C9F" w:rsidRDefault="00BE2C9F" w:rsidP="00BE2C9F">
      <w:pPr>
        <w:spacing w:line="288" w:lineRule="auto"/>
        <w:jc w:val="both"/>
        <w:rPr>
          <w:rFonts w:ascii="Century Gothic" w:hAnsi="Century Gothic" w:cs="Arial"/>
          <w:color w:val="000000" w:themeColor="text1"/>
          <w:szCs w:val="24"/>
          <w:lang w:val="es-ES_tradnl"/>
          <w:sz w:val="24"/>
        </w:rPr>
      </w:pPr>
      <w:r w:rsidRPr="00BE2C9F">
        <w:rPr>
          <w:rFonts w:ascii="Century Gothic" w:hAnsi="Century Gothic" w:cs="Arial"/>
          <w:color w:val="000000" w:themeColor="text1"/>
          <w:szCs w:val="24"/>
          <w:lang w:val="es-ES_tradnl"/>
          <w:sz w:val="24"/>
        </w:rPr>
        <w:t>En conjunto, estos programas reflejan la importancia de mantener las políticas de protección social en la programación presupuestaria de 2027, priorizando a las personas adultas mayores, estudiantes, madres gestantes, niñas y niños, y personas con discapacidad. De esta manera, el Estado busca fortalecer la inclusión social, reducir las brechas de desigualdad y contribuir al bienestar de la población boliviana.</w:t>
      </w:r>
    </w:p>
    <w:p w14:paraId="034FD085" w14:textId="77777777" w:rsidR="000D5962" w:rsidRDefault="00D030A2">
      <w:pPr>
        <w:pStyle w:val="Ttulo1"/>
        <w:spacing w:line="288" w:lineRule="auto"/>
        <w:rPr>
          <w:sz w:val="24"/>
          <w:szCs w:val="24"/>
        </w:rPr>
      </w:pPr>
      <w:r w:rsidRPr="00836D20">
        <w:rPr>
          <w:rFonts w:ascii="Century Gothic" w:eastAsia="Century Gothic" w:hAnsi="Century Gothic" w:cs="Century Gothic"/>
          <w:sz w:val="24"/>
          <w:szCs w:val="24"/>
          <w:highlight w:val="green"/>
        </w:rPr>
        <w:t>4. CONCLUSIONES (SILVIA)</w:t>
      </w:r>
    </w:p>
    <w:p w14:paraId="000002BA" w14:textId="53403B79" w:rsidR="00AE2FA5" w:rsidRPr="0021089F" w:rsidRDefault="006D7341">
      <w:pPr>
        <w:spacing w:line="288" w:lineRule="auto"/>
        <w:jc w:val="both"/>
        <w:rPr>
          <w:rFonts w:ascii="Century Gothic" w:eastAsia="Century Gothic" w:hAnsi="Century Gothic" w:cs="Century Gothic"/>
          <w:color w:val="548DD4" w:themeColor="text2" w:themeTint="99"/>
          <w:sz w:val="24"/>
          <w:szCs w:val="24"/>
        </w:rPr>
      </w:pPr>
      <w:r w:rsidRPr="0021089F">
        <w:rPr>
          <w:rFonts w:ascii="Century Gothic" w:eastAsia="Century Gothic" w:hAnsi="Century Gothic" w:cs="Century Gothic"/>
          <w:sz w:val="24"/>
          <w:szCs w:val="24"/>
        </w:rPr>
        <w:t xml:space="preserve">Por lo expuesto, el MEFP en el marco de la </w:t>
      </w:r>
      <w:r w:rsidR="00164431" w:rsidRPr="0021089F">
        <w:rPr>
          <w:rFonts w:ascii="Century Gothic" w:eastAsia="Century Gothic" w:hAnsi="Century Gothic" w:cs="Century Gothic"/>
          <w:sz w:val="24"/>
          <w:szCs w:val="24"/>
        </w:rPr>
        <w:t>CPE</w:t>
      </w:r>
      <w:r w:rsidRPr="0021089F">
        <w:rPr>
          <w:rFonts w:ascii="Century Gothic" w:eastAsia="Century Gothic" w:hAnsi="Century Gothic" w:cs="Century Gothic"/>
          <w:sz w:val="24"/>
          <w:szCs w:val="24"/>
        </w:rPr>
        <w:t xml:space="preserve">, lineamientos de la política fiscal e instrumentos técnico normativos (Directrices y Clasificadores Presupuestarios emitidos para la siguiente gestión fiscal), ha elaborado el </w:t>
      </w:r>
      <w:r w:rsidR="00E62E6C" w:rsidRPr="0021089F">
        <w:rPr>
          <w:rFonts w:ascii="Century Gothic" w:eastAsia="Century Gothic" w:hAnsi="Century Gothic" w:cs="Century Gothic"/>
          <w:sz w:val="24"/>
          <w:szCs w:val="24"/>
        </w:rPr>
        <w:t xml:space="preserve">Proyecto de </w:t>
      </w:r>
      <w:r w:rsidRPr="0021089F">
        <w:rPr>
          <w:rFonts w:ascii="Century Gothic" w:eastAsia="Century Gothic" w:hAnsi="Century Gothic" w:cs="Century Gothic"/>
          <w:sz w:val="24"/>
          <w:szCs w:val="24"/>
        </w:rPr>
        <w:t>Presupuesto General del Estado para la gestión 202</w:t>
      </w:r>
      <w:r w:rsidR="0015401F" w:rsidRPr="0021089F">
        <w:rPr>
          <w:rFonts w:ascii="Century Gothic" w:eastAsia="Century Gothic" w:hAnsi="Century Gothic" w:cs="Century Gothic"/>
          <w:sz w:val="24"/>
          <w:szCs w:val="24"/>
        </w:rPr>
        <w:t>7</w:t>
      </w:r>
      <w:r w:rsidRPr="0021089F">
        <w:rPr>
          <w:rFonts w:ascii="Century Gothic" w:eastAsia="Century Gothic" w:hAnsi="Century Gothic" w:cs="Century Gothic"/>
          <w:sz w:val="24"/>
          <w:szCs w:val="24"/>
        </w:rPr>
        <w:t xml:space="preserve"> y la norma legal correspondiente, cuyo importe total agregado es de</w:t>
      </w:r>
      <w:r w:rsidR="00B20D50" w:rsidRPr="0021089F">
        <w:rPr>
          <w:rFonts w:ascii="Century Gothic" w:eastAsia="Century Gothic" w:hAnsi="Century Gothic" w:cs="Century Gothic"/>
          <w:sz w:val="24"/>
          <w:szCs w:val="24"/>
        </w:rPr>
        <w:t xml:space="preserve"> </w:t>
      </w:r>
      <w:r w:rsidR="0015401F" w:rsidRPr="0021089F">
        <w:rPr>
          <w:rFonts w:ascii="Century Gothic" w:eastAsia="Century Gothic" w:hAnsi="Century Gothic" w:cs="Century Gothic"/>
          <w:sz w:val="24"/>
          <w:szCs w:val="24"/>
        </w:rPr>
        <w:t xml:space="preserve">Bs411.244.492.442.- (Cuatrocientos Once </w:t>
      </w:r>
      <w:r w:rsidR="00436416" w:rsidRPr="0021089F">
        <w:rPr>
          <w:rFonts w:ascii="Century Gothic" w:eastAsia="Century Gothic" w:hAnsi="Century Gothic" w:cs="Century Gothic"/>
          <w:sz w:val="24"/>
          <w:szCs w:val="24"/>
        </w:rPr>
        <w:t>Mil</w:t>
      </w:r>
      <w:r w:rsidR="007C7F71" w:rsidRPr="0021089F">
        <w:rPr>
          <w:rFonts w:ascii="Century Gothic" w:eastAsia="Century Gothic" w:hAnsi="Century Gothic" w:cs="Century Gothic"/>
          <w:sz w:val="24"/>
          <w:szCs w:val="24"/>
        </w:rPr>
        <w:t xml:space="preserve"> </w:t>
      </w:r>
      <w:r w:rsidR="0015401F" w:rsidRPr="0021089F">
        <w:rPr>
          <w:rFonts w:ascii="Century Gothic" w:eastAsia="Century Gothic" w:hAnsi="Century Gothic" w:cs="Century Gothic"/>
          <w:sz w:val="24"/>
          <w:szCs w:val="24"/>
        </w:rPr>
        <w:t>Doscientos Cuarenta y Cuatro</w:t>
      </w:r>
      <w:r w:rsidR="007C7F71" w:rsidRPr="0021089F">
        <w:rPr>
          <w:rFonts w:ascii="Century Gothic" w:eastAsia="Century Gothic" w:hAnsi="Century Gothic" w:cs="Century Gothic"/>
          <w:sz w:val="24"/>
          <w:szCs w:val="24"/>
        </w:rPr>
        <w:t xml:space="preserve"> </w:t>
      </w:r>
      <w:r w:rsidR="00436416" w:rsidRPr="0021089F">
        <w:rPr>
          <w:rFonts w:ascii="Century Gothic" w:eastAsia="Century Gothic" w:hAnsi="Century Gothic" w:cs="Century Gothic"/>
          <w:sz w:val="24"/>
          <w:szCs w:val="24"/>
        </w:rPr>
        <w:t xml:space="preserve">Millones </w:t>
      </w:r>
      <w:r w:rsidR="0015401F" w:rsidRPr="0021089F">
        <w:rPr>
          <w:rFonts w:ascii="Century Gothic" w:eastAsia="Century Gothic" w:hAnsi="Century Gothic" w:cs="Century Gothic"/>
          <w:sz w:val="24"/>
          <w:szCs w:val="24"/>
        </w:rPr>
        <w:t>Cuatrocientos Noventa y Dos</w:t>
      </w:r>
      <w:r w:rsidR="00436416" w:rsidRPr="0021089F">
        <w:rPr>
          <w:rFonts w:ascii="Century Gothic" w:eastAsia="Century Gothic" w:hAnsi="Century Gothic" w:cs="Century Gothic"/>
          <w:sz w:val="24"/>
          <w:szCs w:val="24"/>
        </w:rPr>
        <w:t xml:space="preserve"> Mil </w:t>
      </w:r>
      <w:r w:rsidR="0015401F" w:rsidRPr="0021089F">
        <w:rPr>
          <w:rFonts w:ascii="Century Gothic" w:eastAsia="Century Gothic" w:hAnsi="Century Gothic" w:cs="Century Gothic"/>
          <w:sz w:val="24"/>
          <w:szCs w:val="24"/>
        </w:rPr>
        <w:t>Cuatrocientos Cuarenta y Dos</w:t>
      </w:r>
      <w:r w:rsidR="00436416" w:rsidRPr="0021089F">
        <w:rPr>
          <w:rFonts w:ascii="Century Gothic" w:eastAsia="Century Gothic" w:hAnsi="Century Gothic" w:cs="Century Gothic"/>
          <w:sz w:val="24"/>
          <w:szCs w:val="24"/>
        </w:rPr>
        <w:t xml:space="preserve"> 00/100 Bolivianos)</w:t>
      </w:r>
      <w:r w:rsidR="00DA3C17" w:rsidRPr="0021089F">
        <w:rPr>
          <w:rFonts w:ascii="Century Gothic" w:eastAsia="Century Gothic" w:hAnsi="Century Gothic" w:cs="Century Gothic"/>
          <w:sz w:val="24"/>
          <w:szCs w:val="24"/>
        </w:rPr>
        <w:t xml:space="preserve"> </w:t>
      </w:r>
      <w:r w:rsidR="00B55F43" w:rsidRPr="0021089F">
        <w:rPr>
          <w:rFonts w:ascii="Century Gothic" w:eastAsia="Century Gothic" w:hAnsi="Century Gothic" w:cs="Century Gothic"/>
          <w:sz w:val="24"/>
          <w:szCs w:val="24"/>
        </w:rPr>
        <w:t xml:space="preserve">y un consolidado de </w:t>
      </w:r>
      <w:r w:rsidR="00436416" w:rsidRPr="0021089F">
        <w:rPr>
          <w:rFonts w:ascii="Century Gothic" w:eastAsia="Century Gothic" w:hAnsi="Century Gothic" w:cs="Century Gothic"/>
          <w:sz w:val="24"/>
          <w:szCs w:val="24"/>
        </w:rPr>
        <w:t>Bs</w:t>
      </w:r>
      <w:r w:rsidR="0015401F" w:rsidRPr="0021089F">
        <w:rPr>
          <w:rFonts w:ascii="Century Gothic" w:eastAsia="Century Gothic" w:hAnsi="Century Gothic" w:cs="Century Gothic"/>
          <w:sz w:val="24"/>
          <w:szCs w:val="24"/>
        </w:rPr>
        <w:t xml:space="preserve">335.139.831.134.- (Trescientos Treinta y Cinco Mil </w:t>
      </w:r>
      <w:r w:rsidR="0015401F" w:rsidRPr="0021089F">
        <w:rPr>
          <w:rFonts w:ascii="Century Gothic" w:eastAsia="Century Gothic" w:hAnsi="Century Gothic" w:cs="Century Gothic"/>
          <w:sz w:val="24"/>
          <w:szCs w:val="24"/>
        </w:rPr>
        <w:lastRenderedPageBreak/>
        <w:t>Ciento Treinta y Nueve Millones Ochocientos Treinta y Un Mil Ciento Treinta y Cuatro 00/100 Bolivianos)</w:t>
      </w:r>
      <w:r w:rsidR="00B55F43" w:rsidRPr="0021089F">
        <w:rPr>
          <w:rFonts w:ascii="Century Gothic" w:eastAsia="Century Gothic" w:hAnsi="Century Gothic" w:cs="Century Gothic"/>
          <w:sz w:val="24"/>
          <w:szCs w:val="24"/>
        </w:rPr>
        <w:t xml:space="preserve">, </w:t>
      </w:r>
      <w:r w:rsidRPr="0021089F">
        <w:rPr>
          <w:rFonts w:ascii="Century Gothic" w:eastAsia="Century Gothic" w:hAnsi="Century Gothic" w:cs="Century Gothic"/>
          <w:sz w:val="24"/>
          <w:szCs w:val="24"/>
        </w:rPr>
        <w:t>que contempla el presupuesto de ingresos y gastos de todas las entidades del Sector Público, los cuales se muestran con mayor detalle en los anexos de los Tomos I y II.</w:t>
      </w:r>
    </w:p>
    <w:p w14:paraId="743E7A7A" w14:textId="77777777" w:rsidR="00B55F43" w:rsidRPr="0021089F" w:rsidRDefault="00B55F43">
      <w:pPr>
        <w:spacing w:line="288" w:lineRule="auto"/>
        <w:jc w:val="both"/>
        <w:rPr>
          <w:rFonts w:ascii="Century Gothic" w:eastAsia="Century Gothic" w:hAnsi="Century Gothic" w:cs="Century Gothic"/>
          <w:color w:val="548DD4" w:themeColor="text2" w:themeTint="99"/>
          <w:highlight w:val="green"/>
          <w:sz w:val="24"/>
          <w:szCs w:val="24"/>
        </w:rPr>
      </w:pPr>
    </w:p>
    <w:p w14:paraId="000002BC" w14:textId="5C27ABBB" w:rsidR="00AE2FA5" w:rsidRPr="0021089F" w:rsidRDefault="006D7341">
      <w:pPr>
        <w:spacing w:line="288" w:lineRule="auto"/>
        <w:jc w:val="both"/>
        <w:rPr>
          <w:rFonts w:ascii="Century Gothic" w:eastAsia="Century Gothic" w:hAnsi="Century Gothic" w:cs="Century Gothic"/>
          <w:color w:val="548DD4" w:themeColor="text2" w:themeTint="99"/>
          <w:sz w:val="24"/>
          <w:szCs w:val="24"/>
        </w:rPr>
      </w:pPr>
      <w:r w:rsidRPr="0021089F">
        <w:rPr>
          <w:rFonts w:ascii="Century Gothic" w:eastAsia="Century Gothic" w:hAnsi="Century Gothic" w:cs="Century Gothic"/>
          <w:sz w:val="24"/>
          <w:szCs w:val="24"/>
        </w:rPr>
        <w:t>En este sentido, en cumplimiento al mandato constitucional, se sugiere que a través del Ministerio de la Presidencia se pueda remitir los antecedentes señalados a la Asamblea Legislativa Plurinacional para su tratamiento legislativo y aprobación de acuerdo a los plazos establecidos, que permitirán la ejecución de las políticas públicas a través de programas y proyectos previstos por las entidades del sector público en la gestión 202</w:t>
      </w:r>
      <w:r w:rsidR="0015401F" w:rsidRPr="0021089F">
        <w:rPr>
          <w:rFonts w:ascii="Century Gothic" w:eastAsia="Century Gothic" w:hAnsi="Century Gothic" w:cs="Century Gothic"/>
          <w:sz w:val="24"/>
          <w:szCs w:val="24"/>
        </w:rPr>
        <w:t>7</w:t>
      </w:r>
      <w:r w:rsidRPr="0021089F">
        <w:rPr>
          <w:rFonts w:ascii="Century Gothic" w:eastAsia="Century Gothic" w:hAnsi="Century Gothic" w:cs="Century Gothic"/>
          <w:sz w:val="24"/>
          <w:szCs w:val="24"/>
        </w:rPr>
        <w:t>.</w:t>
      </w:r>
    </w:p>
    <w:p w14:paraId="000002BD" w14:textId="77777777" w:rsidR="00AE2FA5" w:rsidRPr="00411D8C" w:rsidRDefault="00AE2FA5">
      <w:pPr>
        <w:spacing w:line="288" w:lineRule="auto"/>
        <w:jc w:val="both"/>
        <w:rPr>
          <w:rFonts w:ascii="Century Gothic" w:eastAsia="Century Gothic" w:hAnsi="Century Gothic" w:cs="Century Gothic"/>
          <w:color w:val="000000"/>
          <w:sz w:val="24"/>
          <w:szCs w:val="24"/>
        </w:rPr>
      </w:pPr>
    </w:p>
    <w:p w14:paraId="000002BE" w14:textId="2119E42C" w:rsidR="00AE2FA5" w:rsidRPr="006005C9" w:rsidRDefault="006D7341">
      <w:pPr>
        <w:spacing w:line="288" w:lineRule="auto"/>
        <w:jc w:val="both"/>
        <w:rPr>
          <w:rFonts w:ascii="Century Gothic" w:eastAsia="Century Gothic" w:hAnsi="Century Gothic" w:cs="Century Gothic"/>
          <w:color w:val="548DD4" w:themeColor="text2" w:themeTint="99"/>
          <w:sz w:val="24"/>
          <w:szCs w:val="24"/>
        </w:rPr>
      </w:pPr>
      <w:r w:rsidRPr="006005C9">
        <w:rPr>
          <w:rFonts w:ascii="Century Gothic" w:eastAsia="Century Gothic" w:hAnsi="Century Gothic" w:cs="Century Gothic"/>
          <w:sz w:val="24"/>
          <w:szCs w:val="24"/>
        </w:rPr>
        <w:t>Es cuanto se informa, para fines que corresponda.</w:t>
      </w:r>
    </w:p>
    <w:p w14:paraId="25493E60" w14:textId="77777777" w:rsidR="000D5962" w:rsidRDefault="00D030A2">
      <w:pPr>
        <w:spacing w:after="0" w:line="240" w:lineRule="auto"/>
        <w:rPr>
          <w:sz w:val="24"/>
          <w:szCs w:val="24"/>
        </w:rPr>
      </w:pPr>
      <w:r>
        <w:rPr>
          <w:rFonts w:ascii="Century Gothic" w:eastAsia="Century Gothic" w:hAnsi="Century Gothic" w:cs="Century Gothic"/>
          <w:sz w:val="24"/>
          <w:szCs w:val="24"/>
        </w:rPr>
        <w:t xml:space="preserve">H.R.: </w:t>
      </w:r>
      <w:r>
        <w:rPr>
          <w:rFonts w:ascii="Century Gothic" w:eastAsia="Century Gothic" w:hAnsi="Century Gothic" w:cs="Century Gothic"/>
          <w:sz w:val="24"/>
          <w:szCs w:val="24"/>
          <w:highlight w:val="yellow"/>
        </w:rPr>
        <w:t>[COMPLETAR]</w:t>
      </w:r>
    </w:p>
    <w:p w14:paraId="05EAB322" w14:textId="77777777" w:rsidR="000D5962" w:rsidRDefault="00D030A2">
      <w:pPr>
        <w:spacing w:after="0" w:line="240" w:lineRule="auto"/>
        <w:rPr>
          <w:sz w:val="24"/>
          <w:szCs w:val="24"/>
        </w:rPr>
      </w:pPr>
      <w:r>
        <w:rPr>
          <w:rFonts w:ascii="Century Gothic" w:eastAsia="Century Gothic" w:hAnsi="Century Gothic" w:cs="Century Gothic"/>
          <w:sz w:val="24"/>
          <w:szCs w:val="24"/>
          <w:highlight w:val="yellow"/>
        </w:rPr>
        <w:t>[COMPLETAR: cadena de iniciales]</w:t>
      </w:r>
    </w:p>
    <w:p w14:paraId="17E6D30E" w14:textId="77777777" w:rsidR="000D5962" w:rsidRDefault="00D030A2">
      <w:pPr>
        <w:spacing w:after="0" w:line="240" w:lineRule="auto"/>
        <w:rPr>
          <w:sz w:val="24"/>
          <w:szCs w:val="24"/>
        </w:rPr>
      </w:pPr>
      <w:r>
        <w:rPr>
          <w:rFonts w:ascii="Century Gothic" w:eastAsia="Century Gothic" w:hAnsi="Century Gothic" w:cs="Century Gothic"/>
          <w:sz w:val="24"/>
          <w:szCs w:val="24"/>
        </w:rPr>
        <w:t xml:space="preserve">Adj.: </w:t>
      </w:r>
      <w:r>
        <w:rPr>
          <w:rFonts w:ascii="Century Gothic" w:eastAsia="Century Gothic" w:hAnsi="Century Gothic" w:cs="Century Gothic"/>
          <w:sz w:val="24"/>
          <w:szCs w:val="24"/>
          <w:highlight w:val="yellow"/>
        </w:rPr>
        <w:t>[COMPLETAR]</w:t>
      </w:r>
    </w:p>
    <w:p w14:paraId="0D3B804E" w14:textId="77777777" w:rsidR="000D5962" w:rsidRDefault="00D030A2">
      <w:pPr>
        <w:spacing w:after="0" w:line="240" w:lineRule="auto"/>
        <w:rPr>
          <w:sz w:val="24"/>
          <w:szCs w:val="24"/>
        </w:rPr>
      </w:pPr>
      <w:r>
        <w:rPr>
          <w:rFonts w:ascii="Century Gothic" w:eastAsia="Century Gothic" w:hAnsi="Century Gothic" w:cs="Century Gothic"/>
          <w:sz w:val="24"/>
          <w:szCs w:val="24"/>
        </w:rPr>
        <w:t>C.c.: Archivo</w:t>
      </w:r>
    </w:p>
    <w:sectPr w:rsidR="000D5962" w:rsidSect="005C69BA">
      <w:headerReference w:type="default" r:id="rId23"/>
      <w:footerReference w:type="default" r:id="rId24"/>
      <w:pgSz w:w="12240" w:h="15840"/>
      <w:pgMar w:top="2127" w:right="1531" w:bottom="1871" w:left="1701" w:header="284" w:footer="28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5DEE36" w14:textId="77777777" w:rsidR="00BB0589" w:rsidRDefault="00BB0589" w:rsidP="00871B95">
      <w:pPr>
        <w:spacing w:after="0" w:line="240" w:lineRule="auto"/>
      </w:pPr>
      <w:r>
        <w:separator/>
      </w:r>
    </w:p>
  </w:endnote>
  <w:endnote w:type="continuationSeparator" w:id="0">
    <w:p w14:paraId="4834D6D2" w14:textId="77777777" w:rsidR="00BB0589" w:rsidRDefault="00BB0589" w:rsidP="00871B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02771349"/>
      <w:docPartObj>
        <w:docPartGallery w:val="Page Numbers (Bottom of Page)"/>
        <w:docPartUnique/>
      </w:docPartObj>
    </w:sdtPr>
    <w:sdtEndPr/>
    <w:sdtContent>
      <w:p w14:paraId="1CA54B0D" w14:textId="18C9D4D6" w:rsidR="008D1BAF" w:rsidRDefault="008D1BAF">
        <w:pPr>
          <w:pStyle w:val="Piedepgina"/>
          <w:jc w:val="center"/>
        </w:pPr>
        <w:r>
          <w:fldChar w:fldCharType="begin"/>
        </w:r>
        <w:r>
          <w:instrText>PAGE   \* MERGEFORMAT</w:instrText>
        </w:r>
        <w:r>
          <w:fldChar w:fldCharType="separate"/>
        </w:r>
        <w:r>
          <w:rPr>
            <w:lang w:val="es-ES"/>
          </w:rPr>
          <w:t>2</w:t>
        </w:r>
        <w:r>
          <w:fldChar w:fldCharType="end"/>
        </w:r>
      </w:p>
    </w:sdtContent>
  </w:sdt>
  <w:p w14:paraId="2108D6CC" w14:textId="77777777" w:rsidR="008D1BAF" w:rsidRDefault="008D1BA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6EE604" w14:textId="77777777" w:rsidR="00BB0589" w:rsidRDefault="00BB0589" w:rsidP="00871B95">
      <w:pPr>
        <w:spacing w:after="0" w:line="240" w:lineRule="auto"/>
      </w:pPr>
      <w:r>
        <w:separator/>
      </w:r>
    </w:p>
  </w:footnote>
  <w:footnote w:type="continuationSeparator" w:id="0">
    <w:p w14:paraId="49D74681" w14:textId="77777777" w:rsidR="00BB0589" w:rsidRDefault="00BB0589" w:rsidP="00871B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2F5A6" w14:textId="77777777" w:rsidR="00871B95" w:rsidRDefault="00871B95">
    <w:pPr>
      <w:pStyle w:val="Encabezado"/>
    </w:pPr>
    <w:r>
      <w:rPr>
        <w:noProof/>
      </w:rPr>
      <w:drawing>
        <wp:anchor distT="0" distB="0" distL="0" distR="0" simplePos="0" relativeHeight="251658240" behindDoc="1" locked="0" layoutInCell="1" hidden="0" allowOverlap="1" wp14:anchorId="30BD0144" wp14:editId="5DE6540F">
          <wp:simplePos x="0" y="0"/>
          <wp:positionH relativeFrom="column">
            <wp:posOffset>-1369060</wp:posOffset>
          </wp:positionH>
          <wp:positionV relativeFrom="paragraph">
            <wp:posOffset>-179705</wp:posOffset>
          </wp:positionV>
          <wp:extent cx="8061325" cy="1071880"/>
          <wp:effectExtent l="0" t="0" r="0" b="0"/>
          <wp:wrapNone/>
          <wp:docPr id="20" name="image10.png" descr="A black background with a black border&#10;&#10;Description automatically generated"/>
          <wp:cNvGraphicFramePr/>
          <a:graphic xmlns:a="http://schemas.openxmlformats.org/drawingml/2006/main">
            <a:graphicData uri="http://schemas.openxmlformats.org/drawingml/2006/picture">
              <pic:pic xmlns:pic="http://schemas.openxmlformats.org/drawingml/2006/picture">
                <pic:nvPicPr>
                  <pic:cNvPr id="14" name="image10.png" descr="A black background with a black border&#10;&#10;Description automatically generated"/>
                  <pic:cNvPicPr preferRelativeResize="0"/>
                </pic:nvPicPr>
                <pic:blipFill>
                  <a:blip r:embed="rId1"/>
                  <a:srcRect/>
                  <a:stretch>
                    <a:fillRect/>
                  </a:stretch>
                </pic:blipFill>
                <pic:spPr>
                  <a:xfrm>
                    <a:off x="0" y="0"/>
                    <a:ext cx="8061325" cy="107188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5594624"/>
    <w:multiLevelType w:val="hybridMultilevel"/>
    <w:tmpl w:val="825C7A0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10" w16cid:durableId="1974168736">
    <w:abstractNumId w:val="9"/>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9EE"/>
    <w:rsid w:val="00034616"/>
    <w:rsid w:val="0006063C"/>
    <w:rsid w:val="000A1405"/>
    <w:rsid w:val="000D5962"/>
    <w:rsid w:val="000E35EC"/>
    <w:rsid w:val="000F64EF"/>
    <w:rsid w:val="0015074B"/>
    <w:rsid w:val="00231A7F"/>
    <w:rsid w:val="0029639D"/>
    <w:rsid w:val="00326F90"/>
    <w:rsid w:val="00350925"/>
    <w:rsid w:val="003C46D7"/>
    <w:rsid w:val="00466D69"/>
    <w:rsid w:val="005B1B0F"/>
    <w:rsid w:val="005C69BA"/>
    <w:rsid w:val="0060381F"/>
    <w:rsid w:val="006E6970"/>
    <w:rsid w:val="0078157B"/>
    <w:rsid w:val="00836459"/>
    <w:rsid w:val="00836D20"/>
    <w:rsid w:val="00862FBF"/>
    <w:rsid w:val="00871B95"/>
    <w:rsid w:val="008D1BAF"/>
    <w:rsid w:val="008E08FC"/>
    <w:rsid w:val="00977FB0"/>
    <w:rsid w:val="009F0A3F"/>
    <w:rsid w:val="00A20725"/>
    <w:rsid w:val="00AA1D8D"/>
    <w:rsid w:val="00B2486F"/>
    <w:rsid w:val="00B47730"/>
    <w:rsid w:val="00BB0589"/>
    <w:rsid w:val="00CB0664"/>
    <w:rsid w:val="00CF4B0E"/>
    <w:rsid w:val="00D030A2"/>
    <w:rsid w:val="00D24A07"/>
    <w:rsid w:val="00D9711F"/>
    <w:rsid w:val="00DA653A"/>
    <w:rsid w:val="00DC43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1D637B2"/>
  <w14:defaultImageDpi w14:val="300"/>
  <w15:docId w15:val="{248AE273-949E-4896-8452-EAB8B535A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eastAsia="Arial" w:hAnsi="Arial"/>
      <w:sz w:val="21"/>
    </w:rPr>
  </w:style>
  <w:style w:type="paragraph" w:styleId="Ttulo1">
    <w:name w:val="heading 1"/>
    <w:basedOn w:val="Normal"/>
    <w:next w:val="Normal"/>
    <w:link w:val="Ttulo1Car"/>
    <w:uiPriority w:val="9"/>
    <w:qFormat/>
    <w:rsid w:val="00FC693F"/>
    <w:pPr>
      <w:keepNext/>
      <w:keepLines/>
      <w:spacing w:before="200" w:after="80"/>
      <w:outlineLvl w:val="0"/>
    </w:pPr>
    <w:rPr>
      <w:rFonts w:cs="Arial"/>
      <w:b/>
      <w:bCs/>
      <w:color w:val="000000"/>
      <w:sz w:val="24"/>
      <w:szCs w:val="28"/>
    </w:rPr>
  </w:style>
  <w:style w:type="paragraph" w:styleId="Ttulo2">
    <w:name w:val="heading 2"/>
    <w:basedOn w:val="Normal"/>
    <w:next w:val="Normal"/>
    <w:link w:val="Ttulo2Car"/>
    <w:uiPriority w:val="9"/>
    <w:unhideWhenUsed/>
    <w:qFormat/>
    <w:rsid w:val="00FC693F"/>
    <w:pPr>
      <w:keepNext/>
      <w:keepLines/>
      <w:spacing w:before="200" w:after="80"/>
      <w:outlineLvl w:val="1"/>
    </w:pPr>
    <w:rPr>
      <w:rFonts w:cs="Arial"/>
      <w:b/>
      <w:bCs/>
      <w:color w:val="000000"/>
      <w:sz w:val="22"/>
      <w:szCs w:val="26"/>
    </w:rPr>
  </w:style>
  <w:style w:type="paragraph" w:styleId="Ttulo3">
    <w:name w:val="heading 3"/>
    <w:basedOn w:val="Normal"/>
    <w:next w:val="Normal"/>
    <w:link w:val="Ttulo3Car"/>
    <w:uiPriority w:val="9"/>
    <w:unhideWhenUsed/>
    <w:qFormat/>
    <w:rsid w:val="00FC693F"/>
    <w:pPr>
      <w:keepNext/>
      <w:keepLines/>
      <w:spacing w:before="200" w:after="80"/>
      <w:outlineLvl w:val="2"/>
    </w:pPr>
    <w:rPr>
      <w:rFonts w:cs="Arial"/>
      <w:b/>
      <w:bCs/>
      <w:color w:val="000000"/>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notapie">
    <w:name w:val="footnote text"/>
    <w:basedOn w:val="Normal"/>
    <w:link w:val="TextonotapieCar"/>
    <w:uiPriority w:val="99"/>
    <w:semiHidden/>
    <w:unhideWhenUsed/>
    <w:rsid w:val="00A423C4"/>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A423C4"/>
    <w:rPr>
      <w:rFonts w:ascii="Arial" w:eastAsia="Arial" w:hAnsi="Arial"/>
      <w:sz w:val="20"/>
      <w:szCs w:val="20"/>
    </w:rPr>
  </w:style>
  <w:style w:type="character" w:styleId="Refdenotaalpie">
    <w:name w:val="footnote reference"/>
    <w:basedOn w:val="Fuentedeprrafopredeter"/>
    <w:uiPriority w:val="99"/>
    <w:semiHidden/>
    <w:unhideWhenUsed/>
    <w:rsid w:val="00A423C4"/>
    <w:rPr>
      <w:vertAlign w:val="superscript"/>
    </w:rPr>
  </w:style>
  <w:style w:type="character" w:styleId="Hipervnculo">
    <w:name w:val="Hyperlink"/>
    <w:basedOn w:val="Fuentedeprrafopredeter"/>
    <w:uiPriority w:val="99"/>
    <w:unhideWhenUsed/>
    <w:rsid w:val="00485B3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chart" Target="charts/chart6.xml"/><Relationship Id="rId18" Type="http://schemas.openxmlformats.org/officeDocument/2006/relationships/chart" Target="charts/chart11.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hart" Target="charts/chart13.xml"/><Relationship Id="rId7" Type="http://schemas.openxmlformats.org/officeDocument/2006/relationships/endnotes" Target="endnotes.xml"/><Relationship Id="rId12" Type="http://schemas.openxmlformats.org/officeDocument/2006/relationships/chart" Target="charts/chart5.xml"/><Relationship Id="rId17" Type="http://schemas.openxmlformats.org/officeDocument/2006/relationships/chart" Target="charts/chart10.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hart" Target="charts/chart9.xml"/><Relationship Id="rId20" Type="http://schemas.openxmlformats.org/officeDocument/2006/relationships/chart" Target="charts/chart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4.xm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hart" Target="charts/chart8.xml"/><Relationship Id="rId23" Type="http://schemas.openxmlformats.org/officeDocument/2006/relationships/header" Target="header1.xml"/><Relationship Id="rId10" Type="http://schemas.openxmlformats.org/officeDocument/2006/relationships/chart" Target="charts/chart3.xml"/><Relationship Id="rId19"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chart" Target="charts/chart7.xml"/><Relationship Id="rId22" Type="http://schemas.openxmlformats.org/officeDocument/2006/relationships/image" Target="media/image2.png"/><Relationship Id="rId27" Type="http://schemas.openxmlformats.org/officeDocument/2006/relationships/image" Target="media/image4.emf"/><Relationship Id="rId28" Type="http://schemas.openxmlformats.org/officeDocument/2006/relationships/image" Target="media/image5.emf"/><Relationship Id="rId29" Type="http://schemas.openxmlformats.org/officeDocument/2006/relationships/image" Target="media/image6.emf"/><Relationship Id="rId30" Type="http://schemas.openxmlformats.org/officeDocument/2006/relationships/image" Target="media/image7.emf"/><Relationship Id="rId31" Type="http://schemas.openxmlformats.org/officeDocument/2006/relationships/image" Target="media/image8.emf"/><Relationship Id="rId32" Type="http://schemas.openxmlformats.org/officeDocument/2006/relationships/image" Target="media/image9.emf"/><Relationship Id="rId33" Type="http://schemas.openxmlformats.org/officeDocument/2006/relationships/image" Target="media/image10.png"/><Relationship Id="rId34" Type="http://schemas.openxmlformats.org/officeDocument/2006/relationships/image" Target="media/image11.emf"/><Relationship Id="rId35" Type="http://schemas.openxmlformats.org/officeDocument/2006/relationships/image" Target="media/image12.png"/><Relationship Id="rId36" Type="http://schemas.openxmlformats.org/officeDocument/2006/relationships/chart" Target="charts/chart14.xml"/><Relationship Id="rId37" Type="http://schemas.openxmlformats.org/officeDocument/2006/relationships/image" Target="media/image13.emf"/><Relationship Id="rId38" Type="http://schemas.openxmlformats.org/officeDocument/2006/relationships/chart" Target="charts/chart15.xml"/><Relationship Id="rId39" Type="http://schemas.openxmlformats.org/officeDocument/2006/relationships/chart" Target="charts/chart16.xml"/><Relationship Id="rId40" Type="http://schemas.openxmlformats.org/officeDocument/2006/relationships/image" Target="media/image14.png"/><Relationship Id="rId41" Type="http://schemas.openxmlformats.org/officeDocument/2006/relationships/chart" Target="charts/chart17.xml"/><Relationship Id="rId42" Type="http://schemas.openxmlformats.org/officeDocument/2006/relationships/image" Target="media/image15.jpg"/><Relationship Id="rId43"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Excel_Worksheet4.xlsx"/></Relationships>
</file>

<file path=word/charts/_rels/chart6.xml.rels><?xml version='1.0' encoding='UTF-8' standalone='yes'?>
<Relationships xmlns="http://schemas.openxmlformats.org/package/2006/relationships"><Relationship Id="rId1" Type="http://schemas.openxmlformats.org/officeDocument/2006/relationships/package" Target="../embeddings/Microsoft_Excel_Worksheet5.xlsx"/></Relationships>
</file>

<file path=word/charts/_rels/chart7.xml.rels><?xml version='1.0' encoding='UTF-8' standalone='yes'?>
<Relationships xmlns="http://schemas.openxmlformats.org/package/2006/relationships"><Relationship Id="rId1" Type="http://schemas.openxmlformats.org/officeDocument/2006/relationships/package" Target="../embeddings/Microsoft_Excel_Worksheet6.xlsx"/></Relationships>
</file>

<file path=word/charts/_rels/chart8.xml.rels><?xml version='1.0' encoding='UTF-8' standalone='yes'?>
<Relationships xmlns="http://schemas.openxmlformats.org/package/2006/relationships"><Relationship Id="rId1" Type="http://schemas.openxmlformats.org/officeDocument/2006/relationships/package" Target="../embeddings/Microsoft_Excel_Worksheet7.xlsx"/></Relationships>
</file>

<file path=word/charts/_rels/chart9.xml.rels><?xml version='1.0' encoding='UTF-8' standalone='yes'?>
<Relationships xmlns="http://schemas.openxmlformats.org/package/2006/relationships"><Relationship Id="rId1" Type="http://schemas.openxmlformats.org/officeDocument/2006/relationships/package" Target="../embeddings/Microsoft_Excel_Worksheet8.xlsx"/></Relationships>
</file>

<file path=word/charts/_rels/chart10.xml.rels><?xml version='1.0' encoding='UTF-8' standalone='yes'?>
<Relationships xmlns="http://schemas.openxmlformats.org/package/2006/relationships"><Relationship Id="rId1" Type="http://schemas.openxmlformats.org/officeDocument/2006/relationships/package" Target="../embeddings/Microsoft_Excel_Worksheet9.xlsx"/></Relationships>
</file>

<file path=word/charts/_rels/chart11.xml.rels><?xml version='1.0' encoding='UTF-8' standalone='yes'?>
<Relationships xmlns="http://schemas.openxmlformats.org/package/2006/relationships"><Relationship Id="rId1" Type="http://schemas.openxmlformats.org/officeDocument/2006/relationships/package" Target="../embeddings/Microsoft_Excel_Worksheet10.xlsx"/></Relationships>
</file>

<file path=word/charts/_rels/chart12.xml.rels><?xml version='1.0' encoding='UTF-8' standalone='yes'?>
<Relationships xmlns="http://schemas.openxmlformats.org/package/2006/relationships"><Relationship Id="rId1" Type="http://schemas.openxmlformats.org/officeDocument/2006/relationships/package" Target="../embeddings/Microsoft_Excel_Worksheet11.xlsx"/></Relationships>
</file>

<file path=word/charts/_rels/chart13.xml.rels><?xml version='1.0' encoding='UTF-8' standalone='yes'?>
<Relationships xmlns="http://schemas.openxmlformats.org/package/2006/relationships"><Relationship Id="rId1" Type="http://schemas.openxmlformats.org/officeDocument/2006/relationships/package" Target="../embeddings/Microsoft_Excel_Worksheet12.xlsx"/></Relationships>
</file>

<file path=word/charts/_rels/chart14.xml.rels><?xml version='1.0' encoding='UTF-8' standalone='yes'?>
<Relationships xmlns="http://schemas.openxmlformats.org/package/2006/relationships"><Relationship Id="rId1" Type="http://schemas.openxmlformats.org/officeDocument/2006/relationships/package" Target="../embeddings/Microsoft_Excel_Worksheet13.xlsx"/></Relationships>
</file>

<file path=word/charts/_rels/chart15.xml.rels><?xml version='1.0' encoding='UTF-8' standalone='yes'?>
<Relationships xmlns="http://schemas.openxmlformats.org/package/2006/relationships"><Relationship Id="rId1" Type="http://schemas.microsoft.com/office/2011/relationships/chartStyle" Target="style1.xml"/><Relationship Id="rId2" Type="http://schemas.microsoft.com/office/2011/relationships/chartColorStyle" Target="colors1.xml"/><Relationship Id="rId3" Type="http://schemas.openxmlformats.org/officeDocument/2006/relationships/oleObject" Target="file:///C:\Users\rebeca.vargas\Desktop\IMPORTANTE%20PARA%20ACTUALIZAR\PGE_GASTOS_2027%20(SUELDOS)%20INFORME%20TECNICO.xlsx" TargetMode="External"/></Relationships>
</file>

<file path=word/charts/_rels/chart16.xml.rels><?xml version='1.0' encoding='UTF-8' standalone='yes'?>
<Relationships xmlns="http://schemas.openxmlformats.org/package/2006/relationships"><Relationship Id="rId1" Type="http://schemas.microsoft.com/office/2011/relationships/chartStyle" Target="style2.xml"/><Relationship Id="rId2" Type="http://schemas.microsoft.com/office/2011/relationships/chartColorStyle" Target="colors2.xml"/><Relationship Id="rId3" Type="http://schemas.openxmlformats.org/officeDocument/2006/relationships/oleObject" Target="file:///C:\Users\rebeca.vargas\Desktop\IMPORTANTE%20PARA%20ACTUALIZAR\PGE_GASTOS_2027%20(SUELDOS)%20INFORME%20TECNICO.xlsx" TargetMode="External"/></Relationships>
</file>

<file path=word/charts/_rels/chart17.xml.rels><?xml version='1.0' encoding='UTF-8' standalone='yes'?>
<Relationships xmlns="http://schemas.openxmlformats.org/package/2006/relationships"><Relationship Id="rId1" Type="http://schemas.microsoft.com/office/2011/relationships/chartStyle" Target="style3.xml"/><Relationship Id="rId2" Type="http://schemas.microsoft.com/office/2011/relationships/chartColorStyle" Target="colors3.xml"/><Relationship Id="rId3" Type="http://schemas.openxmlformats.org/officeDocument/2006/relationships/oleObject" Target="file:///D:\mefp\Miguel%20Zeballos\Escritorio\SOLICITUD%20DE%20INFORMACI&#211;N\Transferenc&#237;as%20y%20Regal&#237;as.xlsx" TargetMode="External"/><Relationship Id="rId4" Type="http://schemas.openxmlformats.org/officeDocument/2006/relationships/chartUserShapes" Target="../drawings/drawing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6728069160074731E-2"/>
          <c:y val="3.800352195463684E-2"/>
          <c:w val="0.9465438616798505"/>
          <c:h val="0.70241498606092889"/>
        </c:manualLayout>
      </c:layout>
      <c:barChart>
        <c:barDir val="col"/>
        <c:grouping val="clustered"/>
        <c:varyColors val="0"/>
        <c:ser>
          <c:idx val="0"/>
          <c:order val="0"/>
          <c:tx>
            <c:strRef>
              <c:f>'1.1'!$B$4</c:f>
              <c:strCache>
                <c:ptCount val="1"/>
                <c:pt idx="0">
                  <c:v>2024</c:v>
                </c:pt>
              </c:strCache>
            </c:strRef>
          </c:tx>
          <c:spPr>
            <a:solidFill>
              <a:srgbClr val="00666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Century Gothic" panose="020B0502020202020204" pitchFamily="34" charset="0"/>
                    <a:ea typeface="+mn-ea"/>
                    <a:cs typeface="+mn-cs"/>
                  </a:defRPr>
                </a:pPr>
                <a:endParaRPr lang="es-B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'1.1'!$A$5:$A$6</c:f>
              <c:strCache>
                <c:ptCount val="2"/>
                <c:pt idx="0">
                  <c:v>FMI</c:v>
                </c:pt>
                <c:pt idx="1">
                  <c:v>BM</c:v>
                </c:pt>
              </c:strCache>
            </c:strRef>
          </c:cat>
          <c:val>
            <c:numRef>
              <c:f>'1.1'!$B$5:$B$6</c:f>
              <c:numCache>
                <c:formatCode>0.0</c:formatCode>
                <c:ptCount val="2"/>
                <c:pt idx="0">
                  <c:v>3.3</c:v>
                </c:pt>
                <c:pt idx="1">
                  <c:v>2.8</c:v>
                </c:pt>
              </c:numCache>
            </c:numRef>
          </c:val>
          <c:extLst>
            <c:ext xmlns:c16="http://schemas.microsoft.com/office/drawing/2014/chart" uri="{C3380CC4-5D6E-409C-BE32-E72D297353CC}">
              <c16:uniqueId val="{00000000-A56C-4D14-9891-9904E1758B19}"/>
            </c:ext>
          </c:extLst>
        </c:ser>
        <c:ser>
          <c:idx val="1"/>
          <c:order val="1"/>
          <c:tx>
            <c:strRef>
              <c:f>'1.1'!$C$4</c:f>
              <c:strCache>
                <c:ptCount val="1"/>
                <c:pt idx="0">
                  <c:v>2025 (e)</c:v>
                </c:pt>
              </c:strCache>
            </c:strRef>
          </c:tx>
          <c:spPr>
            <a:solidFill>
              <a:srgbClr val="009999"/>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Century Gothic" panose="020B0502020202020204" pitchFamily="34" charset="0"/>
                    <a:ea typeface="+mn-ea"/>
                    <a:cs typeface="+mn-cs"/>
                  </a:defRPr>
                </a:pPr>
                <a:endParaRPr lang="es-B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'1.1'!$A$5:$A$6</c:f>
              <c:strCache>
                <c:ptCount val="2"/>
                <c:pt idx="0">
                  <c:v>FMI</c:v>
                </c:pt>
                <c:pt idx="1">
                  <c:v>BM</c:v>
                </c:pt>
              </c:strCache>
            </c:strRef>
          </c:cat>
          <c:val>
            <c:numRef>
              <c:f>'1.1'!$C$5:$C$6</c:f>
              <c:numCache>
                <c:formatCode>0.0</c:formatCode>
                <c:ptCount val="2"/>
                <c:pt idx="0">
                  <c:v>3.2</c:v>
                </c:pt>
                <c:pt idx="1">
                  <c:v>2.2999999999999998</c:v>
                </c:pt>
              </c:numCache>
            </c:numRef>
          </c:val>
          <c:extLst>
            <c:ext xmlns:c16="http://schemas.microsoft.com/office/drawing/2014/chart" uri="{C3380CC4-5D6E-409C-BE32-E72D297353CC}">
              <c16:uniqueId val="{00000001-A56C-4D14-9891-9904E1758B19}"/>
            </c:ext>
          </c:extLst>
        </c:ser>
        <c:ser>
          <c:idx val="2"/>
          <c:order val="2"/>
          <c:tx>
            <c:strRef>
              <c:f>'1.1'!$D$4</c:f>
              <c:strCache>
                <c:ptCount val="1"/>
                <c:pt idx="0">
                  <c:v>2026 (e)</c:v>
                </c:pt>
              </c:strCache>
            </c:strRef>
          </c:tx>
          <c:spPr>
            <a:solidFill>
              <a:srgbClr val="33996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Century Gothic" panose="020B0502020202020204" pitchFamily="34" charset="0"/>
                    <a:ea typeface="+mn-ea"/>
                    <a:cs typeface="+mn-cs"/>
                  </a:defRPr>
                </a:pPr>
                <a:endParaRPr lang="es-B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'1.1'!$A$5:$A$6</c:f>
              <c:strCache>
                <c:ptCount val="2"/>
                <c:pt idx="0">
                  <c:v>FMI</c:v>
                </c:pt>
                <c:pt idx="1">
                  <c:v>BM</c:v>
                </c:pt>
              </c:strCache>
            </c:strRef>
          </c:cat>
          <c:val>
            <c:numRef>
              <c:f>'1.1'!$D$5:$D$6</c:f>
              <c:numCache>
                <c:formatCode>0.0</c:formatCode>
                <c:ptCount val="2"/>
                <c:pt idx="0">
                  <c:v>3.1</c:v>
                </c:pt>
                <c:pt idx="1">
                  <c:v>2.4</c:v>
                </c:pt>
              </c:numCache>
            </c:numRef>
          </c:val>
          <c:extLst>
            <c:ext xmlns:c16="http://schemas.microsoft.com/office/drawing/2014/chart" uri="{C3380CC4-5D6E-409C-BE32-E72D297353CC}">
              <c16:uniqueId val="{00000002-A56C-4D14-9891-9904E1758B19}"/>
            </c:ext>
          </c:extLst>
        </c:ser>
        <c:ser>
          <c:idx val="3"/>
          <c:order val="3"/>
          <c:tx>
            <c:v>2027 (e)</c:v>
          </c:tx>
          <c:invertIfNegative val="0"/>
          <c:dLbls>
            <c:spPr>
              <a:noFill/>
              <a:ln>
                <a:noFill/>
              </a:ln>
              <a:effectLst/>
            </c:spPr>
            <c:txPr>
              <a:bodyPr wrap="square" lIns="38100" tIns="19050" rIns="38100" bIns="19050" anchor="ctr">
                <a:spAutoFit/>
              </a:bodyPr>
              <a:lstStyle/>
              <a:p>
                <a:pPr>
                  <a:defRPr sz="900">
                    <a:solidFill>
                      <a:srgbClr val="000000"/>
                    </a:solidFill>
                    <a:latin typeface="Century Gothic"/>
                    <a:ea typeface="Century Gothic"/>
                    <a:cs typeface="Century Gothic"/>
                  </a:defRPr>
                </a:pPr>
                <a:endParaRPr lang="es-BO"/>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'1.1'!$A$5:$A$6</c:f>
              <c:strCache>
                <c:ptCount val="2"/>
                <c:pt idx="0">
                  <c:v>FMI</c:v>
                </c:pt>
                <c:pt idx="1">
                  <c:v>BM</c:v>
                </c:pt>
              </c:strCache>
            </c:strRef>
          </c:cat>
          <c:val>
            <c:numRef>
              <c:f>'1.1'!$E$5:$E$6</c:f>
              <c:numCache>
                <c:formatCode>0.0</c:formatCode>
                <c:ptCount val="2"/>
                <c:pt idx="1">
                  <c:v>4</c:v>
                </c:pt>
              </c:numCache>
            </c:numRef>
          </c:val>
          <c:extLst>
            <c:ext xmlns:c16="http://schemas.microsoft.com/office/drawing/2014/chart" uri="{C3380CC4-5D6E-409C-BE32-E72D297353CC}">
              <c16:uniqueId val="{00000003-A56C-4D14-9891-9904E1758B19}"/>
            </c:ext>
          </c:extLst>
        </c:ser>
        <c:dLbls>
          <c:showLegendKey val="0"/>
          <c:showVal val="0"/>
          <c:showCatName val="0"/>
          <c:showSerName val="0"/>
          <c:showPercent val="0"/>
          <c:showBubbleSize val="0"/>
        </c:dLbls>
        <c:gapWidth val="219"/>
        <c:overlap val="-27"/>
        <c:axId val="1250070495"/>
        <c:axId val="1250069247"/>
      </c:barChart>
      <c:catAx>
        <c:axId val="1250070495"/>
        <c:scaling>
          <c:orientation val="minMax"/>
        </c:scaling>
        <c:delete val="0"/>
        <c:axPos val="b"/>
        <c:numFmt formatCode="General" sourceLinked="1"/>
        <c:majorTickMark val="in"/>
        <c:minorTickMark val="none"/>
        <c:tickLblPos val="nextTo"/>
        <c:spPr>
          <a:noFill/>
          <a:ln w="6350"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Century Gothic" panose="020B0502020202020204" pitchFamily="34" charset="0"/>
                <a:ea typeface="+mn-ea"/>
                <a:cs typeface="+mn-cs"/>
              </a:defRPr>
            </a:pPr>
            <a:endParaRPr lang="es-BO"/>
          </a:p>
        </c:txPr>
        <c:crossAx val="1250069247"/>
        <c:crosses val="autoZero"/>
        <c:auto val="1"/>
        <c:lblAlgn val="ctr"/>
        <c:lblOffset val="100"/>
        <c:noMultiLvlLbl val="0"/>
      </c:catAx>
      <c:valAx>
        <c:axId val="1250069247"/>
        <c:scaling>
          <c:orientation val="minMax"/>
        </c:scaling>
        <c:delete val="1"/>
        <c:axPos val="l"/>
        <c:numFmt formatCode="0.0" sourceLinked="1"/>
        <c:majorTickMark val="none"/>
        <c:minorTickMark val="none"/>
        <c:tickLblPos val="nextTo"/>
        <c:crossAx val="125007049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Century Gothic" panose="020B0502020202020204" pitchFamily="34" charset="0"/>
              <a:ea typeface="+mn-ea"/>
              <a:cs typeface="+mn-cs"/>
            </a:defRPr>
          </a:pPr>
          <a:endParaRPr lang="es-BO"/>
        </a:p>
      </c:txPr>
    </c:legend>
    <c:plotVisOnly val="1"/>
    <c:dispBlanksAs val="gap"/>
    <c:showDLblsOverMax val="0"/>
  </c:chart>
  <c:spPr>
    <a:noFill/>
    <a:ln w="9525" cap="flat" cmpd="sng" algn="ctr">
      <a:noFill/>
      <a:round/>
    </a:ln>
    <a:effectLst/>
  </c:spPr>
  <c:txPr>
    <a:bodyPr/>
    <a:lstStyle/>
    <a:p>
      <a:pPr>
        <a:defRPr>
          <a:latin typeface="Century Gothic" panose="020B0502020202020204" pitchFamily="34" charset="0"/>
        </a:defRPr>
      </a:pPr>
      <a:endParaRPr lang="es-BO"/>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9653166359433401E-2"/>
          <c:y val="6.8785465217424194E-2"/>
          <c:w val="0.9534021671494618"/>
          <c:h val="0.6868741664361363"/>
        </c:manualLayout>
      </c:layout>
      <c:barChart>
        <c:barDir val="col"/>
        <c:grouping val="clustered"/>
        <c:varyColors val="0"/>
        <c:ser>
          <c:idx val="0"/>
          <c:order val="0"/>
          <c:tx>
            <c:strRef>
              <c:f>'1.2'!$B$4</c:f>
              <c:strCache>
                <c:ptCount val="1"/>
                <c:pt idx="0">
                  <c:v>2025 (e)</c:v>
                </c:pt>
              </c:strCache>
            </c:strRef>
          </c:tx>
          <c:spPr>
            <a:solidFill>
              <a:srgbClr val="00666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ysClr val="windowText" lastClr="000000"/>
                    </a:solidFill>
                    <a:latin typeface="Century Gothic" panose="020B0502020202020204" pitchFamily="34" charset="0"/>
                    <a:ea typeface="+mn-ea"/>
                    <a:cs typeface="+mn-cs"/>
                  </a:defRPr>
                </a:pPr>
                <a:endParaRPr lang="es-B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'1.2'!$A$5:$A$7</c:f>
              <c:strCache>
                <c:ptCount val="3"/>
                <c:pt idx="0">
                  <c:v>FMI</c:v>
                </c:pt>
                <c:pt idx="1">
                  <c:v>BM</c:v>
                </c:pt>
                <c:pt idx="2">
                  <c:v>CEPAL</c:v>
                </c:pt>
              </c:strCache>
            </c:strRef>
          </c:cat>
          <c:val>
            <c:numRef>
              <c:f>'1.2'!$B$5:$B$7</c:f>
              <c:numCache>
                <c:formatCode>0.0</c:formatCode>
                <c:ptCount val="3"/>
                <c:pt idx="0">
                  <c:v>2.4</c:v>
                </c:pt>
                <c:pt idx="1">
                  <c:v>2.2999999999999998</c:v>
                </c:pt>
                <c:pt idx="2">
                  <c:v>2.4</c:v>
                </c:pt>
              </c:numCache>
            </c:numRef>
          </c:val>
          <c:extLst>
            <c:ext xmlns:c16="http://schemas.microsoft.com/office/drawing/2014/chart" uri="{C3380CC4-5D6E-409C-BE32-E72D297353CC}">
              <c16:uniqueId val="{00000000-EB75-4E5A-BE81-BB23E8B0FC5A}"/>
            </c:ext>
          </c:extLst>
        </c:ser>
        <c:ser>
          <c:idx val="1"/>
          <c:order val="1"/>
          <c:tx>
            <c:strRef>
              <c:f>'1.2'!$C$4</c:f>
              <c:strCache>
                <c:ptCount val="1"/>
                <c:pt idx="0">
                  <c:v>2026 (e)</c:v>
                </c:pt>
              </c:strCache>
            </c:strRef>
          </c:tx>
          <c:spPr>
            <a:solidFill>
              <a:srgbClr val="33996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ysClr val="windowText" lastClr="000000"/>
                    </a:solidFill>
                    <a:latin typeface="Century Gothic" panose="020B0502020202020204" pitchFamily="34" charset="0"/>
                    <a:ea typeface="+mn-ea"/>
                    <a:cs typeface="+mn-cs"/>
                  </a:defRPr>
                </a:pPr>
                <a:endParaRPr lang="es-B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'1.2'!$A$5:$A$7</c:f>
              <c:strCache>
                <c:ptCount val="3"/>
                <c:pt idx="0">
                  <c:v>FMI</c:v>
                </c:pt>
                <c:pt idx="1">
                  <c:v>BM</c:v>
                </c:pt>
                <c:pt idx="2">
                  <c:v>CEPAL</c:v>
                </c:pt>
              </c:strCache>
            </c:strRef>
          </c:cat>
          <c:val>
            <c:numRef>
              <c:f>'1.2'!$C$5:$C$7</c:f>
              <c:numCache>
                <c:formatCode>0.0</c:formatCode>
                <c:ptCount val="3"/>
                <c:pt idx="0">
                  <c:v>2.2999999999999998</c:v>
                </c:pt>
                <c:pt idx="1">
                  <c:v>2.4</c:v>
                </c:pt>
                <c:pt idx="2">
                  <c:v>2.2999999999999998</c:v>
                </c:pt>
              </c:numCache>
            </c:numRef>
          </c:val>
          <c:extLst>
            <c:ext xmlns:c16="http://schemas.microsoft.com/office/drawing/2014/chart" uri="{C3380CC4-5D6E-409C-BE32-E72D297353CC}">
              <c16:uniqueId val="{00000001-EB75-4E5A-BE81-BB23E8B0FC5A}"/>
            </c:ext>
          </c:extLst>
        </c:ser>
        <c:ser>
          <c:idx val="2"/>
          <c:order val="2"/>
          <c:tx>
            <c:strRef>
              <c:f>'1.2'!$D$4</c:f>
              <c:strCache>
                <c:ptCount val="1"/>
                <c:pt idx="0">
                  <c:v>2027 (e)</c:v>
                </c:pt>
              </c:strCache>
            </c:strRef>
          </c:tx>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'1.2'!$A$5:$A$7</c:f>
              <c:strCache>
                <c:ptCount val="3"/>
                <c:pt idx="0">
                  <c:v>FMI</c:v>
                </c:pt>
                <c:pt idx="1">
                  <c:v>BM</c:v>
                </c:pt>
                <c:pt idx="2">
                  <c:v>CEPAL</c:v>
                </c:pt>
              </c:strCache>
            </c:strRef>
          </c:cat>
          <c:val>
            <c:numRef>
              <c:f>'1.2'!$D$5:$D$7</c:f>
              <c:numCache>
                <c:formatCode>General</c:formatCode>
                <c:ptCount val="3"/>
                <c:pt idx="0" formatCode="0.0">
                  <c:v>2.5</c:v>
                </c:pt>
                <c:pt idx="2" formatCode="0.0">
                  <c:v>2.2999999999999998</c:v>
                </c:pt>
              </c:numCache>
            </c:numRef>
          </c:val>
          <c:extLst>
            <c:ext xmlns:c16="http://schemas.microsoft.com/office/drawing/2014/chart" uri="{C3380CC4-5D6E-409C-BE32-E72D297353CC}">
              <c16:uniqueId val="{00000002-EB75-4E5A-BE81-BB23E8B0FC5A}"/>
            </c:ext>
          </c:extLst>
        </c:ser>
        <c:dLbls>
          <c:showLegendKey val="0"/>
          <c:showVal val="0"/>
          <c:showCatName val="0"/>
          <c:showSerName val="0"/>
          <c:showPercent val="0"/>
          <c:showBubbleSize val="0"/>
        </c:dLbls>
        <c:gapWidth val="75"/>
        <c:overlap val="-27"/>
        <c:axId val="1045224415"/>
        <c:axId val="1045223583"/>
      </c:barChart>
      <c:catAx>
        <c:axId val="1045224415"/>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Century Gothic" panose="020B0502020202020204" pitchFamily="34" charset="0"/>
                <a:ea typeface="+mn-ea"/>
                <a:cs typeface="+mn-cs"/>
              </a:defRPr>
            </a:pPr>
            <a:endParaRPr lang="es-BO"/>
          </a:p>
        </c:txPr>
        <c:crossAx val="1045223583"/>
        <c:crosses val="autoZero"/>
        <c:auto val="1"/>
        <c:lblAlgn val="ctr"/>
        <c:lblOffset val="100"/>
        <c:noMultiLvlLbl val="0"/>
      </c:catAx>
      <c:valAx>
        <c:axId val="1045223583"/>
        <c:scaling>
          <c:orientation val="minMax"/>
          <c:max val="2.4"/>
          <c:min val="0.5"/>
        </c:scaling>
        <c:delete val="1"/>
        <c:axPos val="l"/>
        <c:numFmt formatCode="0.0" sourceLinked="1"/>
        <c:majorTickMark val="none"/>
        <c:minorTickMark val="none"/>
        <c:tickLblPos val="nextTo"/>
        <c:crossAx val="104522441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50" b="0" i="0" u="none" strike="noStrike" kern="1200" baseline="0">
              <a:solidFill>
                <a:sysClr val="windowText" lastClr="000000"/>
              </a:solidFill>
              <a:latin typeface="Century Gothic" panose="020B0502020202020204" pitchFamily="34" charset="0"/>
              <a:ea typeface="+mn-ea"/>
              <a:cs typeface="+mn-cs"/>
            </a:defRPr>
          </a:pPr>
          <a:endParaRPr lang="es-BO"/>
        </a:p>
      </c:txPr>
    </c:legend>
    <c:plotVisOnly val="1"/>
    <c:dispBlanksAs val="gap"/>
    <c:showDLblsOverMax val="0"/>
  </c:chart>
  <c:spPr>
    <a:noFill/>
    <a:ln w="9525" cap="flat" cmpd="sng" algn="ctr">
      <a:noFill/>
      <a:round/>
    </a:ln>
    <a:effectLst/>
  </c:spPr>
  <c:txPr>
    <a:bodyPr/>
    <a:lstStyle/>
    <a:p>
      <a:pPr>
        <a:defRPr/>
      </a:pPr>
      <a:endParaRPr lang="es-BO"/>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spPr>
            <a:ln w="28575" cap="rnd">
              <a:solidFill>
                <a:srgbClr val="006666"/>
              </a:solidFill>
              <a:round/>
            </a:ln>
            <a:effectLst/>
          </c:spPr>
          <c:marker>
            <c:symbol val="diamond"/>
            <c:size val="6"/>
            <c:spPr>
              <a:solidFill>
                <a:srgbClr val="006666"/>
              </a:solidFill>
              <a:ln w="9525">
                <a:noFill/>
              </a:ln>
              <a:effectLst/>
            </c:spPr>
          </c:marker>
          <c:dLbls>
            <c:dLbl>
              <c:idx val="4"/>
              <c:layout>
                <c:manualLayout>
                  <c:x val="-5.6444444444444443E-2"/>
                  <c:y val="-6.2580927384077029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D41A-4040-B73F-A6979178C329}"/>
                </c:ext>
              </c:extLst>
            </c:dLbl>
            <c:dLbl>
              <c:idx val="6"/>
              <c:layout>
                <c:manualLayout>
                  <c:x val="-3.8388888888888785E-2"/>
                  <c:y val="-9.2673519976669588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D41A-4040-B73F-A6979178C329}"/>
                </c:ext>
              </c:extLst>
            </c:dLbl>
            <c:dLbl>
              <c:idx val="8"/>
              <c:numFmt formatCode="#,##0.00" sourceLinked="0"/>
              <c:spPr>
                <a:noFill/>
                <a:ln>
                  <a:solidFill>
                    <a:schemeClr val="tx1"/>
                  </a:solidFill>
                  <a:prstDash val="sysDot"/>
                </a:ln>
                <a:effectLst/>
              </c:spPr>
              <c:txPr>
                <a:bodyPr rot="0" spcFirstLastPara="1" vertOverflow="ellipsis" vert="horz" wrap="square" lIns="38100" tIns="19050" rIns="38100" bIns="19050" anchor="ctr" anchorCtr="1">
                  <a:spAutoFit/>
                </a:bodyPr>
                <a:lstStyle/>
                <a:p>
                  <a:pPr>
                    <a:defRPr sz="800" b="1" i="0" u="none" strike="noStrike" kern="1200" baseline="0">
                      <a:solidFill>
                        <a:srgbClr val="006666"/>
                      </a:solidFill>
                      <a:latin typeface="Century Gothic" panose="020B0502020202020204" pitchFamily="34" charset="0"/>
                      <a:ea typeface="+mn-ea"/>
                      <a:cs typeface="+mn-cs"/>
                    </a:defRPr>
                  </a:pPr>
                  <a:endParaRPr lang="es-BO"/>
                </a:p>
              </c:txPr>
              <c:dLblPos val="t"/>
              <c:showLegendKey val="0"/>
              <c:showVal val="1"/>
              <c:showCatName val="0"/>
              <c:showSerName val="0"/>
              <c:showPercent val="0"/>
              <c:showBubbleSize val="0"/>
              <c:extLst>
                <c:ext xmlns:c16="http://schemas.microsoft.com/office/drawing/2014/chart" uri="{C3380CC4-5D6E-409C-BE32-E72D297353CC}">
                  <c16:uniqueId val="{00000002-D41A-4040-B73F-A6979178C329}"/>
                </c:ext>
              </c:extLst>
            </c:dLbl>
            <c:spPr>
              <a:noFill/>
              <a:ln>
                <a:solidFill>
                  <a:schemeClr val="tx1"/>
                </a:solidFill>
                <a:prstDash val="sysDot"/>
              </a:ln>
              <a:effectLst/>
            </c:spPr>
            <c:txPr>
              <a:bodyPr rot="0" spcFirstLastPara="1" vertOverflow="ellipsis" vert="horz" wrap="square" lIns="38100" tIns="19050" rIns="38100" bIns="19050" anchor="ctr" anchorCtr="1">
                <a:spAutoFit/>
              </a:bodyPr>
              <a:lstStyle/>
              <a:p>
                <a:pPr>
                  <a:defRPr sz="800" b="1" i="0" u="none" strike="noStrike" kern="1200" baseline="0">
                    <a:solidFill>
                      <a:srgbClr val="006666"/>
                    </a:solidFill>
                    <a:latin typeface="Century Gothic" panose="020B0502020202020204" pitchFamily="34" charset="0"/>
                    <a:ea typeface="+mn-ea"/>
                    <a:cs typeface="+mn-cs"/>
                  </a:defRPr>
                </a:pPr>
                <a:endParaRPr lang="es-BO"/>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'1.3'!$A$5:$A$13</c:f>
              <c:strCache>
                <c:ptCount val="9"/>
                <c:pt idx="0">
                  <c:v>Enero</c:v>
                </c:pt>
                <c:pt idx="1">
                  <c:v>Febrero</c:v>
                </c:pt>
                <c:pt idx="2">
                  <c:v>Marzo</c:v>
                </c:pt>
                <c:pt idx="3">
                  <c:v>Abril</c:v>
                </c:pt>
                <c:pt idx="4">
                  <c:v>Mayo</c:v>
                </c:pt>
                <c:pt idx="5">
                  <c:v>Junio</c:v>
                </c:pt>
                <c:pt idx="6">
                  <c:v>Julio</c:v>
                </c:pt>
                <c:pt idx="7">
                  <c:v>Agosto</c:v>
                </c:pt>
                <c:pt idx="8">
                  <c:v>Septiembre</c:v>
                </c:pt>
              </c:strCache>
            </c:strRef>
          </c:cat>
          <c:val>
            <c:numRef>
              <c:f>'1.3'!$B$5:$B$13</c:f>
              <c:numCache>
                <c:formatCode>0.00</c:formatCode>
                <c:ptCount val="9"/>
                <c:pt idx="0">
                  <c:v>1.31</c:v>
                </c:pt>
                <c:pt idx="1">
                  <c:v>-0.62</c:v>
                </c:pt>
                <c:pt idx="2">
                  <c:v>-0.34</c:v>
                </c:pt>
                <c:pt idx="3">
                  <c:v>0.14000000000000001</c:v>
                </c:pt>
                <c:pt idx="4">
                  <c:v>2.13</c:v>
                </c:pt>
                <c:pt idx="5">
                  <c:v>2.15</c:v>
                </c:pt>
                <c:pt idx="6">
                  <c:v>-2.79</c:v>
                </c:pt>
                <c:pt idx="7">
                  <c:v>1.1000000000000001</c:v>
                </c:pt>
                <c:pt idx="8">
                  <c:v>0.85</c:v>
                </c:pt>
              </c:numCache>
            </c:numRef>
          </c:val>
          <c:smooth val="1"/>
          <c:extLst>
            <c:ext xmlns:c16="http://schemas.microsoft.com/office/drawing/2014/chart" uri="{C3380CC4-5D6E-409C-BE32-E72D297353CC}">
              <c16:uniqueId val="{00000003-D41A-4040-B73F-A6979178C329}"/>
            </c:ext>
          </c:extLst>
        </c:ser>
        <c:dLbls>
          <c:showLegendKey val="0"/>
          <c:showVal val="0"/>
          <c:showCatName val="0"/>
          <c:showSerName val="0"/>
          <c:showPercent val="0"/>
          <c:showBubbleSize val="0"/>
        </c:dLbls>
        <c:marker val="1"/>
        <c:smooth val="0"/>
        <c:axId val="1233521615"/>
        <c:axId val="1233510383"/>
      </c:lineChart>
      <c:catAx>
        <c:axId val="1233521615"/>
        <c:scaling>
          <c:orientation val="minMax"/>
        </c:scaling>
        <c:delete val="0"/>
        <c:axPos val="b"/>
        <c:numFmt formatCode="General" sourceLinked="1"/>
        <c:majorTickMark val="in"/>
        <c:minorTickMark val="none"/>
        <c:tickLblPos val="low"/>
        <c:spPr>
          <a:noFill/>
          <a:ln w="6350" cap="flat" cmpd="sng" algn="ctr">
            <a:solidFill>
              <a:schemeClr val="tx1"/>
            </a:solidFill>
            <a:round/>
          </a:ln>
          <a:effectLst/>
        </c:spPr>
        <c:txPr>
          <a:bodyPr rot="-2700000" spcFirstLastPara="1" vertOverflow="ellipsis" wrap="square" anchor="ctr" anchorCtr="1"/>
          <a:lstStyle/>
          <a:p>
            <a:pPr>
              <a:defRPr sz="900" b="0" i="0" u="none" strike="noStrike" kern="1200" baseline="0">
                <a:solidFill>
                  <a:sysClr val="windowText" lastClr="000000"/>
                </a:solidFill>
                <a:latin typeface="Century Gothic" panose="020B0502020202020204" pitchFamily="34" charset="0"/>
                <a:ea typeface="+mn-ea"/>
                <a:cs typeface="+mn-cs"/>
              </a:defRPr>
            </a:pPr>
            <a:endParaRPr lang="es-BO"/>
          </a:p>
        </c:txPr>
        <c:crossAx val="1233510383"/>
        <c:crosses val="autoZero"/>
        <c:auto val="1"/>
        <c:lblAlgn val="ctr"/>
        <c:lblOffset val="100"/>
        <c:noMultiLvlLbl val="0"/>
      </c:catAx>
      <c:valAx>
        <c:axId val="1233510383"/>
        <c:scaling>
          <c:orientation val="minMax"/>
        </c:scaling>
        <c:delete val="0"/>
        <c:axPos val="l"/>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Century Gothic" panose="020B0502020202020204" pitchFamily="34" charset="0"/>
                <a:ea typeface="+mn-ea"/>
                <a:cs typeface="+mn-cs"/>
              </a:defRPr>
            </a:pPr>
            <a:endParaRPr lang="es-BO"/>
          </a:p>
        </c:txPr>
        <c:crossAx val="1233521615"/>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s-BO"/>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3835075774400025E-2"/>
          <c:y val="8.9140967768639306E-2"/>
          <c:w val="0.89562881094216962"/>
          <c:h val="0.64738677145876244"/>
        </c:manualLayout>
      </c:layout>
      <c:barChart>
        <c:barDir val="col"/>
        <c:grouping val="clustered"/>
        <c:varyColors val="0"/>
        <c:ser>
          <c:idx val="2"/>
          <c:order val="2"/>
          <c:tx>
            <c:strRef>
              <c:f>'1.4'!$B$4</c:f>
              <c:strCache>
                <c:ptCount val="1"/>
                <c:pt idx="0">
                  <c:v>BALANZA COMERCIAL</c:v>
                </c:pt>
              </c:strCache>
            </c:strRef>
          </c:tx>
          <c:spPr>
            <a:solidFill>
              <a:srgbClr val="01839D"/>
            </a:solidFill>
            <a:ln>
              <a:noFill/>
            </a:ln>
            <a:effectLst/>
          </c:spPr>
          <c:invertIfNegative val="0"/>
          <c:dPt>
            <c:idx val="0"/>
            <c:invertIfNegative val="0"/>
            <c:bubble3D val="0"/>
            <c:spPr>
              <a:solidFill>
                <a:srgbClr val="00675F"/>
              </a:solidFill>
              <a:ln>
                <a:noFill/>
              </a:ln>
              <a:effectLst/>
            </c:spPr>
            <c:extLst>
              <c:ext xmlns:c16="http://schemas.microsoft.com/office/drawing/2014/chart" uri="{C3380CC4-5D6E-409C-BE32-E72D297353CC}">
                <c16:uniqueId val="{00000001-029B-4078-BFCA-7D40BEC674F9}"/>
              </c:ext>
            </c:extLst>
          </c:dPt>
          <c:dPt>
            <c:idx val="1"/>
            <c:invertIfNegative val="0"/>
            <c:bubble3D val="0"/>
            <c:spPr>
              <a:solidFill>
                <a:srgbClr val="00675F"/>
              </a:solidFill>
              <a:ln>
                <a:noFill/>
              </a:ln>
              <a:effectLst/>
            </c:spPr>
            <c:extLst>
              <c:ext xmlns:c16="http://schemas.microsoft.com/office/drawing/2014/chart" uri="{C3380CC4-5D6E-409C-BE32-E72D297353CC}">
                <c16:uniqueId val="{00000003-029B-4078-BFCA-7D40BEC674F9}"/>
              </c:ext>
            </c:extLst>
          </c:dPt>
          <c:dPt>
            <c:idx val="2"/>
            <c:invertIfNegative val="0"/>
            <c:bubble3D val="0"/>
            <c:spPr>
              <a:solidFill>
                <a:srgbClr val="00675F"/>
              </a:solidFill>
              <a:ln>
                <a:noFill/>
              </a:ln>
              <a:effectLst/>
            </c:spPr>
            <c:extLst>
              <c:ext xmlns:c16="http://schemas.microsoft.com/office/drawing/2014/chart" uri="{C3380CC4-5D6E-409C-BE32-E72D297353CC}">
                <c16:uniqueId val="{00000005-029B-4078-BFCA-7D40BEC674F9}"/>
              </c:ext>
            </c:extLst>
          </c:dPt>
          <c:dPt>
            <c:idx val="3"/>
            <c:invertIfNegative val="0"/>
            <c:bubble3D val="0"/>
            <c:spPr>
              <a:solidFill>
                <a:srgbClr val="00675F"/>
              </a:solidFill>
              <a:ln>
                <a:noFill/>
              </a:ln>
              <a:effectLst/>
            </c:spPr>
            <c:extLst>
              <c:ext xmlns:c16="http://schemas.microsoft.com/office/drawing/2014/chart" uri="{C3380CC4-5D6E-409C-BE32-E72D297353CC}">
                <c16:uniqueId val="{00000007-029B-4078-BFCA-7D40BEC674F9}"/>
              </c:ext>
            </c:extLst>
          </c:dPt>
          <c:dPt>
            <c:idx val="4"/>
            <c:invertIfNegative val="0"/>
            <c:bubble3D val="0"/>
            <c:spPr>
              <a:solidFill>
                <a:srgbClr val="00675F"/>
              </a:solidFill>
              <a:ln>
                <a:noFill/>
              </a:ln>
              <a:effectLst/>
            </c:spPr>
            <c:extLst>
              <c:ext xmlns:c16="http://schemas.microsoft.com/office/drawing/2014/chart" uri="{C3380CC4-5D6E-409C-BE32-E72D297353CC}">
                <c16:uniqueId val="{00000009-029B-4078-BFCA-7D40BEC674F9}"/>
              </c:ext>
            </c:extLst>
          </c:dPt>
          <c:dPt>
            <c:idx val="5"/>
            <c:invertIfNegative val="0"/>
            <c:bubble3D val="0"/>
            <c:spPr>
              <a:solidFill>
                <a:srgbClr val="00675F"/>
              </a:solidFill>
              <a:ln>
                <a:noFill/>
              </a:ln>
              <a:effectLst/>
            </c:spPr>
            <c:extLst>
              <c:ext xmlns:c16="http://schemas.microsoft.com/office/drawing/2014/chart" uri="{C3380CC4-5D6E-409C-BE32-E72D297353CC}">
                <c16:uniqueId val="{0000000B-029B-4078-BFCA-7D40BEC674F9}"/>
              </c:ext>
            </c:extLst>
          </c:dPt>
          <c:dPt>
            <c:idx val="6"/>
            <c:invertIfNegative val="0"/>
            <c:bubble3D val="0"/>
            <c:spPr>
              <a:solidFill>
                <a:srgbClr val="00675F"/>
              </a:solidFill>
              <a:ln>
                <a:noFill/>
              </a:ln>
              <a:effectLst/>
            </c:spPr>
            <c:extLst>
              <c:ext xmlns:c16="http://schemas.microsoft.com/office/drawing/2014/chart" uri="{C3380CC4-5D6E-409C-BE32-E72D297353CC}">
                <c16:uniqueId val="{0000000D-029B-4078-BFCA-7D40BEC674F9}"/>
              </c:ext>
            </c:extLst>
          </c:dPt>
          <c:dPt>
            <c:idx val="7"/>
            <c:invertIfNegative val="0"/>
            <c:bubble3D val="0"/>
            <c:spPr>
              <a:solidFill>
                <a:srgbClr val="00675F"/>
              </a:solidFill>
              <a:ln>
                <a:noFill/>
              </a:ln>
              <a:effectLst/>
            </c:spPr>
            <c:extLst>
              <c:ext xmlns:c16="http://schemas.microsoft.com/office/drawing/2014/chart" uri="{C3380CC4-5D6E-409C-BE32-E72D297353CC}">
                <c16:uniqueId val="{0000000F-029B-4078-BFCA-7D40BEC674F9}"/>
              </c:ext>
            </c:extLst>
          </c:dPt>
          <c:dLbls>
            <c:numFmt formatCode="#,##0" sourceLinked="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Century Gothic" panose="020B0502020202020204" pitchFamily="34" charset="0"/>
                    <a:ea typeface="+mn-ea"/>
                    <a:cs typeface="Arial" panose="020B0604020202020204" pitchFamily="34" charset="0"/>
                  </a:defRPr>
                </a:pPr>
                <a:endParaRPr lang="es-BO"/>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'1.4'!$A$5:$A$12</c:f>
              <c:numCache>
                <c:formatCode>mmm\-yy</c:formatCode>
                <c:ptCount val="8"/>
                <c:pt idx="0">
                  <c:v>46023</c:v>
                </c:pt>
                <c:pt idx="1">
                  <c:v>46054</c:v>
                </c:pt>
                <c:pt idx="2">
                  <c:v>46082</c:v>
                </c:pt>
                <c:pt idx="3">
                  <c:v>46113</c:v>
                </c:pt>
                <c:pt idx="4">
                  <c:v>46143</c:v>
                </c:pt>
                <c:pt idx="5">
                  <c:v>46174</c:v>
                </c:pt>
                <c:pt idx="6">
                  <c:v>46204</c:v>
                </c:pt>
                <c:pt idx="7">
                  <c:v>46235</c:v>
                </c:pt>
              </c:numCache>
            </c:numRef>
          </c:cat>
          <c:val>
            <c:numRef>
              <c:f>'1.4'!$B$5:$B$12</c:f>
              <c:numCache>
                <c:formatCode>#,##0</c:formatCode>
                <c:ptCount val="8"/>
                <c:pt idx="0">
                  <c:v>373.8</c:v>
                </c:pt>
                <c:pt idx="1">
                  <c:v>421.9</c:v>
                </c:pt>
                <c:pt idx="2">
                  <c:v>476.2</c:v>
                </c:pt>
                <c:pt idx="3">
                  <c:v>108.3</c:v>
                </c:pt>
                <c:pt idx="4">
                  <c:v>85.1</c:v>
                </c:pt>
                <c:pt idx="5">
                  <c:v>206.2</c:v>
                </c:pt>
                <c:pt idx="6">
                  <c:v>-2.5</c:v>
                </c:pt>
                <c:pt idx="7">
                  <c:v>360.3</c:v>
                </c:pt>
              </c:numCache>
            </c:numRef>
          </c:val>
          <c:extLst>
            <c:ext xmlns:c16="http://schemas.microsoft.com/office/drawing/2014/chart" uri="{C3380CC4-5D6E-409C-BE32-E72D297353CC}">
              <c16:uniqueId val="{00000010-029B-4078-BFCA-7D40BEC674F9}"/>
            </c:ext>
          </c:extLst>
        </c:ser>
        <c:dLbls>
          <c:showLegendKey val="0"/>
          <c:showVal val="0"/>
          <c:showCatName val="0"/>
          <c:showSerName val="0"/>
          <c:showPercent val="0"/>
          <c:showBubbleSize val="0"/>
        </c:dLbls>
        <c:gapWidth val="30"/>
        <c:axId val="1968902112"/>
        <c:axId val="1968894208"/>
      </c:barChart>
      <c:lineChart>
        <c:grouping val="standard"/>
        <c:varyColors val="0"/>
        <c:ser>
          <c:idx val="0"/>
          <c:order val="0"/>
          <c:tx>
            <c:strRef>
              <c:f>'1.4'!$C$4</c:f>
              <c:strCache>
                <c:ptCount val="1"/>
                <c:pt idx="0">
                  <c:v>EXPORTACIONES</c:v>
                </c:pt>
              </c:strCache>
            </c:strRef>
          </c:tx>
          <c:spPr>
            <a:ln w="19050" cap="rnd">
              <a:solidFill>
                <a:schemeClr val="accent5">
                  <a:lumMod val="50000"/>
                </a:schemeClr>
              </a:solidFill>
              <a:round/>
            </a:ln>
            <a:effectLst/>
          </c:spPr>
          <c:marker>
            <c:symbol val="circle"/>
            <c:size val="7"/>
            <c:spPr>
              <a:solidFill>
                <a:schemeClr val="accent1">
                  <a:lumMod val="40000"/>
                  <a:lumOff val="60000"/>
                </a:schemeClr>
              </a:solidFill>
              <a:ln w="9525">
                <a:solidFill>
                  <a:srgbClr val="1D4971"/>
                </a:solidFill>
              </a:ln>
              <a:effectLst/>
            </c:spPr>
          </c:marker>
          <c:dLbls>
            <c:numFmt formatCode="#,##0" sourceLinked="0"/>
            <c:spPr>
              <a:noFill/>
              <a:ln>
                <a:solidFill>
                  <a:srgbClr val="0070C0"/>
                </a:solidFill>
                <a:prstDash val="sysDot"/>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Century Gothic" panose="020B0502020202020204" pitchFamily="34" charset="0"/>
                    <a:ea typeface="+mn-ea"/>
                    <a:cs typeface="Arial" panose="020B0604020202020204" pitchFamily="34" charset="0"/>
                  </a:defRPr>
                </a:pPr>
                <a:endParaRPr lang="es-BO"/>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'1.4'!$A$5:$A$12</c:f>
              <c:numCache>
                <c:formatCode>mmm\-yy</c:formatCode>
                <c:ptCount val="8"/>
                <c:pt idx="0">
                  <c:v>46023</c:v>
                </c:pt>
                <c:pt idx="1">
                  <c:v>46054</c:v>
                </c:pt>
                <c:pt idx="2">
                  <c:v>46082</c:v>
                </c:pt>
                <c:pt idx="3">
                  <c:v>46113</c:v>
                </c:pt>
                <c:pt idx="4">
                  <c:v>46143</c:v>
                </c:pt>
                <c:pt idx="5">
                  <c:v>46174</c:v>
                </c:pt>
                <c:pt idx="6">
                  <c:v>46204</c:v>
                </c:pt>
                <c:pt idx="7">
                  <c:v>46235</c:v>
                </c:pt>
              </c:numCache>
            </c:numRef>
          </c:cat>
          <c:val>
            <c:numRef>
              <c:f>'1.4'!$C$5:$C$12</c:f>
              <c:numCache>
                <c:formatCode>#,##0</c:formatCode>
                <c:ptCount val="8"/>
                <c:pt idx="0">
                  <c:v>1008.9</c:v>
                </c:pt>
                <c:pt idx="1">
                  <c:v>1254.0999999999999</c:v>
                </c:pt>
                <c:pt idx="2">
                  <c:v>1352.1</c:v>
                </c:pt>
                <c:pt idx="3">
                  <c:v>1138</c:v>
                </c:pt>
                <c:pt idx="4">
                  <c:v>828.9</c:v>
                </c:pt>
                <c:pt idx="5">
                  <c:v>866.2</c:v>
                </c:pt>
                <c:pt idx="6">
                  <c:v>1397.3</c:v>
                </c:pt>
                <c:pt idx="7">
                  <c:v>1141.5999999999999</c:v>
                </c:pt>
              </c:numCache>
            </c:numRef>
          </c:val>
          <c:smooth val="1"/>
          <c:extLst>
            <c:ext xmlns:c16="http://schemas.microsoft.com/office/drawing/2014/chart" uri="{C3380CC4-5D6E-409C-BE32-E72D297353CC}">
              <c16:uniqueId val="{00000011-029B-4078-BFCA-7D40BEC674F9}"/>
            </c:ext>
          </c:extLst>
        </c:ser>
        <c:ser>
          <c:idx val="1"/>
          <c:order val="1"/>
          <c:tx>
            <c:strRef>
              <c:f>'1.4'!$D$4</c:f>
              <c:strCache>
                <c:ptCount val="1"/>
                <c:pt idx="0">
                  <c:v>IMPORTACIONES</c:v>
                </c:pt>
              </c:strCache>
            </c:strRef>
          </c:tx>
          <c:spPr>
            <a:ln w="19050" cap="rnd">
              <a:solidFill>
                <a:srgbClr val="FF6600"/>
              </a:solidFill>
              <a:round/>
            </a:ln>
            <a:effectLst/>
          </c:spPr>
          <c:marker>
            <c:symbol val="square"/>
            <c:size val="7"/>
            <c:spPr>
              <a:solidFill>
                <a:schemeClr val="accent2">
                  <a:lumMod val="60000"/>
                  <a:lumOff val="40000"/>
                </a:schemeClr>
              </a:solidFill>
              <a:ln w="9525">
                <a:solidFill>
                  <a:schemeClr val="accent2">
                    <a:lumMod val="50000"/>
                  </a:schemeClr>
                </a:solidFill>
              </a:ln>
              <a:effectLst/>
            </c:spPr>
          </c:marker>
          <c:dLbls>
            <c:numFmt formatCode="#,##0" sourceLinked="0"/>
            <c:spPr>
              <a:noFill/>
              <a:ln>
                <a:solidFill>
                  <a:schemeClr val="accent2">
                    <a:lumMod val="50000"/>
                  </a:schemeClr>
                </a:solidFill>
                <a:prstDash val="sysDot"/>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Century Gothic" panose="020B0502020202020204" pitchFamily="34" charset="0"/>
                    <a:ea typeface="+mn-ea"/>
                    <a:cs typeface="Arial" panose="020B0604020202020204" pitchFamily="34" charset="0"/>
                  </a:defRPr>
                </a:pPr>
                <a:endParaRPr lang="es-BO"/>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'1.4'!$A$5:$A$12</c:f>
              <c:numCache>
                <c:formatCode>mmm\-yy</c:formatCode>
                <c:ptCount val="8"/>
                <c:pt idx="0">
                  <c:v>46023</c:v>
                </c:pt>
                <c:pt idx="1">
                  <c:v>46054</c:v>
                </c:pt>
                <c:pt idx="2">
                  <c:v>46082</c:v>
                </c:pt>
                <c:pt idx="3">
                  <c:v>46113</c:v>
                </c:pt>
                <c:pt idx="4">
                  <c:v>46143</c:v>
                </c:pt>
                <c:pt idx="5">
                  <c:v>46174</c:v>
                </c:pt>
                <c:pt idx="6">
                  <c:v>46204</c:v>
                </c:pt>
                <c:pt idx="7">
                  <c:v>46235</c:v>
                </c:pt>
              </c:numCache>
            </c:numRef>
          </c:cat>
          <c:val>
            <c:numRef>
              <c:f>'1.4'!$D$5:$D$12</c:f>
              <c:numCache>
                <c:formatCode>#,##0</c:formatCode>
                <c:ptCount val="8"/>
                <c:pt idx="0">
                  <c:v>635.1</c:v>
                </c:pt>
                <c:pt idx="1">
                  <c:v>832.2</c:v>
                </c:pt>
                <c:pt idx="2">
                  <c:v>875.9</c:v>
                </c:pt>
                <c:pt idx="3">
                  <c:v>1029.7</c:v>
                </c:pt>
                <c:pt idx="4">
                  <c:v>743.8</c:v>
                </c:pt>
                <c:pt idx="5">
                  <c:v>660.1</c:v>
                </c:pt>
                <c:pt idx="6">
                  <c:v>1399.8</c:v>
                </c:pt>
                <c:pt idx="7">
                  <c:v>781.3</c:v>
                </c:pt>
              </c:numCache>
            </c:numRef>
          </c:val>
          <c:smooth val="1"/>
          <c:extLst>
            <c:ext xmlns:c16="http://schemas.microsoft.com/office/drawing/2014/chart" uri="{C3380CC4-5D6E-409C-BE32-E72D297353CC}">
              <c16:uniqueId val="{00000012-029B-4078-BFCA-7D40BEC674F9}"/>
            </c:ext>
          </c:extLst>
        </c:ser>
        <c:dLbls>
          <c:showLegendKey val="0"/>
          <c:showVal val="0"/>
          <c:showCatName val="0"/>
          <c:showSerName val="0"/>
          <c:showPercent val="0"/>
          <c:showBubbleSize val="0"/>
        </c:dLbls>
        <c:marker val="1"/>
        <c:smooth val="0"/>
        <c:axId val="1968902112"/>
        <c:axId val="1968894208"/>
      </c:lineChart>
      <c:dateAx>
        <c:axId val="1968902112"/>
        <c:scaling>
          <c:orientation val="minMax"/>
        </c:scaling>
        <c:delete val="0"/>
        <c:axPos val="b"/>
        <c:numFmt formatCode="mmm\-yy" sourceLinked="1"/>
        <c:majorTickMark val="in"/>
        <c:minorTickMark val="none"/>
        <c:tickLblPos val="low"/>
        <c:spPr>
          <a:noFill/>
          <a:ln w="6350" cap="flat" cmpd="sng" algn="ctr">
            <a:solidFill>
              <a:schemeClr val="tx1"/>
            </a:solidFill>
            <a:round/>
          </a:ln>
          <a:effectLst/>
        </c:spPr>
        <c:txPr>
          <a:bodyPr rot="0" spcFirstLastPara="1" vertOverflow="ellipsis" wrap="square" anchor="ctr" anchorCtr="1"/>
          <a:lstStyle/>
          <a:p>
            <a:pPr>
              <a:defRPr sz="900" b="0" i="0" u="none" strike="noStrike" kern="1200" baseline="0">
                <a:solidFill>
                  <a:schemeClr val="tx1"/>
                </a:solidFill>
                <a:latin typeface="Century Gothic" panose="020B0502020202020204" pitchFamily="34" charset="0"/>
                <a:ea typeface="+mn-ea"/>
                <a:cs typeface="Arial" panose="020B0604020202020204" pitchFamily="34" charset="0"/>
              </a:defRPr>
            </a:pPr>
            <a:endParaRPr lang="es-BO"/>
          </a:p>
        </c:txPr>
        <c:crossAx val="1968894208"/>
        <c:crosses val="autoZero"/>
        <c:auto val="1"/>
        <c:lblOffset val="100"/>
        <c:baseTimeUnit val="months"/>
      </c:dateAx>
      <c:valAx>
        <c:axId val="1968894208"/>
        <c:scaling>
          <c:orientation val="minMax"/>
        </c:scaling>
        <c:delete val="0"/>
        <c:axPos val="l"/>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Century Gothic" panose="020B0502020202020204" pitchFamily="34" charset="0"/>
                <a:ea typeface="+mn-ea"/>
                <a:cs typeface="Arial" panose="020B0604020202020204" pitchFamily="34" charset="0"/>
              </a:defRPr>
            </a:pPr>
            <a:endParaRPr lang="es-BO"/>
          </a:p>
        </c:txPr>
        <c:crossAx val="1968902112"/>
        <c:crosses val="autoZero"/>
        <c:crossBetween val="between"/>
        <c:majorUnit val="400"/>
      </c:valAx>
      <c:spPr>
        <a:noFill/>
        <a:ln>
          <a:noFill/>
        </a:ln>
        <a:effectLst/>
      </c:spPr>
    </c:plotArea>
    <c:legend>
      <c:legendPos val="b"/>
      <c:layout>
        <c:manualLayout>
          <c:xMode val="edge"/>
          <c:yMode val="edge"/>
          <c:x val="0.12536148975665795"/>
          <c:y val="0.87272131827327692"/>
          <c:w val="0.74358726401613218"/>
          <c:h val="8.7070226627762898E-2"/>
        </c:manualLayout>
      </c:layout>
      <c:overlay val="0"/>
      <c:spPr>
        <a:noFill/>
        <a:ln>
          <a:noFill/>
        </a:ln>
        <a:effectLst/>
      </c:spPr>
      <c:txPr>
        <a:bodyPr rot="0" spcFirstLastPara="1" vertOverflow="ellipsis" vert="horz" wrap="square" anchor="ctr" anchorCtr="1"/>
        <a:lstStyle/>
        <a:p>
          <a:pPr>
            <a:defRPr sz="800" b="0" i="0" u="none" strike="noStrike" kern="1200" baseline="0">
              <a:solidFill>
                <a:schemeClr val="tx1"/>
              </a:solidFill>
              <a:latin typeface="Century Gothic" panose="020B0502020202020204" pitchFamily="34" charset="0"/>
              <a:ea typeface="+mn-ea"/>
              <a:cs typeface="Arial" panose="020B0604020202020204" pitchFamily="34" charset="0"/>
            </a:defRPr>
          </a:pPr>
          <a:endParaRPr lang="es-BO"/>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solidFill>
            <a:schemeClr val="tx1"/>
          </a:solidFill>
          <a:latin typeface="Arial" panose="020B0604020202020204" pitchFamily="34" charset="0"/>
          <a:cs typeface="Arial" panose="020B0604020202020204" pitchFamily="34" charset="0"/>
        </a:defRPr>
      </a:pPr>
      <a:endParaRPr lang="es-BO"/>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3101037211220235"/>
          <c:y val="2.0971557448283294E-2"/>
          <c:w val="0.77768173978252708"/>
          <c:h val="0.88566346262402429"/>
        </c:manualLayout>
      </c:layout>
      <c:barChart>
        <c:barDir val="bar"/>
        <c:grouping val="clustered"/>
        <c:varyColors val="0"/>
        <c:ser>
          <c:idx val="0"/>
          <c:order val="0"/>
          <c:spPr>
            <a:solidFill>
              <a:schemeClr val="accent5">
                <a:lumMod val="50000"/>
              </a:schemeClr>
            </a:solidFill>
            <a:ln w="6350">
              <a:solidFill>
                <a:schemeClr val="tx1"/>
              </a:solidFill>
              <a:prstDash val="sysDot"/>
            </a:ln>
            <a:effectLst/>
          </c:spPr>
          <c:invertIfNegative val="0"/>
          <c:dPt>
            <c:idx val="0"/>
            <c:invertIfNegative val="0"/>
            <c:bubble3D val="0"/>
            <c:spPr>
              <a:solidFill>
                <a:schemeClr val="accent2">
                  <a:lumMod val="75000"/>
                </a:schemeClr>
              </a:solidFill>
              <a:ln w="6350">
                <a:solidFill>
                  <a:schemeClr val="tx1"/>
                </a:solidFill>
                <a:prstDash val="sysDot"/>
              </a:ln>
              <a:effectLst/>
            </c:spPr>
            <c:extLst>
              <c:ext xmlns:c16="http://schemas.microsoft.com/office/drawing/2014/chart" uri="{C3380CC4-5D6E-409C-BE32-E72D297353CC}">
                <c16:uniqueId val="{00000001-CAA1-41E7-80D1-2E62FB414C90}"/>
              </c:ext>
            </c:extLst>
          </c:dPt>
          <c:dPt>
            <c:idx val="2"/>
            <c:invertIfNegative val="0"/>
            <c:bubble3D val="0"/>
            <c:extLst>
              <c:ext xmlns:c16="http://schemas.microsoft.com/office/drawing/2014/chart" uri="{C3380CC4-5D6E-409C-BE32-E72D297353CC}">
                <c16:uniqueId val="{00000002-CAA1-41E7-80D1-2E62FB414C90}"/>
              </c:ext>
            </c:extLst>
          </c:dPt>
          <c:dPt>
            <c:idx val="10"/>
            <c:invertIfNegative val="0"/>
            <c:bubble3D val="0"/>
            <c:extLst>
              <c:ext xmlns:c16="http://schemas.microsoft.com/office/drawing/2014/chart" uri="{C3380CC4-5D6E-409C-BE32-E72D297353CC}">
                <c16:uniqueId val="{00000003-CAA1-41E7-80D1-2E62FB414C90}"/>
              </c:ext>
            </c:extLst>
          </c:dPt>
          <c:dLbls>
            <c:dLbl>
              <c:idx val="0"/>
              <c:layout>
                <c:manualLayout>
                  <c:x val="3.9259705073231886E-3"/>
                  <c:y val="1.1741446623940264E-3"/>
                </c:manualLayout>
              </c:layout>
              <c:tx>
                <c:rich>
                  <a:bodyPr rot="0" spcFirstLastPara="1" vertOverflow="ellipsis" vert="horz" wrap="square" lIns="38100" tIns="19050" rIns="38100" bIns="19050" anchor="ctr" anchorCtr="1">
                    <a:spAutoFit/>
                  </a:bodyPr>
                  <a:lstStyle/>
                  <a:p>
                    <a:pPr>
                      <a:defRPr sz="800" b="0" i="0" u="none" strike="noStrike" kern="1200" baseline="0">
                        <a:solidFill>
                          <a:srgbClr val="C00000"/>
                        </a:solidFill>
                        <a:latin typeface="Century Gothic" panose="020B0502020202020204" pitchFamily="34" charset="0"/>
                        <a:ea typeface="+mn-ea"/>
                        <a:cs typeface="+mn-cs"/>
                      </a:defRPr>
                    </a:pPr>
                    <a:r>
                      <a:rPr lang="en-US" sz="800" b="0">
                        <a:latin typeface="Century Gothic" panose="020B0502020202020204" pitchFamily="34" charset="0"/>
                      </a:rPr>
                      <a:t>-13,4</a:t>
                    </a:r>
                  </a:p>
                </c:rich>
              </c:tx>
              <c:numFmt formatCode="#,##0.00" sourceLinked="0"/>
              <c:spPr>
                <a:noFill/>
                <a:ln>
                  <a:noFill/>
                </a:ln>
                <a:effectLst/>
              </c:spPr>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CAA1-41E7-80D1-2E62FB414C90}"/>
                </c:ext>
              </c:extLst>
            </c:dLbl>
            <c:dLbl>
              <c:idx val="1"/>
              <c:numFmt formatCode="#,##0.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Century Gothic" panose="020B0502020202020204" pitchFamily="34" charset="0"/>
                      <a:ea typeface="+mn-ea"/>
                      <a:cs typeface="+mn-cs"/>
                    </a:defRPr>
                  </a:pPr>
                  <a:endParaRPr lang="es-BO"/>
                </a:p>
              </c:txPr>
              <c:dLblPos val="outEnd"/>
              <c:showLegendKey val="0"/>
              <c:showVal val="1"/>
              <c:showCatName val="0"/>
              <c:showSerName val="0"/>
              <c:showPercent val="0"/>
              <c:showBubbleSize val="0"/>
              <c:extLst>
                <c:ext xmlns:c16="http://schemas.microsoft.com/office/drawing/2014/chart" uri="{C3380CC4-5D6E-409C-BE32-E72D297353CC}">
                  <c16:uniqueId val="{00000004-CAA1-41E7-80D1-2E62FB414C90}"/>
                </c:ext>
              </c:extLst>
            </c:dLbl>
            <c:dLbl>
              <c:idx val="2"/>
              <c:layout>
                <c:manualLayout>
                  <c:x val="-6.7054181231396639E-4"/>
                  <c:y val="2.1517768509133899E-3"/>
                </c:manualLayout>
              </c:layout>
              <c:tx>
                <c:rich>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Century Gothic" panose="020B0502020202020204" pitchFamily="34" charset="0"/>
                        <a:ea typeface="+mn-ea"/>
                        <a:cs typeface="+mn-cs"/>
                      </a:defRPr>
                    </a:pPr>
                    <a:fld id="{BEA3B39F-998F-4D1B-BAF7-07F68FE375E4}" type="VALUE">
                      <a:rPr lang="en-US" b="0">
                        <a:solidFill>
                          <a:sysClr val="windowText" lastClr="000000"/>
                        </a:solidFill>
                      </a:rPr>
                      <a:pPr>
                        <a:defRPr sz="900" b="0" i="0" u="none" strike="noStrike" kern="1200" baseline="0">
                          <a:solidFill>
                            <a:sysClr val="windowText" lastClr="000000"/>
                          </a:solidFill>
                          <a:latin typeface="Century Gothic" panose="020B0502020202020204" pitchFamily="34" charset="0"/>
                          <a:ea typeface="+mn-ea"/>
                          <a:cs typeface="+mn-cs"/>
                        </a:defRPr>
                      </a:pPr>
                      <a:t>[VALOR]</a:t>
                    </a:fld>
                    <a:endParaRPr lang="es-BO"/>
                  </a:p>
                </c:rich>
              </c:tx>
              <c:numFmt formatCode="#,##0.00" sourceLinked="0"/>
              <c:spPr>
                <a:noFill/>
                <a:ln>
                  <a:noFill/>
                </a:ln>
                <a:effectLst/>
              </c:spPr>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2-CAA1-41E7-80D1-2E62FB414C90}"/>
                </c:ext>
              </c:extLst>
            </c:dLbl>
            <c:dLbl>
              <c:idx val="3"/>
              <c:numFmt formatCode="#,##0.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Century Gothic" panose="020B0502020202020204" pitchFamily="34" charset="0"/>
                      <a:ea typeface="+mn-ea"/>
                      <a:cs typeface="+mn-cs"/>
                    </a:defRPr>
                  </a:pPr>
                  <a:endParaRPr lang="es-BO"/>
                </a:p>
              </c:txPr>
              <c:dLblPos val="outEnd"/>
              <c:showLegendKey val="0"/>
              <c:showVal val="1"/>
              <c:showCatName val="0"/>
              <c:showSerName val="0"/>
              <c:showPercent val="0"/>
              <c:showBubbleSize val="0"/>
              <c:extLst>
                <c:ext xmlns:c16="http://schemas.microsoft.com/office/drawing/2014/chart" uri="{C3380CC4-5D6E-409C-BE32-E72D297353CC}">
                  <c16:uniqueId val="{00000005-CAA1-41E7-80D1-2E62FB414C90}"/>
                </c:ext>
              </c:extLst>
            </c:dLbl>
            <c:dLbl>
              <c:idx val="4"/>
              <c:numFmt formatCode="#,##0.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Century Gothic" panose="020B0502020202020204" pitchFamily="34" charset="0"/>
                      <a:ea typeface="+mn-ea"/>
                      <a:cs typeface="+mn-cs"/>
                    </a:defRPr>
                  </a:pPr>
                  <a:endParaRPr lang="es-BO"/>
                </a:p>
              </c:txPr>
              <c:dLblPos val="outEnd"/>
              <c:showLegendKey val="0"/>
              <c:showVal val="1"/>
              <c:showCatName val="0"/>
              <c:showSerName val="0"/>
              <c:showPercent val="0"/>
              <c:showBubbleSize val="0"/>
              <c:extLst>
                <c:ext xmlns:c16="http://schemas.microsoft.com/office/drawing/2014/chart" uri="{C3380CC4-5D6E-409C-BE32-E72D297353CC}">
                  <c16:uniqueId val="{00000006-CAA1-41E7-80D1-2E62FB414C90}"/>
                </c:ext>
              </c:extLst>
            </c:dLbl>
            <c:dLbl>
              <c:idx val="5"/>
              <c:numFmt formatCode="#,##0.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Century Gothic" panose="020B0502020202020204" pitchFamily="34" charset="0"/>
                      <a:ea typeface="+mn-ea"/>
                      <a:cs typeface="+mn-cs"/>
                    </a:defRPr>
                  </a:pPr>
                  <a:endParaRPr lang="es-BO"/>
                </a:p>
              </c:txPr>
              <c:dLblPos val="outEnd"/>
              <c:showLegendKey val="0"/>
              <c:showVal val="1"/>
              <c:showCatName val="0"/>
              <c:showSerName val="0"/>
              <c:showPercent val="0"/>
              <c:showBubbleSize val="0"/>
              <c:extLst>
                <c:ext xmlns:c16="http://schemas.microsoft.com/office/drawing/2014/chart" uri="{C3380CC4-5D6E-409C-BE32-E72D297353CC}">
                  <c16:uniqueId val="{00000007-CAA1-41E7-80D1-2E62FB414C90}"/>
                </c:ext>
              </c:extLst>
            </c:dLbl>
            <c:dLbl>
              <c:idx val="6"/>
              <c:numFmt formatCode="#,##0.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Century Gothic" panose="020B0502020202020204" pitchFamily="34" charset="0"/>
                      <a:ea typeface="+mn-ea"/>
                      <a:cs typeface="+mn-cs"/>
                    </a:defRPr>
                  </a:pPr>
                  <a:endParaRPr lang="es-BO"/>
                </a:p>
              </c:txPr>
              <c:dLblPos val="outEnd"/>
              <c:showLegendKey val="0"/>
              <c:showVal val="1"/>
              <c:showCatName val="0"/>
              <c:showSerName val="0"/>
              <c:showPercent val="0"/>
              <c:showBubbleSize val="0"/>
              <c:extLst>
                <c:ext xmlns:c16="http://schemas.microsoft.com/office/drawing/2014/chart" uri="{C3380CC4-5D6E-409C-BE32-E72D297353CC}">
                  <c16:uniqueId val="{00000008-CAA1-41E7-80D1-2E62FB414C90}"/>
                </c:ext>
              </c:extLst>
            </c:dLbl>
            <c:dLbl>
              <c:idx val="7"/>
              <c:numFmt formatCode="#,##0.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Century Gothic" panose="020B0502020202020204" pitchFamily="34" charset="0"/>
                      <a:ea typeface="+mn-ea"/>
                      <a:cs typeface="+mn-cs"/>
                    </a:defRPr>
                  </a:pPr>
                  <a:endParaRPr lang="es-BO"/>
                </a:p>
              </c:txPr>
              <c:dLblPos val="outEnd"/>
              <c:showLegendKey val="0"/>
              <c:showVal val="1"/>
              <c:showCatName val="0"/>
              <c:showSerName val="0"/>
              <c:showPercent val="0"/>
              <c:showBubbleSize val="0"/>
              <c:extLst>
                <c:ext xmlns:c16="http://schemas.microsoft.com/office/drawing/2014/chart" uri="{C3380CC4-5D6E-409C-BE32-E72D297353CC}">
                  <c16:uniqueId val="{00000009-CAA1-41E7-80D1-2E62FB414C90}"/>
                </c:ext>
              </c:extLst>
            </c:dLbl>
            <c:dLbl>
              <c:idx val="8"/>
              <c:numFmt formatCode="#,##0.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Century Gothic" panose="020B0502020202020204" pitchFamily="34" charset="0"/>
                      <a:ea typeface="+mn-ea"/>
                      <a:cs typeface="+mn-cs"/>
                    </a:defRPr>
                  </a:pPr>
                  <a:endParaRPr lang="es-BO"/>
                </a:p>
              </c:txPr>
              <c:dLblPos val="outEnd"/>
              <c:showLegendKey val="0"/>
              <c:showVal val="1"/>
              <c:showCatName val="0"/>
              <c:showSerName val="0"/>
              <c:showPercent val="0"/>
              <c:showBubbleSize val="0"/>
              <c:extLst>
                <c:ext xmlns:c16="http://schemas.microsoft.com/office/drawing/2014/chart" uri="{C3380CC4-5D6E-409C-BE32-E72D297353CC}">
                  <c16:uniqueId val="{0000000A-CAA1-41E7-80D1-2E62FB414C90}"/>
                </c:ext>
              </c:extLst>
            </c:dLbl>
            <c:dLbl>
              <c:idx val="9"/>
              <c:numFmt formatCode="#,##0.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Century Gothic" panose="020B0502020202020204" pitchFamily="34" charset="0"/>
                      <a:ea typeface="+mn-ea"/>
                      <a:cs typeface="+mn-cs"/>
                    </a:defRPr>
                  </a:pPr>
                  <a:endParaRPr lang="es-BO"/>
                </a:p>
              </c:txPr>
              <c:dLblPos val="outEnd"/>
              <c:showLegendKey val="0"/>
              <c:showVal val="1"/>
              <c:showCatName val="0"/>
              <c:showSerName val="0"/>
              <c:showPercent val="0"/>
              <c:showBubbleSize val="0"/>
              <c:extLst>
                <c:ext xmlns:c16="http://schemas.microsoft.com/office/drawing/2014/chart" uri="{C3380CC4-5D6E-409C-BE32-E72D297353CC}">
                  <c16:uniqueId val="{0000000B-CAA1-41E7-80D1-2E62FB414C90}"/>
                </c:ext>
              </c:extLst>
            </c:dLbl>
            <c:dLbl>
              <c:idx val="10"/>
              <c:numFmt formatCode="#,##0.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Century Gothic" panose="020B0502020202020204" pitchFamily="34" charset="0"/>
                      <a:ea typeface="+mn-ea"/>
                      <a:cs typeface="+mn-cs"/>
                    </a:defRPr>
                  </a:pPr>
                  <a:endParaRPr lang="es-BO"/>
                </a:p>
              </c:txPr>
              <c:dLblPos val="outEnd"/>
              <c:showLegendKey val="0"/>
              <c:showVal val="1"/>
              <c:showCatName val="0"/>
              <c:showSerName val="0"/>
              <c:showPercent val="0"/>
              <c:showBubbleSize val="0"/>
              <c:extLst>
                <c:ext xmlns:c16="http://schemas.microsoft.com/office/drawing/2014/chart" uri="{C3380CC4-5D6E-409C-BE32-E72D297353CC}">
                  <c16:uniqueId val="{00000003-CAA1-41E7-80D1-2E62FB414C90}"/>
                </c:ext>
              </c:extLst>
            </c:dLbl>
            <c:numFmt formatCode="#,##0.00" sourceLinked="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Century Gothic" panose="020B0502020202020204" pitchFamily="34" charset="0"/>
                    <a:ea typeface="+mn-ea"/>
                    <a:cs typeface="+mn-cs"/>
                  </a:defRPr>
                </a:pPr>
                <a:endParaRPr lang="es-B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'1.5'!$A$5:$A$15</c:f>
              <c:strCache>
                <c:ptCount val="11"/>
                <c:pt idx="0">
                  <c:v>Hidrocarburos</c:v>
                </c:pt>
                <c:pt idx="1">
                  <c:v>Serv. Administración pública</c:v>
                </c:pt>
                <c:pt idx="2">
                  <c:v>Industria manufacturera</c:v>
                </c:pt>
                <c:pt idx="3">
                  <c:v>Comercio</c:v>
                </c:pt>
                <c:pt idx="4">
                  <c:v>Transporte y Comunicaciones</c:v>
                </c:pt>
                <c:pt idx="5">
                  <c:v>Agropecuaria (2)</c:v>
                </c:pt>
                <c:pt idx="6">
                  <c:v>Construcción</c:v>
                </c:pt>
                <c:pt idx="7">
                  <c:v>Electricidad, gas y agua</c:v>
                </c:pt>
                <c:pt idx="8">
                  <c:v>Establecimientos financieros (3)</c:v>
                </c:pt>
                <c:pt idx="9">
                  <c:v>Otros servicios (1)</c:v>
                </c:pt>
                <c:pt idx="10">
                  <c:v>Minería</c:v>
                </c:pt>
              </c:strCache>
            </c:strRef>
          </c:cat>
          <c:val>
            <c:numRef>
              <c:f>'1.5'!$B$5:$B$15</c:f>
              <c:numCache>
                <c:formatCode>0.00</c:formatCode>
                <c:ptCount val="11"/>
                <c:pt idx="0">
                  <c:v>-5.5</c:v>
                </c:pt>
                <c:pt idx="1">
                  <c:v>-0.69</c:v>
                </c:pt>
                <c:pt idx="2">
                  <c:v>0.18</c:v>
                </c:pt>
                <c:pt idx="3">
                  <c:v>1.37</c:v>
                </c:pt>
                <c:pt idx="4">
                  <c:v>1.43</c:v>
                </c:pt>
                <c:pt idx="5">
                  <c:v>1.63</c:v>
                </c:pt>
                <c:pt idx="6">
                  <c:v>2.69</c:v>
                </c:pt>
                <c:pt idx="7">
                  <c:v>3.29</c:v>
                </c:pt>
                <c:pt idx="8">
                  <c:v>4.3099999999999996</c:v>
                </c:pt>
                <c:pt idx="9">
                  <c:v>4.5</c:v>
                </c:pt>
                <c:pt idx="10">
                  <c:v>4.72</c:v>
                </c:pt>
              </c:numCache>
            </c:numRef>
          </c:val>
          <c:extLst>
            <c:ext xmlns:c16="http://schemas.microsoft.com/office/drawing/2014/chart" uri="{C3380CC4-5D6E-409C-BE32-E72D297353CC}">
              <c16:uniqueId val="{0000000C-CAA1-41E7-80D1-2E62FB414C90}"/>
            </c:ext>
          </c:extLst>
        </c:ser>
        <c:dLbls>
          <c:showLegendKey val="0"/>
          <c:showVal val="0"/>
          <c:showCatName val="0"/>
          <c:showSerName val="0"/>
          <c:showPercent val="0"/>
          <c:showBubbleSize val="0"/>
        </c:dLbls>
        <c:gapWidth val="50"/>
        <c:axId val="273846863"/>
        <c:axId val="273861423"/>
      </c:barChart>
      <c:catAx>
        <c:axId val="273846863"/>
        <c:scaling>
          <c:orientation val="minMax"/>
        </c:scaling>
        <c:delete val="0"/>
        <c:axPos val="l"/>
        <c:majorGridlines>
          <c:spPr>
            <a:ln w="3175" cap="flat" cmpd="sng" algn="ctr">
              <a:solidFill>
                <a:schemeClr val="tx1"/>
              </a:solidFill>
              <a:prstDash val="sysDot"/>
              <a:round/>
            </a:ln>
            <a:effectLst/>
          </c:spPr>
        </c:majorGridlines>
        <c:numFmt formatCode="General" sourceLinked="1"/>
        <c:majorTickMark val="cross"/>
        <c:minorTickMark val="none"/>
        <c:tickLblPos val="low"/>
        <c:spPr>
          <a:noFill/>
          <a:ln w="6350"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Century Gothic" panose="020B0502020202020204" pitchFamily="34" charset="0"/>
                <a:ea typeface="+mn-ea"/>
                <a:cs typeface="+mn-cs"/>
              </a:defRPr>
            </a:pPr>
            <a:endParaRPr lang="es-BO"/>
          </a:p>
        </c:txPr>
        <c:crossAx val="273861423"/>
        <c:crossesAt val="0"/>
        <c:auto val="1"/>
        <c:lblAlgn val="ctr"/>
        <c:lblOffset val="100"/>
        <c:tickMarkSkip val="1"/>
        <c:noMultiLvlLbl val="0"/>
      </c:catAx>
      <c:valAx>
        <c:axId val="273861423"/>
        <c:scaling>
          <c:orientation val="minMax"/>
          <c:min val="-7"/>
        </c:scaling>
        <c:delete val="0"/>
        <c:axPos val="b"/>
        <c:numFmt formatCode="0" sourceLinked="0"/>
        <c:majorTickMark val="none"/>
        <c:minorTickMark val="none"/>
        <c:tickLblPos val="nextTo"/>
        <c:spPr>
          <a:noFill/>
          <a:ln w="6350">
            <a:solidFill>
              <a:schemeClr val="tx1"/>
            </a:solid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Century Gothic" panose="020B0502020202020204" pitchFamily="34" charset="0"/>
                <a:ea typeface="+mn-ea"/>
                <a:cs typeface="+mn-cs"/>
              </a:defRPr>
            </a:pPr>
            <a:endParaRPr lang="es-BO"/>
          </a:p>
        </c:txPr>
        <c:crossAx val="273846863"/>
        <c:crossesAt val="1"/>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s-BO"/>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2"/>
          <c:order val="0"/>
          <c:tx>
            <c:strRef>
              <c:f>'1.6'!$B$4</c:f>
              <c:strCache>
                <c:ptCount val="1"/>
                <c:pt idx="0">
                  <c:v>RECAUDACION SIN IDH NI IEHD</c:v>
                </c:pt>
              </c:strCache>
            </c:strRef>
          </c:tx>
          <c:spPr>
            <a:solidFill>
              <a:srgbClr val="132B46"/>
            </a:solidFill>
            <a:ln>
              <a:noFill/>
            </a:ln>
            <a:effectLst/>
          </c:spPr>
          <c:invertIfNegative val="0"/>
          <c:dLbls>
            <c:spPr>
              <a:noFill/>
              <a:ln>
                <a:noFill/>
              </a:ln>
              <a:effectLst/>
            </c:spPr>
            <c:txPr>
              <a:bodyPr rot="0" spcFirstLastPara="1" vertOverflow="ellipsis" vert="horz" wrap="square" anchor="ctr" anchorCtr="1"/>
              <a:lstStyle/>
              <a:p>
                <a:pPr>
                  <a:defRPr sz="800" b="0" i="0" u="none" strike="noStrike" kern="1200" baseline="0">
                    <a:solidFill>
                      <a:schemeClr val="bg1"/>
                    </a:solidFill>
                    <a:latin typeface="Century Gothic" panose="020B0502020202020204" pitchFamily="34" charset="0"/>
                    <a:ea typeface="+mn-ea"/>
                    <a:cs typeface="+mn-cs"/>
                  </a:defRPr>
                </a:pPr>
                <a:endParaRPr lang="es-BO"/>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'1.6'!$A$5:$A$14</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'1.6'!$B$5:$B$14</c:f>
              <c:numCache>
                <c:formatCode>#,##0</c:formatCode>
                <c:ptCount val="10"/>
                <c:pt idx="0">
                  <c:v>44258.342762519998</c:v>
                </c:pt>
                <c:pt idx="1">
                  <c:v>44232.073971300153</c:v>
                </c:pt>
                <c:pt idx="2">
                  <c:v>46029.29821731001</c:v>
                </c:pt>
                <c:pt idx="3">
                  <c:v>46577.562259641003</c:v>
                </c:pt>
                <c:pt idx="4">
                  <c:v>34416.493583420001</c:v>
                </c:pt>
                <c:pt idx="5">
                  <c:v>41140.168946690013</c:v>
                </c:pt>
                <c:pt idx="6">
                  <c:v>49296.800222189988</c:v>
                </c:pt>
                <c:pt idx="7">
                  <c:v>51146.437417219997</c:v>
                </c:pt>
                <c:pt idx="8">
                  <c:v>51983.066692480003</c:v>
                </c:pt>
                <c:pt idx="9">
                  <c:v>53406.058077409994</c:v>
                </c:pt>
              </c:numCache>
            </c:numRef>
          </c:val>
          <c:extLst>
            <c:ext xmlns:c16="http://schemas.microsoft.com/office/drawing/2014/chart" uri="{C3380CC4-5D6E-409C-BE32-E72D297353CC}">
              <c16:uniqueId val="{00000000-BB2F-491C-B1AD-0CB9BEA83D8D}"/>
            </c:ext>
          </c:extLst>
        </c:ser>
        <c:ser>
          <c:idx val="1"/>
          <c:order val="1"/>
          <c:tx>
            <c:strRef>
              <c:f>'1.6'!$C$4</c:f>
              <c:strCache>
                <c:ptCount val="1"/>
                <c:pt idx="0">
                  <c:v>IDH</c:v>
                </c:pt>
              </c:strCache>
            </c:strRef>
          </c:tx>
          <c:spPr>
            <a:solidFill>
              <a:srgbClr val="4D4D00"/>
            </a:solidFill>
            <a:ln>
              <a:noFill/>
            </a:ln>
            <a:effectLst/>
          </c:spPr>
          <c:invertIfNegative val="0"/>
          <c:dLbls>
            <c:spPr>
              <a:noFill/>
              <a:ln>
                <a:noFill/>
              </a:ln>
              <a:effectLst/>
            </c:spPr>
            <c:txPr>
              <a:bodyPr rot="0" spcFirstLastPara="1" vertOverflow="ellipsis" vert="horz" wrap="square" anchor="ctr" anchorCtr="1"/>
              <a:lstStyle/>
              <a:p>
                <a:pPr>
                  <a:defRPr sz="800" b="0" i="0" u="none" strike="noStrike" kern="1200" baseline="0">
                    <a:solidFill>
                      <a:schemeClr val="bg1"/>
                    </a:solidFill>
                    <a:latin typeface="Century Gothic" panose="020B0502020202020204" pitchFamily="34" charset="0"/>
                    <a:ea typeface="+mn-ea"/>
                    <a:cs typeface="+mn-cs"/>
                  </a:defRPr>
                </a:pPr>
                <a:endParaRPr lang="es-BO"/>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'1.6'!$A$5:$A$14</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'1.6'!$C$5:$C$14</c:f>
              <c:numCache>
                <c:formatCode>#,##0</c:formatCode>
                <c:ptCount val="10"/>
                <c:pt idx="0">
                  <c:v>6162.6818849399997</c:v>
                </c:pt>
                <c:pt idx="1">
                  <c:v>6312.6276688999997</c:v>
                </c:pt>
                <c:pt idx="2">
                  <c:v>7635.8631599600012</c:v>
                </c:pt>
                <c:pt idx="3">
                  <c:v>6447.4070012800003</c:v>
                </c:pt>
                <c:pt idx="4">
                  <c:v>5751.7907081800004</c:v>
                </c:pt>
                <c:pt idx="5">
                  <c:v>5444.7673470399995</c:v>
                </c:pt>
                <c:pt idx="6">
                  <c:v>7171.4750140599999</c:v>
                </c:pt>
                <c:pt idx="7">
                  <c:v>5638.2715927999998</c:v>
                </c:pt>
                <c:pt idx="8">
                  <c:v>4559.3457544599996</c:v>
                </c:pt>
                <c:pt idx="9">
                  <c:v>3214.1708949238</c:v>
                </c:pt>
              </c:numCache>
            </c:numRef>
          </c:val>
          <c:extLst>
            <c:ext xmlns:c16="http://schemas.microsoft.com/office/drawing/2014/chart" uri="{C3380CC4-5D6E-409C-BE32-E72D297353CC}">
              <c16:uniqueId val="{00000001-BB2F-491C-B1AD-0CB9BEA83D8D}"/>
            </c:ext>
          </c:extLst>
        </c:ser>
        <c:ser>
          <c:idx val="0"/>
          <c:order val="2"/>
          <c:tx>
            <c:strRef>
              <c:f>'1.6'!$D$4</c:f>
              <c:strCache>
                <c:ptCount val="1"/>
                <c:pt idx="0">
                  <c:v>IEHD</c:v>
                </c:pt>
              </c:strCache>
            </c:strRef>
          </c:tx>
          <c:spPr>
            <a:solidFill>
              <a:srgbClr val="AF9597"/>
            </a:solidFill>
            <a:ln>
              <a:solidFill>
                <a:srgbClr val="A08082"/>
              </a:solidFill>
            </a:ln>
            <a:effectLst/>
          </c:spPr>
          <c:invertIfNegative val="0"/>
          <c:dLbls>
            <c:spPr>
              <a:noFill/>
              <a:ln>
                <a:noFill/>
              </a:ln>
              <a:effectLst/>
            </c:spPr>
            <c:txPr>
              <a:bodyPr rot="0" spcFirstLastPara="1" vertOverflow="ellipsis" vert="horz" wrap="square" anchor="ctr" anchorCtr="1"/>
              <a:lstStyle/>
              <a:p>
                <a:pPr>
                  <a:defRPr sz="600" b="0" i="0" u="none" strike="noStrike" kern="1200" baseline="0">
                    <a:solidFill>
                      <a:schemeClr val="bg1"/>
                    </a:solidFill>
                    <a:latin typeface="Century Gothic" panose="020B0502020202020204" pitchFamily="34" charset="0"/>
                    <a:ea typeface="+mn-ea"/>
                    <a:cs typeface="+mn-cs"/>
                  </a:defRPr>
                </a:pPr>
                <a:endParaRPr lang="es-BO"/>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'1.6'!$A$5:$A$14</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'1.6'!$D$5:$D$14</c:f>
              <c:numCache>
                <c:formatCode>#,##0</c:formatCode>
                <c:ptCount val="10"/>
                <c:pt idx="0">
                  <c:v>3333.2832830000002</c:v>
                </c:pt>
                <c:pt idx="1">
                  <c:v>3187.8695419999999</c:v>
                </c:pt>
                <c:pt idx="2">
                  <c:v>3178.7699790000011</c:v>
                </c:pt>
                <c:pt idx="3">
                  <c:v>2504.4066069999999</c:v>
                </c:pt>
                <c:pt idx="4">
                  <c:v>2461.6948430000002</c:v>
                </c:pt>
                <c:pt idx="5">
                  <c:v>2433.526476</c:v>
                </c:pt>
                <c:pt idx="6">
                  <c:v>2199.6690720000001</c:v>
                </c:pt>
                <c:pt idx="7">
                  <c:v>1986.2759289999999</c:v>
                </c:pt>
                <c:pt idx="8">
                  <c:v>1857.024496</c:v>
                </c:pt>
                <c:pt idx="9">
                  <c:v>1501.8992965899999</c:v>
                </c:pt>
              </c:numCache>
            </c:numRef>
          </c:val>
          <c:extLst>
            <c:ext xmlns:c16="http://schemas.microsoft.com/office/drawing/2014/chart" uri="{C3380CC4-5D6E-409C-BE32-E72D297353CC}">
              <c16:uniqueId val="{00000002-BB2F-491C-B1AD-0CB9BEA83D8D}"/>
            </c:ext>
          </c:extLst>
        </c:ser>
        <c:dLbls>
          <c:showLegendKey val="0"/>
          <c:showVal val="0"/>
          <c:showCatName val="0"/>
          <c:showSerName val="0"/>
          <c:showPercent val="0"/>
          <c:showBubbleSize val="0"/>
        </c:dLbls>
        <c:gapWidth val="20"/>
        <c:overlap val="100"/>
        <c:axId val="33678319"/>
        <c:axId val="605914063"/>
      </c:barChart>
      <c:lineChart>
        <c:grouping val="standard"/>
        <c:varyColors val="0"/>
        <c:ser>
          <c:idx val="3"/>
          <c:order val="3"/>
          <c:tx>
            <c:strRef>
              <c:f>'1.6'!$E$4</c:f>
              <c:strCache>
                <c:ptCount val="1"/>
                <c:pt idx="0">
                  <c:v>TOTAL IMPUESTOS</c:v>
                </c:pt>
              </c:strCache>
            </c:strRef>
          </c:tx>
          <c:spPr>
            <a:ln w="28575" cap="rnd">
              <a:noFill/>
              <a:round/>
            </a:ln>
            <a:effectLst/>
          </c:spPr>
          <c:marker>
            <c:symbol val="none"/>
          </c:marker>
          <c:dLbls>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Century Gothic" panose="020B0502020202020204" pitchFamily="34" charset="0"/>
                    <a:ea typeface="+mn-ea"/>
                    <a:cs typeface="+mn-cs"/>
                  </a:defRPr>
                </a:pPr>
                <a:endParaRPr lang="es-BO"/>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'1.6'!$A$5:$A$14</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'1.6'!$E$5:$E$14</c:f>
              <c:numCache>
                <c:formatCode>#,##0</c:formatCode>
                <c:ptCount val="10"/>
                <c:pt idx="0">
                  <c:v>53754.307930460003</c:v>
                </c:pt>
                <c:pt idx="1">
                  <c:v>53732.571182200147</c:v>
                </c:pt>
                <c:pt idx="2">
                  <c:v>56843.931356270012</c:v>
                </c:pt>
                <c:pt idx="3">
                  <c:v>55529.375867921</c:v>
                </c:pt>
                <c:pt idx="4">
                  <c:v>42629.979134599998</c:v>
                </c:pt>
                <c:pt idx="5">
                  <c:v>49018.462769730002</c:v>
                </c:pt>
                <c:pt idx="6">
                  <c:v>58667.94430825</c:v>
                </c:pt>
                <c:pt idx="7">
                  <c:v>58770.984939020003</c:v>
                </c:pt>
                <c:pt idx="8">
                  <c:v>58399.436942940003</c:v>
                </c:pt>
                <c:pt idx="9">
                  <c:v>58122.1282689238</c:v>
                </c:pt>
              </c:numCache>
            </c:numRef>
          </c:val>
          <c:smooth val="0"/>
          <c:extLst>
            <c:ext xmlns:c16="http://schemas.microsoft.com/office/drawing/2014/chart" uri="{C3380CC4-5D6E-409C-BE32-E72D297353CC}">
              <c16:uniqueId val="{00000003-BB2F-491C-B1AD-0CB9BEA83D8D}"/>
            </c:ext>
          </c:extLst>
        </c:ser>
        <c:dLbls>
          <c:showLegendKey val="0"/>
          <c:showVal val="0"/>
          <c:showCatName val="0"/>
          <c:showSerName val="0"/>
          <c:showPercent val="0"/>
          <c:showBubbleSize val="0"/>
        </c:dLbls>
        <c:marker val="1"/>
        <c:smooth val="0"/>
        <c:axId val="33678319"/>
        <c:axId val="605914063"/>
      </c:lineChart>
      <c:catAx>
        <c:axId val="33678319"/>
        <c:scaling>
          <c:orientation val="minMax"/>
        </c:scaling>
        <c:delete val="0"/>
        <c:axPos val="b"/>
        <c:numFmt formatCode="General" sourceLinked="1"/>
        <c:majorTickMark val="in"/>
        <c:minorTickMark val="none"/>
        <c:tickLblPos val="nextTo"/>
        <c:spPr>
          <a:noFill/>
          <a:ln w="6350" cap="flat" cmpd="sng" algn="ctr">
            <a:solidFill>
              <a:schemeClr val="tx1">
                <a:lumMod val="95000"/>
                <a:lumOff val="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Century Gothic" panose="020B0502020202020204" pitchFamily="34" charset="0"/>
                <a:ea typeface="+mn-ea"/>
                <a:cs typeface="+mn-cs"/>
              </a:defRPr>
            </a:pPr>
            <a:endParaRPr lang="es-BO"/>
          </a:p>
        </c:txPr>
        <c:crossAx val="605914063"/>
        <c:crosses val="autoZero"/>
        <c:auto val="1"/>
        <c:lblAlgn val="ctr"/>
        <c:lblOffset val="100"/>
        <c:noMultiLvlLbl val="0"/>
      </c:catAx>
      <c:valAx>
        <c:axId val="605914063"/>
        <c:scaling>
          <c:orientation val="minMax"/>
        </c:scaling>
        <c:delete val="1"/>
        <c:axPos val="l"/>
        <c:numFmt formatCode="#,##0" sourceLinked="1"/>
        <c:majorTickMark val="none"/>
        <c:minorTickMark val="none"/>
        <c:tickLblPos val="nextTo"/>
        <c:crossAx val="33678319"/>
        <c:crosses val="autoZero"/>
        <c:crossBetween val="between"/>
      </c:valAx>
      <c:spPr>
        <a:noFill/>
        <a:ln>
          <a:noFill/>
        </a:ln>
        <a:effectLst/>
      </c:spPr>
    </c:plotArea>
    <c:legend>
      <c:legendPos val="b"/>
      <c:legendEntry>
        <c:idx val="3"/>
        <c:delete val="1"/>
      </c:legendEntry>
      <c:layout>
        <c:manualLayout>
          <c:xMode val="edge"/>
          <c:yMode val="edge"/>
          <c:x val="0.12500955754695472"/>
          <c:y val="0.89531167979002624"/>
          <c:w val="0.75888957087491016"/>
          <c:h val="7.6910542432195972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Century Gothic" panose="020B0502020202020204" pitchFamily="34" charset="0"/>
              <a:ea typeface="+mn-ea"/>
              <a:cs typeface="+mn-cs"/>
            </a:defRPr>
          </a:pPr>
          <a:endParaRPr lang="es-BO"/>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sz="1200">
          <a:solidFill>
            <a:schemeClr val="tx1"/>
          </a:solidFill>
          <a:latin typeface="Century Gothic" panose="020B0502020202020204" pitchFamily="34" charset="0"/>
        </a:defRPr>
      </a:pPr>
      <a:endParaRPr lang="es-BO"/>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1239248940036335E-2"/>
          <c:y val="9.4966761633428307E-2"/>
          <c:w val="0.89821990712699373"/>
          <c:h val="0.67699246995834927"/>
        </c:manualLayout>
      </c:layout>
      <c:barChart>
        <c:barDir val="col"/>
        <c:grouping val="clustered"/>
        <c:varyColors val="0"/>
        <c:ser>
          <c:idx val="0"/>
          <c:order val="0"/>
          <c:tx>
            <c:strRef>
              <c:f>'2.2'!$B$4</c:f>
              <c:strCache>
                <c:ptCount val="1"/>
                <c:pt idx="0">
                  <c:v>2025</c:v>
                </c:pt>
              </c:strCache>
            </c:strRef>
          </c:tx>
          <c:spPr>
            <a:solidFill>
              <a:srgbClr val="006666"/>
            </a:solidFill>
            <a:ln w="6350">
              <a:solidFill>
                <a:schemeClr val="tx1"/>
              </a:solidFill>
              <a:prstDash val="sysDot"/>
            </a:ln>
            <a:effectLst/>
          </c:spPr>
          <c:invertIfNegative val="0"/>
          <c:dLbls>
            <c:spPr>
              <a:noFill/>
              <a:ln>
                <a:noFill/>
              </a:ln>
              <a:effectLst/>
            </c:spPr>
            <c:txPr>
              <a:bodyPr rot="0" spcFirstLastPara="1" vertOverflow="ellipsis" vert="horz" wrap="square" anchor="ctr" anchorCtr="1"/>
              <a:lstStyle/>
              <a:p>
                <a:pPr>
                  <a:defRPr sz="900" b="0" i="0" u="none" strike="noStrike" kern="1200" baseline="0">
                    <a:ln w="0">
                      <a:solidFill>
                        <a:schemeClr val="bg1"/>
                      </a:solidFill>
                      <a:prstDash val="sysDot"/>
                    </a:ln>
                    <a:solidFill>
                      <a:schemeClr val="tx1"/>
                    </a:solidFill>
                    <a:latin typeface="Century Gothic" panose="020B0502020202020204" pitchFamily="34" charset="0"/>
                    <a:ea typeface="+mn-ea"/>
                    <a:cs typeface="+mn-cs"/>
                  </a:defRPr>
                </a:pPr>
                <a:endParaRPr lang="es-BO"/>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'2.2'!$A$5:$A$6</c:f>
              <c:strCache>
                <c:ptCount val="2"/>
                <c:pt idx="0">
                  <c:v>Ppto. Consolidado</c:v>
                </c:pt>
                <c:pt idx="1">
                  <c:v>Ppto. Agregado</c:v>
                </c:pt>
              </c:strCache>
            </c:strRef>
          </c:cat>
          <c:val>
            <c:numRef>
              <c:f>'2.2'!$B$5:$B$6</c:f>
              <c:numCache>
                <c:formatCode>#,##0</c:formatCode>
                <c:ptCount val="2"/>
                <c:pt idx="0">
                  <c:v>296565.87963099999</c:v>
                </c:pt>
                <c:pt idx="1">
                  <c:v>369340.69452100003</c:v>
                </c:pt>
              </c:numCache>
            </c:numRef>
          </c:val>
          <c:extLst>
            <c:ext xmlns:c16="http://schemas.microsoft.com/office/drawing/2014/chart" uri="{C3380CC4-5D6E-409C-BE32-E72D297353CC}">
              <c16:uniqueId val="{00000000-E452-496A-ADD8-F34726D1364E}"/>
            </c:ext>
          </c:extLst>
        </c:ser>
        <c:ser>
          <c:idx val="1"/>
          <c:order val="1"/>
          <c:tx>
            <c:strRef>
              <c:f>'2.2'!$C$4</c:f>
              <c:strCache>
                <c:ptCount val="1"/>
                <c:pt idx="0">
                  <c:v>2026 (P)</c:v>
                </c:pt>
              </c:strCache>
            </c:strRef>
          </c:tx>
          <c:spPr>
            <a:solidFill>
              <a:srgbClr val="00ACA8"/>
            </a:solidFill>
            <a:ln w="6350">
              <a:solidFill>
                <a:schemeClr val="tx1"/>
              </a:solidFill>
              <a:prstDash val="sysDot"/>
            </a:ln>
            <a:effectLst/>
          </c:spPr>
          <c:invertIfNegative val="0"/>
          <c:dLbls>
            <c:spPr>
              <a:noFill/>
              <a:ln>
                <a:noFill/>
              </a:ln>
              <a:effectLst/>
            </c:spPr>
            <c:txPr>
              <a:bodyPr rot="0" spcFirstLastPara="1" vertOverflow="ellipsis" vert="horz" wrap="square" anchor="ctr" anchorCtr="1"/>
              <a:lstStyle/>
              <a:p>
                <a:pPr>
                  <a:defRPr sz="900" b="0" i="0" u="none" strike="noStrike" kern="1200" baseline="0">
                    <a:ln w="3175">
                      <a:solidFill>
                        <a:schemeClr val="bg1"/>
                      </a:solidFill>
                    </a:ln>
                    <a:solidFill>
                      <a:schemeClr val="tx1"/>
                    </a:solidFill>
                    <a:latin typeface="Century Gothic" panose="020B0502020202020204" pitchFamily="34" charset="0"/>
                    <a:ea typeface="+mn-ea"/>
                    <a:cs typeface="+mn-cs"/>
                  </a:defRPr>
                </a:pPr>
                <a:endParaRPr lang="es-BO"/>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'2.2'!$A$5:$A$6</c:f>
              <c:strCache>
                <c:ptCount val="2"/>
                <c:pt idx="0">
                  <c:v>Ppto. Consolidado</c:v>
                </c:pt>
                <c:pt idx="1">
                  <c:v>Ppto. Agregado</c:v>
                </c:pt>
              </c:strCache>
            </c:strRef>
          </c:cat>
          <c:val>
            <c:numRef>
              <c:f>'2.2'!$C$5:$C$6</c:f>
              <c:numCache>
                <c:formatCode>#,##0</c:formatCode>
                <c:ptCount val="2"/>
                <c:pt idx="0">
                  <c:v>298331.56770700001</c:v>
                </c:pt>
                <c:pt idx="1">
                  <c:v>377836.88280999998</c:v>
                </c:pt>
              </c:numCache>
            </c:numRef>
          </c:val>
          <c:extLst>
            <c:ext xmlns:c16="http://schemas.microsoft.com/office/drawing/2014/chart" uri="{C3380CC4-5D6E-409C-BE32-E72D297353CC}">
              <c16:uniqueId val="{00000001-E452-496A-ADD8-F34726D1364E}"/>
            </c:ext>
          </c:extLst>
        </c:ser>
        <c:ser>
          <c:idx val="2"/>
          <c:order val="2"/>
          <c:tx>
            <c:strRef>
              <c:f>'2.2'!$D$4</c:f>
              <c:strCache>
                <c:ptCount val="1"/>
                <c:pt idx="0">
                  <c:v>2026 (R)</c:v>
                </c:pt>
              </c:strCache>
            </c:strRef>
          </c:tx>
          <c:spPr>
            <a:solidFill>
              <a:srgbClr val="8FD3D1"/>
            </a:solidFill>
            <a:ln w="6350">
              <a:solidFill>
                <a:schemeClr val="tx1"/>
              </a:solidFill>
              <a:prstDash val="sysDot"/>
            </a:ln>
            <a:effectLst/>
          </c:spPr>
          <c:invertIfNegative val="0"/>
          <c:dLbls>
            <c:spPr>
              <a:noFill/>
              <a:ln>
                <a:noFill/>
              </a:ln>
              <a:effectLst/>
            </c:spPr>
            <c:txPr>
              <a:bodyPr rot="0" spcFirstLastPara="1" vertOverflow="ellipsis" vert="horz" wrap="square" anchor="ctr" anchorCtr="1"/>
              <a:lstStyle/>
              <a:p>
                <a:pPr>
                  <a:defRPr sz="900" b="1" i="0" u="none" strike="noStrike" kern="1200" baseline="0">
                    <a:solidFill>
                      <a:schemeClr val="bg1"/>
                    </a:solidFill>
                    <a:latin typeface="Century Gothic" panose="020B0502020202020204" pitchFamily="34" charset="0"/>
                    <a:ea typeface="+mn-ea"/>
                    <a:cs typeface="+mn-cs"/>
                  </a:defRPr>
                </a:pPr>
                <a:endParaRPr lang="es-BO"/>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'2.2'!$A$5:$A$6</c:f>
              <c:strCache>
                <c:ptCount val="2"/>
                <c:pt idx="0">
                  <c:v>Ppto. Consolidado</c:v>
                </c:pt>
                <c:pt idx="1">
                  <c:v>Ppto. Agregado</c:v>
                </c:pt>
              </c:strCache>
            </c:strRef>
          </c:cat>
          <c:val>
            <c:numRef>
              <c:f>'2.2'!$D$5:$D$6</c:f>
              <c:numCache>
                <c:formatCode>#,##0</c:formatCode>
                <c:ptCount val="2"/>
                <c:pt idx="0">
                  <c:v>321623.29823130998</c:v>
                </c:pt>
                <c:pt idx="1">
                  <c:v>391815.81970087998</c:v>
                </c:pt>
              </c:numCache>
            </c:numRef>
          </c:val>
          <c:extLst>
            <c:ext xmlns:c16="http://schemas.microsoft.com/office/drawing/2014/chart" uri="{C3380CC4-5D6E-409C-BE32-E72D297353CC}">
              <c16:uniqueId val="{00000002-E452-496A-ADD8-F34726D1364E}"/>
            </c:ext>
          </c:extLst>
        </c:ser>
        <c:ser>
          <c:idx val="3"/>
          <c:order val="3"/>
          <c:tx>
            <c:strRef>
              <c:f>'2.2'!$E$4</c:f>
              <c:strCache>
                <c:ptCount val="1"/>
                <c:pt idx="0">
                  <c:v>2027 (P)*</c:v>
                </c:pt>
              </c:strCache>
            </c:strRef>
          </c:tx>
          <c:spPr>
            <a:solidFill>
              <a:srgbClr val="E46C0A"/>
            </a:solidFill>
            <a:ln w="6350">
              <a:solidFill>
                <a:schemeClr val="tx1"/>
              </a:solidFill>
              <a:prstDash val="sysDot"/>
            </a:ln>
            <a:effectLst/>
          </c:spPr>
          <c:invertIfNegative val="0"/>
          <c:dLbls>
            <c:spPr>
              <a:noFill/>
              <a:ln>
                <a:noFill/>
              </a:ln>
              <a:effectLst>
                <a:outerShdw blurRad="152400" dist="317500" dir="5400000" sx="90000" sy="-19000" rotWithShape="0">
                  <a:prstClr val="black">
                    <a:alpha val="15000"/>
                  </a:prstClr>
                </a:outerShdw>
              </a:effectLst>
            </c:spPr>
            <c:txPr>
              <a:bodyPr rot="0" spcFirstLastPara="1" vertOverflow="ellipsis" vert="horz" wrap="square" anchor="ctr" anchorCtr="1"/>
              <a:lstStyle/>
              <a:p>
                <a:pPr>
                  <a:defRPr sz="900" b="1" i="0" u="none" strike="noStrike" kern="1200" baseline="0">
                    <a:solidFill>
                      <a:schemeClr val="bg1"/>
                    </a:solidFill>
                    <a:latin typeface="Century Gothic" panose="020B0502020202020204" pitchFamily="34" charset="0"/>
                    <a:ea typeface="+mn-ea"/>
                    <a:cs typeface="+mn-cs"/>
                  </a:defRPr>
                </a:pPr>
                <a:endParaRPr lang="es-BO"/>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'2.2'!$A$5:$A$6</c:f>
              <c:strCache>
                <c:ptCount val="2"/>
                <c:pt idx="0">
                  <c:v>Ppto. Consolidado</c:v>
                </c:pt>
                <c:pt idx="1">
                  <c:v>Ppto. Agregado</c:v>
                </c:pt>
              </c:strCache>
            </c:strRef>
          </c:cat>
          <c:val>
            <c:numRef>
              <c:f>'2.2'!$E$5:$E$6</c:f>
              <c:numCache>
                <c:formatCode>#,##0</c:formatCode>
                <c:ptCount val="2"/>
                <c:pt idx="0">
                  <c:v>338729.132254</c:v>
                </c:pt>
                <c:pt idx="1">
                  <c:v>413479.00685399998</c:v>
                </c:pt>
              </c:numCache>
            </c:numRef>
          </c:val>
          <c:extLst>
            <c:ext xmlns:c16="http://schemas.microsoft.com/office/drawing/2014/chart" uri="{C3380CC4-5D6E-409C-BE32-E72D297353CC}">
              <c16:uniqueId val="{00000003-E452-496A-ADD8-F34726D1364E}"/>
            </c:ext>
          </c:extLst>
        </c:ser>
        <c:dLbls>
          <c:showLegendKey val="0"/>
          <c:showVal val="0"/>
          <c:showCatName val="0"/>
          <c:showSerName val="0"/>
          <c:showPercent val="0"/>
          <c:showBubbleSize val="0"/>
        </c:dLbls>
        <c:gapWidth val="70"/>
        <c:overlap val="-13"/>
        <c:axId val="1376935968"/>
        <c:axId val="1376939776"/>
      </c:barChart>
      <c:catAx>
        <c:axId val="1376935968"/>
        <c:scaling>
          <c:orientation val="minMax"/>
        </c:scaling>
        <c:delete val="0"/>
        <c:axPos val="b"/>
        <c:numFmt formatCode="General" sourceLinked="1"/>
        <c:majorTickMark val="in"/>
        <c:minorTickMark val="none"/>
        <c:tickLblPos val="nextTo"/>
        <c:spPr>
          <a:noFill/>
          <a:ln w="6350"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Century Gothic" panose="020B0502020202020204" pitchFamily="34" charset="0"/>
                <a:ea typeface="+mn-ea"/>
                <a:cs typeface="+mn-cs"/>
              </a:defRPr>
            </a:pPr>
            <a:endParaRPr lang="es-BO"/>
          </a:p>
        </c:txPr>
        <c:crossAx val="1376939776"/>
        <c:crosses val="autoZero"/>
        <c:auto val="1"/>
        <c:lblAlgn val="ctr"/>
        <c:lblOffset val="100"/>
        <c:noMultiLvlLbl val="0"/>
      </c:catAx>
      <c:valAx>
        <c:axId val="1376939776"/>
        <c:scaling>
          <c:orientation val="minMax"/>
          <c:max val="450000"/>
        </c:scaling>
        <c:delete val="1"/>
        <c:axPos val="l"/>
        <c:numFmt formatCode="#,##0" sourceLinked="0"/>
        <c:majorTickMark val="out"/>
        <c:minorTickMark val="none"/>
        <c:tickLblPos val="nextTo"/>
        <c:crossAx val="1376935968"/>
        <c:crosses val="autoZero"/>
        <c:crossBetween val="between"/>
      </c:valAx>
      <c:spPr>
        <a:noFill/>
        <a:ln>
          <a:noFill/>
        </a:ln>
        <a:effectLst/>
      </c:spPr>
    </c:plotArea>
    <c:legend>
      <c:legendPos val="r"/>
      <c:layout>
        <c:manualLayout>
          <c:xMode val="edge"/>
          <c:yMode val="edge"/>
          <c:x val="0.3125360791439532"/>
          <c:y val="0.87541946145620686"/>
          <c:w val="0.41259212598425204"/>
          <c:h val="0.12285498500721596"/>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solidFill>
              <a:latin typeface="Century Gothic" panose="020B0502020202020204" pitchFamily="34" charset="0"/>
              <a:ea typeface="+mn-ea"/>
              <a:cs typeface="+mn-cs"/>
            </a:defRPr>
          </a:pPr>
          <a:endParaRPr lang="es-BO"/>
        </a:p>
      </c:txPr>
    </c:legend>
    <c:plotVisOnly val="1"/>
    <c:dispBlanksAs val="gap"/>
    <c:showDLblsOverMax val="0"/>
  </c:chart>
  <c:spPr>
    <a:solidFill>
      <a:schemeClr val="bg1"/>
    </a:solidFill>
    <a:ln w="9525" cap="flat" cmpd="sng" algn="ctr">
      <a:noFill/>
      <a:round/>
    </a:ln>
    <a:effectLst/>
  </c:spPr>
  <c:txPr>
    <a:bodyPr/>
    <a:lstStyle/>
    <a:p>
      <a:pPr>
        <a:defRPr>
          <a:latin typeface="Century Gothic" panose="020B0502020202020204" pitchFamily="34" charset="0"/>
        </a:defRPr>
      </a:pPr>
      <a:endParaRPr lang="es-BO"/>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'2.5'!$B$4</c:f>
              <c:strCache>
                <c:ptCount val="1"/>
                <c:pt idx="0">
                  <c:v>2027 (P)</c:v>
                </c:pt>
              </c:strCache>
            </c:strRef>
          </c:tx>
          <c:spPr>
            <a:ln>
              <a:prstDash val="solid"/>
            </a:ln>
          </c:spPr>
          <c:dPt>
            <c:idx val="0"/>
            <c:bubble3D val="0"/>
            <c:spPr>
              <a:solidFill>
                <a:srgbClr val="808000"/>
              </a:solidFill>
              <a:ln>
                <a:solidFill>
                  <a:srgbClr val="FFFFFF"/>
                </a:solidFill>
                <a:prstDash val="solid"/>
              </a:ln>
            </c:spPr>
            <c:extLst>
              <c:ext xmlns:c16="http://schemas.microsoft.com/office/drawing/2014/chart" uri="{C3380CC4-5D6E-409C-BE32-E72D297353CC}">
                <c16:uniqueId val="{00000001-1E41-420C-AAF9-EC9477A58804}"/>
              </c:ext>
            </c:extLst>
          </c:dPt>
          <c:dPt>
            <c:idx val="1"/>
            <c:bubble3D val="0"/>
            <c:spPr>
              <a:solidFill>
                <a:srgbClr val="FFA500"/>
              </a:solidFill>
              <a:ln>
                <a:solidFill>
                  <a:srgbClr val="FFFFFF"/>
                </a:solidFill>
                <a:prstDash val="solid"/>
              </a:ln>
            </c:spPr>
            <c:extLst>
              <c:ext xmlns:c16="http://schemas.microsoft.com/office/drawing/2014/chart" uri="{C3380CC4-5D6E-409C-BE32-E72D297353CC}">
                <c16:uniqueId val="{00000003-1E41-420C-AAF9-EC9477A58804}"/>
              </c:ext>
            </c:extLst>
          </c:dPt>
          <c:dPt>
            <c:idx val="2"/>
            <c:bubble3D val="0"/>
            <c:spPr>
              <a:solidFill>
                <a:srgbClr val="7F9AA0"/>
              </a:solidFill>
              <a:ln>
                <a:solidFill>
                  <a:srgbClr val="FFFFFF"/>
                </a:solidFill>
                <a:prstDash val="solid"/>
              </a:ln>
            </c:spPr>
            <c:extLst>
              <c:ext xmlns:c16="http://schemas.microsoft.com/office/drawing/2014/chart" uri="{C3380CC4-5D6E-409C-BE32-E72D297353CC}">
                <c16:uniqueId val="{00000005-1E41-420C-AAF9-EC9477A58804}"/>
              </c:ext>
            </c:extLst>
          </c:dPt>
          <c:dPt>
            <c:idx val="3"/>
            <c:bubble3D val="0"/>
            <c:spPr>
              <a:solidFill>
                <a:srgbClr val="8B2340"/>
              </a:solidFill>
              <a:ln>
                <a:solidFill>
                  <a:srgbClr val="FFFFFF"/>
                </a:solidFill>
                <a:prstDash val="solid"/>
              </a:ln>
            </c:spPr>
            <c:extLst>
              <c:ext xmlns:c16="http://schemas.microsoft.com/office/drawing/2014/chart" uri="{C3380CC4-5D6E-409C-BE32-E72D297353CC}">
                <c16:uniqueId val="{00000007-1E41-420C-AAF9-EC9477A58804}"/>
              </c:ext>
            </c:extLst>
          </c:dPt>
          <c:dPt>
            <c:idx val="4"/>
            <c:bubble3D val="0"/>
            <c:spPr>
              <a:solidFill>
                <a:srgbClr val="0B3A6E"/>
              </a:solidFill>
              <a:ln>
                <a:solidFill>
                  <a:srgbClr val="FFFFFF"/>
                </a:solidFill>
                <a:prstDash val="solid"/>
              </a:ln>
            </c:spPr>
            <c:extLst>
              <c:ext xmlns:c16="http://schemas.microsoft.com/office/drawing/2014/chart" uri="{C3380CC4-5D6E-409C-BE32-E72D297353CC}">
                <c16:uniqueId val="{00000009-1E41-420C-AAF9-EC9477A58804}"/>
              </c:ext>
            </c:extLst>
          </c:dPt>
          <c:dPt>
            <c:idx val="5"/>
            <c:bubble3D val="0"/>
            <c:spPr>
              <a:solidFill>
                <a:srgbClr val="8E6C78"/>
              </a:solidFill>
              <a:ln>
                <a:solidFill>
                  <a:srgbClr val="FFFFFF"/>
                </a:solidFill>
                <a:prstDash val="solid"/>
              </a:ln>
            </c:spPr>
            <c:extLst>
              <c:ext xmlns:c16="http://schemas.microsoft.com/office/drawing/2014/chart" uri="{C3380CC4-5D6E-409C-BE32-E72D297353CC}">
                <c16:uniqueId val="{0000000B-1E41-420C-AAF9-EC9477A58804}"/>
              </c:ext>
            </c:extLst>
          </c:dPt>
          <c:dLbls>
            <c:spPr>
              <a:noFill/>
              <a:ln>
                <a:noFill/>
              </a:ln>
              <a:effectLst/>
            </c:spPr>
            <c:txPr>
              <a:bodyPr wrap="square" lIns="38100" tIns="19050" rIns="38100" bIns="19050" anchor="ctr">
                <a:spAutoFit/>
              </a:bodyPr>
              <a:lstStyle/>
              <a:p>
                <a:pPr>
                  <a:defRPr b="1">
                    <a:solidFill>
                      <a:schemeClr val="bg1"/>
                    </a:solidFill>
                    <a:latin typeface="Century Gothic" panose="020B0502020202020204" pitchFamily="34" charset="0"/>
                  </a:defRPr>
                </a:pPr>
                <a:endParaRPr lang="es-BO"/>
              </a:p>
            </c:txPr>
            <c:showLegendKey val="0"/>
            <c:showVal val="1"/>
            <c:showCatName val="0"/>
            <c:showSerName val="0"/>
            <c:showPercent val="1"/>
            <c:showBubbleSize val="1"/>
            <c:separator>
</c:separator>
            <c:showLeaderLines val="1"/>
            <c:extLst>
              <c:ext xmlns:c15="http://schemas.microsoft.com/office/drawing/2012/chart" uri="{CE6537A1-D6FC-4f65-9D91-7224C49458BB}"/>
            </c:extLst>
          </c:dLbls>
          <c:cat>
            <c:strRef>
              <c:f>'2.5'!$A$5:$A$10</c:f>
              <c:strCache>
                <c:ptCount val="6"/>
                <c:pt idx="0">
                  <c:v>GA</c:v>
                </c:pt>
                <c:pt idx="1">
                  <c:v>IVA M</c:v>
                </c:pt>
                <c:pt idx="2">
                  <c:v>IT</c:v>
                </c:pt>
                <c:pt idx="3">
                  <c:v>IVA MI</c:v>
                </c:pt>
                <c:pt idx="4">
                  <c:v>IUE</c:v>
                </c:pt>
                <c:pt idx="5">
                  <c:v>RESTO</c:v>
                </c:pt>
              </c:strCache>
            </c:strRef>
          </c:cat>
          <c:val>
            <c:numRef>
              <c:f>'2.5'!$B$5:$B$10</c:f>
              <c:numCache>
                <c:formatCode>#,##0</c:formatCode>
                <c:ptCount val="6"/>
                <c:pt idx="0">
                  <c:v>2673.5737279999998</c:v>
                </c:pt>
                <c:pt idx="1">
                  <c:v>10145.559062</c:v>
                </c:pt>
                <c:pt idx="2">
                  <c:v>7959.2740599999997</c:v>
                </c:pt>
                <c:pt idx="3">
                  <c:v>14859.219564999999</c:v>
                </c:pt>
                <c:pt idx="4">
                  <c:v>14507.903215</c:v>
                </c:pt>
                <c:pt idx="5">
                  <c:v>11054.630315</c:v>
                </c:pt>
              </c:numCache>
            </c:numRef>
          </c:val>
          <c:extLst>
            <c:ext xmlns:c16="http://schemas.microsoft.com/office/drawing/2014/chart" uri="{C3380CC4-5D6E-409C-BE32-E72D297353CC}">
              <c16:uniqueId val="{0000000C-1E41-420C-AAF9-EC9477A58804}"/>
            </c:ext>
          </c:extLst>
        </c:ser>
        <c:dLbls>
          <c:showLegendKey val="0"/>
          <c:showVal val="0"/>
          <c:showCatName val="0"/>
          <c:showSerName val="0"/>
          <c:showPercent val="0"/>
          <c:showBubbleSize val="0"/>
          <c:showLeaderLines val="1"/>
        </c:dLbls>
        <c:firstSliceAng val="0"/>
      </c:pieChart>
    </c:plotArea>
    <c:legend>
      <c:legendPos val="b"/>
      <c:overlay val="1"/>
      <c:txPr>
        <a:bodyPr/>
        <a:lstStyle/>
        <a:p>
          <a:pPr>
            <a:defRPr>
              <a:latin typeface="Century Gothic" panose="020B0502020202020204" pitchFamily="34" charset="0"/>
            </a:defRPr>
          </a:pPr>
          <a:endParaRPr lang="es-BO"/>
        </a:p>
      </c:txPr>
    </c:legend>
    <c:plotVisOnly val="1"/>
    <c:dispBlanksAs val="gap"/>
    <c:showDLblsOverMax val="1"/>
  </c:chart>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3760877355930885"/>
          <c:y val="0.10483441232984674"/>
          <c:w val="0.58888044145604934"/>
          <c:h val="0.75706839941046078"/>
        </c:manualLayout>
      </c:layout>
      <c:doughnutChart>
        <c:varyColors val="1"/>
        <c:ser>
          <c:idx val="0"/>
          <c:order val="0"/>
          <c:tx>
            <c:strRef>
              <c:f>'2.8'!$F$4</c:f>
              <c:strCache>
                <c:ptCount val="1"/>
                <c:pt idx="0">
                  <c:v>2027 (P)*</c:v>
                </c:pt>
              </c:strCache>
            </c:strRef>
          </c:tx>
          <c:spPr>
            <a:ln>
              <a:prstDash val="solid"/>
            </a:ln>
          </c:spPr>
          <c:dPt>
            <c:idx val="0"/>
            <c:bubble3D val="0"/>
            <c:spPr>
              <a:solidFill>
                <a:srgbClr val="365F7F"/>
              </a:solidFill>
              <a:ln>
                <a:solidFill>
                  <a:srgbClr val="FFFFFF"/>
                </a:solidFill>
                <a:prstDash val="solid"/>
              </a:ln>
            </c:spPr>
            <c:extLst>
              <c:ext xmlns:c16="http://schemas.microsoft.com/office/drawing/2014/chart" uri="{C3380CC4-5D6E-409C-BE32-E72D297353CC}">
                <c16:uniqueId val="{00000001-6572-4CA4-87C2-DAB7F19C4198}"/>
              </c:ext>
            </c:extLst>
          </c:dPt>
          <c:dPt>
            <c:idx val="1"/>
            <c:bubble3D val="0"/>
            <c:spPr>
              <a:solidFill>
                <a:srgbClr val="C4703D"/>
              </a:solidFill>
              <a:ln>
                <a:solidFill>
                  <a:srgbClr val="FFFFFF"/>
                </a:solidFill>
                <a:prstDash val="solid"/>
              </a:ln>
            </c:spPr>
            <c:extLst>
              <c:ext xmlns:c16="http://schemas.microsoft.com/office/drawing/2014/chart" uri="{C3380CC4-5D6E-409C-BE32-E72D297353CC}">
                <c16:uniqueId val="{00000003-6572-4CA4-87C2-DAB7F19C4198}"/>
              </c:ext>
            </c:extLst>
          </c:dPt>
          <c:dPt>
            <c:idx val="2"/>
            <c:bubble3D val="0"/>
            <c:spPr>
              <a:solidFill>
                <a:srgbClr val="939872"/>
              </a:solidFill>
              <a:ln>
                <a:solidFill>
                  <a:srgbClr val="FFFFFF"/>
                </a:solidFill>
                <a:prstDash val="solid"/>
              </a:ln>
            </c:spPr>
            <c:extLst>
              <c:ext xmlns:c16="http://schemas.microsoft.com/office/drawing/2014/chart" uri="{C3380CC4-5D6E-409C-BE32-E72D297353CC}">
                <c16:uniqueId val="{00000005-6572-4CA4-87C2-DAB7F19C4198}"/>
              </c:ext>
            </c:extLst>
          </c:dPt>
          <c:dPt>
            <c:idx val="3"/>
            <c:bubble3D val="0"/>
            <c:spPr>
              <a:solidFill>
                <a:srgbClr val="C29E4F"/>
              </a:solidFill>
              <a:ln>
                <a:solidFill>
                  <a:srgbClr val="FFFFFF"/>
                </a:solidFill>
                <a:prstDash val="solid"/>
              </a:ln>
            </c:spPr>
            <c:extLst>
              <c:ext xmlns:c16="http://schemas.microsoft.com/office/drawing/2014/chart" uri="{C3380CC4-5D6E-409C-BE32-E72D297353CC}">
                <c16:uniqueId val="{00000007-6572-4CA4-87C2-DAB7F19C4198}"/>
              </c:ext>
            </c:extLst>
          </c:dPt>
          <c:dPt>
            <c:idx val="4"/>
            <c:bubble3D val="0"/>
            <c:spPr>
              <a:solidFill>
                <a:srgbClr val="6A9387"/>
              </a:solidFill>
              <a:ln>
                <a:solidFill>
                  <a:srgbClr val="FFFFFF"/>
                </a:solidFill>
                <a:prstDash val="solid"/>
              </a:ln>
            </c:spPr>
            <c:extLst>
              <c:ext xmlns:c16="http://schemas.microsoft.com/office/drawing/2014/chart" uri="{C3380CC4-5D6E-409C-BE32-E72D297353CC}">
                <c16:uniqueId val="{00000009-6572-4CA4-87C2-DAB7F19C4198}"/>
              </c:ext>
            </c:extLst>
          </c:dPt>
          <c:dPt>
            <c:idx val="5"/>
            <c:bubble3D val="0"/>
            <c:spPr>
              <a:solidFill>
                <a:srgbClr val="857B78"/>
              </a:solidFill>
              <a:ln>
                <a:solidFill>
                  <a:srgbClr val="FFFFFF"/>
                </a:solidFill>
                <a:prstDash val="solid"/>
              </a:ln>
            </c:spPr>
            <c:extLst>
              <c:ext xmlns:c16="http://schemas.microsoft.com/office/drawing/2014/chart" uri="{C3380CC4-5D6E-409C-BE32-E72D297353CC}">
                <c16:uniqueId val="{0000000B-6572-4CA4-87C2-DAB7F19C4198}"/>
              </c:ext>
            </c:extLst>
          </c:dPt>
          <c:dPt>
            <c:idx val="6"/>
            <c:bubble3D val="0"/>
            <c:spPr>
              <a:solidFill>
                <a:srgbClr val="B3C8DC"/>
              </a:solidFill>
              <a:ln>
                <a:solidFill>
                  <a:srgbClr val="FFFFFF"/>
                </a:solidFill>
                <a:prstDash val="solid"/>
              </a:ln>
            </c:spPr>
            <c:extLst>
              <c:ext xmlns:c16="http://schemas.microsoft.com/office/drawing/2014/chart" uri="{C3380CC4-5D6E-409C-BE32-E72D297353CC}">
                <c16:uniqueId val="{0000000D-6572-4CA4-87C2-DAB7F19C4198}"/>
              </c:ext>
            </c:extLst>
          </c:dPt>
          <c:dPt>
            <c:idx val="7"/>
            <c:bubble3D val="0"/>
            <c:spPr>
              <a:solidFill>
                <a:srgbClr val="E5A88A"/>
              </a:solidFill>
              <a:ln>
                <a:solidFill>
                  <a:srgbClr val="FFFFFF"/>
                </a:solidFill>
                <a:prstDash val="solid"/>
              </a:ln>
            </c:spPr>
            <c:extLst>
              <c:ext xmlns:c16="http://schemas.microsoft.com/office/drawing/2014/chart" uri="{C3380CC4-5D6E-409C-BE32-E72D297353CC}">
                <c16:uniqueId val="{0000000F-6572-4CA4-87C2-DAB7F19C4198}"/>
              </c:ext>
            </c:extLst>
          </c:dPt>
          <c:dPt>
            <c:idx val="8"/>
            <c:bubble3D val="0"/>
            <c:spPr>
              <a:solidFill>
                <a:srgbClr val="C6C9B3"/>
              </a:solidFill>
              <a:ln>
                <a:solidFill>
                  <a:srgbClr val="FFFFFF"/>
                </a:solidFill>
                <a:prstDash val="solid"/>
              </a:ln>
            </c:spPr>
            <c:extLst>
              <c:ext xmlns:c16="http://schemas.microsoft.com/office/drawing/2014/chart" uri="{C3380CC4-5D6E-409C-BE32-E72D297353CC}">
                <c16:uniqueId val="{00000011-6572-4CA4-87C2-DAB7F19C4198}"/>
              </c:ext>
            </c:extLst>
          </c:dPt>
          <c:dLbls>
            <c:dLbl>
              <c:idx val="0"/>
              <c:spPr>
                <a:solidFill>
                  <a:srgbClr val="376081"/>
                </a:solidFill>
                <a:ln>
                  <a:noFill/>
                </a:ln>
                <a:effectLst/>
              </c:spPr>
              <c:txPr>
                <a:bodyPr/>
                <a:lstStyle/>
                <a:p>
                  <a:pPr>
                    <a:defRPr sz="900" b="1">
                      <a:ln w="6350">
                        <a:noFill/>
                      </a:ln>
                      <a:solidFill>
                        <a:schemeClr val="bg1"/>
                      </a:solidFill>
                      <a:effectLst>
                        <a:outerShdw blurRad="50800" dist="38100" dir="10800000" algn="r" rotWithShape="0">
                          <a:prstClr val="black">
                            <a:alpha val="40000"/>
                          </a:prstClr>
                        </a:outerShdw>
                      </a:effectLst>
                    </a:defRPr>
                  </a:pPr>
                  <a:endParaRPr lang="es-BO"/>
                </a:p>
              </c:txPr>
              <c:showLegendKey val="0"/>
              <c:showVal val="1"/>
              <c:showCatName val="0"/>
              <c:showSerName val="0"/>
              <c:showPercent val="1"/>
              <c:showBubbleSize val="1"/>
              <c:extLst>
                <c:ext xmlns:c15="http://schemas.microsoft.com/office/drawing/2012/chart" uri="{CE6537A1-D6FC-4f65-9D91-7224C49458BB}"/>
                <c:ext xmlns:c16="http://schemas.microsoft.com/office/drawing/2014/chart" uri="{C3380CC4-5D6E-409C-BE32-E72D297353CC}">
                  <c16:uniqueId val="{00000001-6572-4CA4-87C2-DAB7F19C4198}"/>
                </c:ext>
              </c:extLst>
            </c:dLbl>
            <c:dLbl>
              <c:idx val="1"/>
              <c:spPr>
                <a:noFill/>
                <a:ln>
                  <a:noFill/>
                </a:ln>
                <a:effectLst/>
              </c:spPr>
              <c:txPr>
                <a:bodyPr/>
                <a:lstStyle/>
                <a:p>
                  <a:pPr>
                    <a:defRPr sz="900" b="1">
                      <a:ln w="6350">
                        <a:noFill/>
                      </a:ln>
                      <a:solidFill>
                        <a:schemeClr val="bg1"/>
                      </a:solidFill>
                      <a:effectLst>
                        <a:outerShdw blurRad="50800" dist="38100" dir="10800000" algn="r" rotWithShape="0">
                          <a:prstClr val="black">
                            <a:alpha val="40000"/>
                          </a:prstClr>
                        </a:outerShdw>
                      </a:effectLst>
                    </a:defRPr>
                  </a:pPr>
                  <a:endParaRPr lang="es-BO"/>
                </a:p>
              </c:txPr>
              <c:showLegendKey val="0"/>
              <c:showVal val="1"/>
              <c:showCatName val="0"/>
              <c:showSerName val="0"/>
              <c:showPercent val="1"/>
              <c:showBubbleSize val="1"/>
              <c:extLst>
                <c:ext xmlns:c15="http://schemas.microsoft.com/office/drawing/2012/chart" uri="{CE6537A1-D6FC-4f65-9D91-7224C49458BB}"/>
                <c:ext xmlns:c16="http://schemas.microsoft.com/office/drawing/2014/chart" uri="{C3380CC4-5D6E-409C-BE32-E72D297353CC}">
                  <c16:uniqueId val="{00000003-6572-4CA4-87C2-DAB7F19C4198}"/>
                </c:ext>
              </c:extLst>
            </c:dLbl>
            <c:dLbl>
              <c:idx val="2"/>
              <c:spPr>
                <a:noFill/>
                <a:ln>
                  <a:noFill/>
                </a:ln>
                <a:effectLst/>
              </c:spPr>
              <c:txPr>
                <a:bodyPr/>
                <a:lstStyle/>
                <a:p>
                  <a:pPr>
                    <a:defRPr sz="900" b="1">
                      <a:ln w="6350">
                        <a:noFill/>
                      </a:ln>
                      <a:solidFill>
                        <a:schemeClr val="bg1"/>
                      </a:solidFill>
                      <a:effectLst>
                        <a:outerShdw blurRad="50800" dist="38100" dir="10800000" algn="r" rotWithShape="0">
                          <a:prstClr val="black">
                            <a:alpha val="40000"/>
                          </a:prstClr>
                        </a:outerShdw>
                      </a:effectLst>
                    </a:defRPr>
                  </a:pPr>
                  <a:endParaRPr lang="es-BO"/>
                </a:p>
              </c:txPr>
              <c:showLegendKey val="0"/>
              <c:showVal val="1"/>
              <c:showCatName val="0"/>
              <c:showSerName val="0"/>
              <c:showPercent val="1"/>
              <c:showBubbleSize val="1"/>
              <c:extLst>
                <c:ext xmlns:c15="http://schemas.microsoft.com/office/drawing/2012/chart" uri="{CE6537A1-D6FC-4f65-9D91-7224C49458BB}"/>
                <c:ext xmlns:c16="http://schemas.microsoft.com/office/drawing/2014/chart" uri="{C3380CC4-5D6E-409C-BE32-E72D297353CC}">
                  <c16:uniqueId val="{00000005-6572-4CA4-87C2-DAB7F19C4198}"/>
                </c:ext>
              </c:extLst>
            </c:dLbl>
            <c:dLbl>
              <c:idx val="3"/>
              <c:layout>
                <c:manualLayout>
                  <c:x val="-0.22345054686581206"/>
                  <c:y val="2.1167221046265498E-2"/>
                </c:manualLayout>
              </c:layout>
              <c:spPr>
                <a:solidFill>
                  <a:srgbClr val="B3954B"/>
                </a:solidFill>
                <a:ln>
                  <a:noFill/>
                </a:ln>
                <a:effectLst/>
              </c:spPr>
              <c:txPr>
                <a:bodyPr/>
                <a:lstStyle/>
                <a:p>
                  <a:pPr>
                    <a:defRPr sz="900" b="1">
                      <a:ln w="6350">
                        <a:noFill/>
                      </a:ln>
                      <a:solidFill>
                        <a:schemeClr val="bg1"/>
                      </a:solidFill>
                      <a:effectLst>
                        <a:outerShdw blurRad="50800" dist="38100" dir="10800000" algn="r" rotWithShape="0">
                          <a:prstClr val="black">
                            <a:alpha val="40000"/>
                          </a:prstClr>
                        </a:outerShdw>
                      </a:effectLst>
                    </a:defRPr>
                  </a:pPr>
                  <a:endParaRPr lang="es-BO"/>
                </a:p>
              </c:txPr>
              <c:showLegendKey val="0"/>
              <c:showVal val="1"/>
              <c:showCatName val="0"/>
              <c:showSerName val="0"/>
              <c:showPercent val="1"/>
              <c:showBubbleSize val="1"/>
              <c:separator>
</c:separator>
              <c:extLst>
                <c:ext xmlns:c15="http://schemas.microsoft.com/office/drawing/2012/chart" uri="{CE6537A1-D6FC-4f65-9D91-7224C49458BB}"/>
                <c:ext xmlns:c16="http://schemas.microsoft.com/office/drawing/2014/chart" uri="{C3380CC4-5D6E-409C-BE32-E72D297353CC}">
                  <c16:uniqueId val="{00000007-6572-4CA4-87C2-DAB7F19C4198}"/>
                </c:ext>
              </c:extLst>
            </c:dLbl>
            <c:dLbl>
              <c:idx val="4"/>
              <c:layout>
                <c:manualLayout>
                  <c:x val="-0.27519698929789488"/>
                  <c:y val="2.1167221046265443E-2"/>
                </c:manualLayout>
              </c:layout>
              <c:spPr>
                <a:solidFill>
                  <a:srgbClr val="5F8B84"/>
                </a:solidFill>
                <a:ln>
                  <a:noFill/>
                </a:ln>
                <a:effectLst/>
              </c:spPr>
              <c:txPr>
                <a:bodyPr/>
                <a:lstStyle/>
                <a:p>
                  <a:pPr>
                    <a:defRPr sz="900" b="1">
                      <a:ln w="6350">
                        <a:noFill/>
                      </a:ln>
                      <a:solidFill>
                        <a:schemeClr val="bg1"/>
                      </a:solidFill>
                      <a:effectLst>
                        <a:outerShdw blurRad="50800" dist="38100" dir="10800000" algn="r" rotWithShape="0">
                          <a:prstClr val="black">
                            <a:alpha val="40000"/>
                          </a:prstClr>
                        </a:outerShdw>
                      </a:effectLst>
                    </a:defRPr>
                  </a:pPr>
                  <a:endParaRPr lang="es-BO"/>
                </a:p>
              </c:txPr>
              <c:showLegendKey val="0"/>
              <c:showVal val="1"/>
              <c:showCatName val="0"/>
              <c:showSerName val="0"/>
              <c:showPercent val="1"/>
              <c:showBubbleSize val="1"/>
              <c:separator>
</c:separator>
              <c:extLst>
                <c:ext xmlns:c15="http://schemas.microsoft.com/office/drawing/2012/chart" uri="{CE6537A1-D6FC-4f65-9D91-7224C49458BB}"/>
                <c:ext xmlns:c16="http://schemas.microsoft.com/office/drawing/2014/chart" uri="{C3380CC4-5D6E-409C-BE32-E72D297353CC}">
                  <c16:uniqueId val="{00000009-6572-4CA4-87C2-DAB7F19C4198}"/>
                </c:ext>
              </c:extLst>
            </c:dLbl>
            <c:dLbl>
              <c:idx val="5"/>
              <c:layout>
                <c:manualLayout>
                  <c:x val="-0.32929554274961781"/>
                  <c:y val="-2.7214998488055666E-2"/>
                </c:manualLayout>
              </c:layout>
              <c:spPr>
                <a:solidFill>
                  <a:srgbClr val="836F73"/>
                </a:solidFill>
                <a:ln>
                  <a:noFill/>
                </a:ln>
                <a:effectLst/>
              </c:spPr>
              <c:txPr>
                <a:bodyPr/>
                <a:lstStyle/>
                <a:p>
                  <a:pPr>
                    <a:defRPr sz="900" b="1">
                      <a:ln w="6350">
                        <a:noFill/>
                      </a:ln>
                      <a:solidFill>
                        <a:schemeClr val="bg1"/>
                      </a:solidFill>
                      <a:effectLst>
                        <a:outerShdw blurRad="50800" dist="38100" dir="10800000" algn="r" rotWithShape="0">
                          <a:prstClr val="black">
                            <a:alpha val="40000"/>
                          </a:prstClr>
                        </a:outerShdw>
                      </a:effectLst>
                    </a:defRPr>
                  </a:pPr>
                  <a:endParaRPr lang="es-BO"/>
                </a:p>
              </c:txPr>
              <c:showLegendKey val="0"/>
              <c:showVal val="1"/>
              <c:showCatName val="0"/>
              <c:showSerName val="0"/>
              <c:showPercent val="1"/>
              <c:showBubbleSize val="1"/>
              <c:separator>
</c:separator>
              <c:extLst>
                <c:ext xmlns:c15="http://schemas.microsoft.com/office/drawing/2012/chart" uri="{CE6537A1-D6FC-4f65-9D91-7224C49458BB}"/>
                <c:ext xmlns:c16="http://schemas.microsoft.com/office/drawing/2014/chart" uri="{C3380CC4-5D6E-409C-BE32-E72D297353CC}">
                  <c16:uniqueId val="{0000000B-6572-4CA4-87C2-DAB7F19C4198}"/>
                </c:ext>
              </c:extLst>
            </c:dLbl>
            <c:dLbl>
              <c:idx val="6"/>
              <c:layout>
                <c:manualLayout>
                  <c:x val="-0.36692931906385984"/>
                  <c:y val="-0.10885999395222255"/>
                </c:manualLayout>
              </c:layout>
              <c:spPr>
                <a:solidFill>
                  <a:srgbClr val="A7C4E7"/>
                </a:solidFill>
                <a:ln>
                  <a:noFill/>
                </a:ln>
                <a:effectLst/>
              </c:spPr>
              <c:txPr>
                <a:bodyPr/>
                <a:lstStyle/>
                <a:p>
                  <a:pPr>
                    <a:defRPr sz="900" b="1">
                      <a:ln w="6350">
                        <a:noFill/>
                      </a:ln>
                      <a:solidFill>
                        <a:schemeClr val="bg1"/>
                      </a:solidFill>
                      <a:effectLst>
                        <a:outerShdw blurRad="50800" dist="38100" dir="10800000" algn="r" rotWithShape="0">
                          <a:prstClr val="black">
                            <a:alpha val="40000"/>
                          </a:prstClr>
                        </a:outerShdw>
                      </a:effectLst>
                    </a:defRPr>
                  </a:pPr>
                  <a:endParaRPr lang="es-BO"/>
                </a:p>
              </c:txPr>
              <c:showLegendKey val="0"/>
              <c:showVal val="1"/>
              <c:showCatName val="0"/>
              <c:showSerName val="0"/>
              <c:showPercent val="1"/>
              <c:showBubbleSize val="1"/>
              <c:separator>
</c:separator>
              <c:extLst>
                <c:ext xmlns:c15="http://schemas.microsoft.com/office/drawing/2012/chart" uri="{CE6537A1-D6FC-4f65-9D91-7224C49458BB}"/>
                <c:ext xmlns:c16="http://schemas.microsoft.com/office/drawing/2014/chart" uri="{C3380CC4-5D6E-409C-BE32-E72D297353CC}">
                  <c16:uniqueId val="{0000000D-6572-4CA4-87C2-DAB7F19C4198}"/>
                </c:ext>
              </c:extLst>
            </c:dLbl>
            <c:dLbl>
              <c:idx val="7"/>
              <c:showLegendKey val="0"/>
              <c:showVal val="0"/>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F-6572-4CA4-87C2-DAB7F19C4198}"/>
                </c:ext>
              </c:extLst>
            </c:dLbl>
            <c:dLbl>
              <c:idx val="8"/>
              <c:showLegendKey val="0"/>
              <c:showVal val="0"/>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11-6572-4CA4-87C2-DAB7F19C4198}"/>
                </c:ext>
              </c:extLst>
            </c:dLbl>
            <c:spPr>
              <a:gradFill flip="none" rotWithShape="1">
                <a:gsLst>
                  <a:gs pos="0">
                    <a:schemeClr val="bg1">
                      <a:lumMod val="65000"/>
                    </a:schemeClr>
                  </a:gs>
                  <a:gs pos="99115">
                    <a:schemeClr val="bg1">
                      <a:alpha val="1000"/>
                    </a:schemeClr>
                  </a:gs>
                  <a:gs pos="58000">
                    <a:schemeClr val="bg1">
                      <a:alpha val="1000"/>
                    </a:schemeClr>
                  </a:gs>
                </a:gsLst>
                <a:path path="circle">
                  <a:fillToRect l="50000" t="50000" r="50000" b="50000"/>
                </a:path>
                <a:tileRect/>
              </a:gradFill>
              <a:ln>
                <a:noFill/>
              </a:ln>
              <a:effectLst/>
            </c:spPr>
            <c:txPr>
              <a:bodyPr/>
              <a:lstStyle/>
              <a:p>
                <a:pPr>
                  <a:defRPr sz="900" b="1">
                    <a:ln w="6350">
                      <a:noFill/>
                    </a:ln>
                    <a:solidFill>
                      <a:schemeClr val="bg1"/>
                    </a:solidFill>
                    <a:effectLst>
                      <a:outerShdw blurRad="50800" dist="38100" dir="10800000" algn="r" rotWithShape="0">
                        <a:prstClr val="black">
                          <a:alpha val="40000"/>
                        </a:prstClr>
                      </a:outerShdw>
                    </a:effectLst>
                  </a:defRPr>
                </a:pPr>
                <a:endParaRPr lang="es-BO"/>
              </a:p>
            </c:txPr>
            <c:showLegendKey val="0"/>
            <c:showVal val="1"/>
            <c:showCatName val="0"/>
            <c:showSerName val="0"/>
            <c:showPercent val="1"/>
            <c:showBubbleSize val="1"/>
            <c:separator>
</c:separator>
            <c:showLeaderLines val="1"/>
            <c:extLst>
              <c:ext xmlns:c15="http://schemas.microsoft.com/office/drawing/2012/chart" uri="{CE6537A1-D6FC-4f65-9D91-7224C49458BB}"/>
            </c:extLst>
          </c:dLbls>
          <c:cat>
            <c:strRef>
              <c:f>'2.8'!$A$5:$A$13</c:f>
              <c:strCache>
                <c:ptCount val="9"/>
                <c:pt idx="0">
                  <c:v>SALUD Y EDUCACION (*)</c:v>
                </c:pt>
                <c:pt idx="1">
                  <c:v>POLICIA BOLIVIANA Y FUERZAS ARMADAS</c:v>
                </c:pt>
                <c:pt idx="2">
                  <c:v>ENTIDADES TERRITORIALES AUTONOMAS</c:v>
                </c:pt>
                <c:pt idx="3">
                  <c:v>UNIVERSIDADES PUBLICAS</c:v>
                </c:pt>
                <c:pt idx="4">
                  <c:v>EMPRESAS PUBLICAS</c:v>
                </c:pt>
                <c:pt idx="5">
                  <c:v>ENTIDADES DESCENTRALIZADAS</c:v>
                </c:pt>
                <c:pt idx="6">
                  <c:v>ORG. DEL ESTADO Y ENT. DE CONTROL Y DEFENSA</c:v>
                </c:pt>
                <c:pt idx="7">
                  <c:v>ORG. EJECUTIVO</c:v>
                </c:pt>
                <c:pt idx="8">
                  <c:v>RESTO</c:v>
                </c:pt>
              </c:strCache>
            </c:strRef>
          </c:cat>
          <c:val>
            <c:numRef>
              <c:f>'2.8'!$F$5:$F$13</c:f>
              <c:numCache>
                <c:formatCode>#,##0</c:formatCode>
                <c:ptCount val="9"/>
                <c:pt idx="0">
                  <c:v>32679.248048999998</c:v>
                </c:pt>
                <c:pt idx="1">
                  <c:v>6535.966007</c:v>
                </c:pt>
                <c:pt idx="2">
                  <c:v>5319.110721</c:v>
                </c:pt>
                <c:pt idx="3">
                  <c:v>4266.5631290000001</c:v>
                </c:pt>
                <c:pt idx="4">
                  <c:v>3653.399449</c:v>
                </c:pt>
                <c:pt idx="5">
                  <c:v>2025.0012830000014</c:v>
                </c:pt>
                <c:pt idx="6">
                  <c:v>1565.2886410000001</c:v>
                </c:pt>
                <c:pt idx="7">
                  <c:v>1092.3105470000005</c:v>
                </c:pt>
                <c:pt idx="8">
                  <c:v>835.49011099999996</c:v>
                </c:pt>
              </c:numCache>
            </c:numRef>
          </c:val>
          <c:extLst>
            <c:ext xmlns:c16="http://schemas.microsoft.com/office/drawing/2014/chart" uri="{C3380CC4-5D6E-409C-BE32-E72D297353CC}">
              <c16:uniqueId val="{00000012-6572-4CA4-87C2-DAB7F19C4198}"/>
            </c:ext>
          </c:extLst>
        </c:ser>
        <c:dLbls>
          <c:showLegendKey val="0"/>
          <c:showVal val="0"/>
          <c:showCatName val="0"/>
          <c:showSerName val="0"/>
          <c:showPercent val="0"/>
          <c:showBubbleSize val="0"/>
          <c:showLeaderLines val="1"/>
        </c:dLbls>
        <c:firstSliceAng val="0"/>
        <c:holeSize val="50"/>
      </c:doughnutChart>
    </c:plotArea>
    <c:legend>
      <c:legendPos val="b"/>
      <c:layout>
        <c:manualLayout>
          <c:xMode val="edge"/>
          <c:yMode val="edge"/>
          <c:x val="0"/>
          <c:y val="0.67217689034712813"/>
          <c:w val="0.50293578644313586"/>
          <c:h val="0.31875144349018664"/>
        </c:manualLayout>
      </c:layout>
      <c:overlay val="1"/>
      <c:txPr>
        <a:bodyPr/>
        <a:lstStyle/>
        <a:p>
          <a:pPr>
            <a:defRPr sz="800"/>
          </a:pPr>
          <a:endParaRPr lang="es-BO"/>
        </a:p>
      </c:txPr>
    </c:legend>
    <c:plotVisOnly val="1"/>
    <c:dispBlanksAs val="gap"/>
    <c:showDLblsOverMax val="1"/>
  </c:chart>
  <c:txPr>
    <a:bodyPr/>
    <a:lstStyle/>
    <a:p>
      <a:pPr>
        <a:defRPr>
          <a:latin typeface="Century Gothic" panose="020B0502020202020204" pitchFamily="34" charset="0"/>
        </a:defRPr>
      </a:pPr>
      <a:endParaRPr lang="es-BO"/>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3760877355930885"/>
          <c:y val="0.10483441232984674"/>
          <c:w val="0.58888044145604934"/>
          <c:h val="0.75706839941046078"/>
        </c:manualLayout>
      </c:layout>
      <c:doughnutChart>
        <c:varyColors val="1"/>
        <c:ser>
          <c:idx val="0"/>
          <c:order val="0"/>
          <c:tx>
            <c:strRef>
              <c:f>'2.9'!$B$4</c:f>
              <c:strCache>
                <c:ptCount val="1"/>
                <c:pt idx="0">
                  <c:v>Participación %</c:v>
                </c:pt>
              </c:strCache>
            </c:strRef>
          </c:tx>
          <c:spPr>
            <a:ln>
              <a:prstDash val="solid"/>
            </a:ln>
          </c:spPr>
          <c:dPt>
            <c:idx val="0"/>
            <c:bubble3D val="0"/>
            <c:spPr>
              <a:solidFill>
                <a:srgbClr val="365F7F"/>
              </a:solidFill>
              <a:ln>
                <a:solidFill>
                  <a:srgbClr val="FFFFFF"/>
                </a:solidFill>
                <a:prstDash val="solid"/>
              </a:ln>
            </c:spPr>
            <c:extLst>
              <c:ext xmlns:c16="http://schemas.microsoft.com/office/drawing/2014/chart" uri="{C3380CC4-5D6E-409C-BE32-E72D297353CC}">
                <c16:uniqueId val="{00000001-6572-4CA4-87C2-DAB7F19C4198}"/>
              </c:ext>
            </c:extLst>
          </c:dPt>
          <c:dPt>
            <c:idx val="1"/>
            <c:bubble3D val="0"/>
            <c:spPr>
              <a:solidFill>
                <a:srgbClr val="C4703D"/>
              </a:solidFill>
              <a:ln>
                <a:solidFill>
                  <a:srgbClr val="FFFFFF"/>
                </a:solidFill>
                <a:prstDash val="solid"/>
              </a:ln>
            </c:spPr>
            <c:extLst>
              <c:ext xmlns:c16="http://schemas.microsoft.com/office/drawing/2014/chart" uri="{C3380CC4-5D6E-409C-BE32-E72D297353CC}">
                <c16:uniqueId val="{00000003-6572-4CA4-87C2-DAB7F19C4198}"/>
              </c:ext>
            </c:extLst>
          </c:dPt>
          <c:dPt>
            <c:idx val="2"/>
            <c:bubble3D val="0"/>
            <c:spPr>
              <a:solidFill>
                <a:srgbClr val="939872"/>
              </a:solidFill>
              <a:ln>
                <a:solidFill>
                  <a:srgbClr val="FFFFFF"/>
                </a:solidFill>
                <a:prstDash val="solid"/>
              </a:ln>
            </c:spPr>
            <c:extLst>
              <c:ext xmlns:c16="http://schemas.microsoft.com/office/drawing/2014/chart" uri="{C3380CC4-5D6E-409C-BE32-E72D297353CC}">
                <c16:uniqueId val="{00000005-6572-4CA4-87C2-DAB7F19C4198}"/>
              </c:ext>
            </c:extLst>
          </c:dPt>
          <c:dPt>
            <c:idx val="3"/>
            <c:bubble3D val="0"/>
            <c:spPr>
              <a:solidFill>
                <a:srgbClr val="C29E4F"/>
              </a:solidFill>
              <a:ln>
                <a:solidFill>
                  <a:srgbClr val="FFFFFF"/>
                </a:solidFill>
                <a:prstDash val="solid"/>
              </a:ln>
            </c:spPr>
            <c:extLst>
              <c:ext xmlns:c16="http://schemas.microsoft.com/office/drawing/2014/chart" uri="{C3380CC4-5D6E-409C-BE32-E72D297353CC}">
                <c16:uniqueId val="{00000007-6572-4CA4-87C2-DAB7F19C4198}"/>
              </c:ext>
            </c:extLst>
          </c:dPt>
          <c:dPt>
            <c:idx val="4"/>
            <c:bubble3D val="0"/>
            <c:spPr>
              <a:solidFill>
                <a:srgbClr val="6A9387"/>
              </a:solidFill>
              <a:ln>
                <a:solidFill>
                  <a:srgbClr val="FFFFFF"/>
                </a:solidFill>
                <a:prstDash val="solid"/>
              </a:ln>
            </c:spPr>
            <c:extLst>
              <c:ext xmlns:c16="http://schemas.microsoft.com/office/drawing/2014/chart" uri="{C3380CC4-5D6E-409C-BE32-E72D297353CC}">
                <c16:uniqueId val="{00000009-6572-4CA4-87C2-DAB7F19C4198}"/>
              </c:ext>
            </c:extLst>
          </c:dPt>
          <c:dPt>
            <c:idx val="5"/>
            <c:bubble3D val="0"/>
            <c:spPr>
              <a:solidFill>
                <a:srgbClr val="857B78"/>
              </a:solidFill>
              <a:ln>
                <a:solidFill>
                  <a:srgbClr val="FFFFFF"/>
                </a:solidFill>
                <a:prstDash val="solid"/>
              </a:ln>
            </c:spPr>
            <c:extLst>
              <c:ext xmlns:c16="http://schemas.microsoft.com/office/drawing/2014/chart" uri="{C3380CC4-5D6E-409C-BE32-E72D297353CC}">
                <c16:uniqueId val="{0000000B-6572-4CA4-87C2-DAB7F19C4198}"/>
              </c:ext>
            </c:extLst>
          </c:dPt>
          <c:dPt>
            <c:idx val="6"/>
            <c:bubble3D val="0"/>
            <c:spPr>
              <a:solidFill>
                <a:srgbClr val="B3C8DC"/>
              </a:solidFill>
              <a:ln>
                <a:solidFill>
                  <a:srgbClr val="FFFFFF"/>
                </a:solidFill>
                <a:prstDash val="solid"/>
              </a:ln>
            </c:spPr>
            <c:extLst>
              <c:ext xmlns:c16="http://schemas.microsoft.com/office/drawing/2014/chart" uri="{C3380CC4-5D6E-409C-BE32-E72D297353CC}">
                <c16:uniqueId val="{0000000D-6572-4CA4-87C2-DAB7F19C4198}"/>
              </c:ext>
            </c:extLst>
          </c:dPt>
          <c:dLbls>
            <c:dLbl>
              <c:idx val="0"/>
              <c:spPr>
                <a:solidFill>
                  <a:srgbClr val="376081"/>
                </a:solidFill>
                <a:ln>
                  <a:noFill/>
                </a:ln>
                <a:effectLst/>
              </c:spPr>
              <c:txPr>
                <a:bodyPr/>
                <a:lstStyle/>
                <a:p>
                  <a:pPr>
                    <a:defRPr sz="900" b="1">
                      <a:ln w="6350">
                        <a:noFill/>
                      </a:ln>
                      <a:solidFill>
                        <a:schemeClr val="bg1"/>
                      </a:solidFill>
                      <a:effectLst>
                        <a:outerShdw blurRad="50800" dist="38100" dir="10800000" algn="r" rotWithShape="0">
                          <a:prstClr val="black">
                            <a:alpha val="40000"/>
                          </a:prstClr>
                        </a:outerShdw>
                      </a:effectLst>
                    </a:defRPr>
                  </a:pPr>
                  <a:endParaRPr lang="es-BO"/>
                </a:p>
              </c:txPr>
              <c:showLegendKey val="0"/>
              <c:showVal val="1"/>
              <c:showCatName val="0"/>
              <c:showSerName val="0"/>
              <c:showPercent val="1"/>
              <c:showBubbleSize val="1"/>
              <c:extLst>
                <c:ext xmlns:c15="http://schemas.microsoft.com/office/drawing/2012/chart" uri="{CE6537A1-D6FC-4f65-9D91-7224C49458BB}"/>
                <c:ext xmlns:c16="http://schemas.microsoft.com/office/drawing/2014/chart" uri="{C3380CC4-5D6E-409C-BE32-E72D297353CC}">
                  <c16:uniqueId val="{00000001-6572-4CA4-87C2-DAB7F19C4198}"/>
                </c:ext>
              </c:extLst>
            </c:dLbl>
            <c:dLbl>
              <c:idx val="1"/>
              <c:spPr>
                <a:noFill/>
                <a:ln>
                  <a:noFill/>
                </a:ln>
                <a:effectLst/>
              </c:spPr>
              <c:txPr>
                <a:bodyPr/>
                <a:lstStyle/>
                <a:p>
                  <a:pPr>
                    <a:defRPr sz="900" b="1">
                      <a:ln w="6350">
                        <a:noFill/>
                      </a:ln>
                      <a:solidFill>
                        <a:schemeClr val="bg1"/>
                      </a:solidFill>
                      <a:effectLst>
                        <a:outerShdw blurRad="50800" dist="38100" dir="10800000" algn="r" rotWithShape="0">
                          <a:prstClr val="black">
                            <a:alpha val="40000"/>
                          </a:prstClr>
                        </a:outerShdw>
                      </a:effectLst>
                    </a:defRPr>
                  </a:pPr>
                  <a:endParaRPr lang="es-BO"/>
                </a:p>
              </c:txPr>
              <c:showLegendKey val="0"/>
              <c:showVal val="1"/>
              <c:showCatName val="0"/>
              <c:showSerName val="0"/>
              <c:showPercent val="1"/>
              <c:showBubbleSize val="1"/>
              <c:extLst>
                <c:ext xmlns:c15="http://schemas.microsoft.com/office/drawing/2012/chart" uri="{CE6537A1-D6FC-4f65-9D91-7224C49458BB}"/>
                <c:ext xmlns:c16="http://schemas.microsoft.com/office/drawing/2014/chart" uri="{C3380CC4-5D6E-409C-BE32-E72D297353CC}">
                  <c16:uniqueId val="{00000003-6572-4CA4-87C2-DAB7F19C4198}"/>
                </c:ext>
              </c:extLst>
            </c:dLbl>
            <c:dLbl>
              <c:idx val="2"/>
              <c:spPr>
                <a:noFill/>
                <a:ln>
                  <a:noFill/>
                </a:ln>
                <a:effectLst/>
              </c:spPr>
              <c:txPr>
                <a:bodyPr/>
                <a:lstStyle/>
                <a:p>
                  <a:pPr>
                    <a:defRPr sz="900" b="1">
                      <a:ln w="6350">
                        <a:noFill/>
                      </a:ln>
                      <a:solidFill>
                        <a:schemeClr val="bg1"/>
                      </a:solidFill>
                      <a:effectLst>
                        <a:outerShdw blurRad="50800" dist="38100" dir="10800000" algn="r" rotWithShape="0">
                          <a:prstClr val="black">
                            <a:alpha val="40000"/>
                          </a:prstClr>
                        </a:outerShdw>
                      </a:effectLst>
                    </a:defRPr>
                  </a:pPr>
                  <a:endParaRPr lang="es-BO"/>
                </a:p>
              </c:txPr>
              <c:showLegendKey val="0"/>
              <c:showVal val="1"/>
              <c:showCatName val="0"/>
              <c:showSerName val="0"/>
              <c:showPercent val="1"/>
              <c:showBubbleSize val="1"/>
              <c:extLst>
                <c:ext xmlns:c15="http://schemas.microsoft.com/office/drawing/2012/chart" uri="{CE6537A1-D6FC-4f65-9D91-7224C49458BB}"/>
                <c:ext xmlns:c16="http://schemas.microsoft.com/office/drawing/2014/chart" uri="{C3380CC4-5D6E-409C-BE32-E72D297353CC}">
                  <c16:uniqueId val="{00000005-6572-4CA4-87C2-DAB7F19C4198}"/>
                </c:ext>
              </c:extLst>
            </c:dLbl>
            <c:dLbl>
              <c:idx val="3"/>
              <c:layout>
                <c:manualLayout>
                  <c:x val="-0.23521110196401271"/>
                  <c:y val="6.652555185969157E-2"/>
                </c:manualLayout>
              </c:layout>
              <c:spPr>
                <a:solidFill>
                  <a:srgbClr val="B3954B"/>
                </a:solidFill>
                <a:ln>
                  <a:noFill/>
                </a:ln>
                <a:effectLst/>
              </c:spPr>
              <c:txPr>
                <a:bodyPr/>
                <a:lstStyle/>
                <a:p>
                  <a:pPr>
                    <a:defRPr sz="900" b="1">
                      <a:ln w="6350">
                        <a:noFill/>
                      </a:ln>
                      <a:solidFill>
                        <a:schemeClr val="bg1"/>
                      </a:solidFill>
                      <a:effectLst>
                        <a:outerShdw blurRad="50800" dist="38100" dir="10800000" algn="r" rotWithShape="0">
                          <a:prstClr val="black">
                            <a:alpha val="40000"/>
                          </a:prstClr>
                        </a:outerShdw>
                      </a:effectLst>
                    </a:defRPr>
                  </a:pPr>
                  <a:endParaRPr lang="es-BO"/>
                </a:p>
              </c:txPr>
              <c:showLegendKey val="0"/>
              <c:showVal val="1"/>
              <c:showCatName val="0"/>
              <c:showSerName val="0"/>
              <c:showPercent val="1"/>
              <c:showBubbleSize val="1"/>
              <c:separator>
</c:separator>
              <c:extLst>
                <c:ext xmlns:c15="http://schemas.microsoft.com/office/drawing/2012/chart" uri="{CE6537A1-D6FC-4f65-9D91-7224C49458BB}"/>
                <c:ext xmlns:c16="http://schemas.microsoft.com/office/drawing/2014/chart" uri="{C3380CC4-5D6E-409C-BE32-E72D297353CC}">
                  <c16:uniqueId val="{00000007-6572-4CA4-87C2-DAB7F19C4198}"/>
                </c:ext>
              </c:extLst>
            </c:dLbl>
            <c:dLbl>
              <c:idx val="4"/>
              <c:layout>
                <c:manualLayout>
                  <c:x val="-0.27519698929789488"/>
                  <c:y val="2.1167221046265443E-2"/>
                </c:manualLayout>
              </c:layout>
              <c:spPr>
                <a:solidFill>
                  <a:srgbClr val="5F8B84"/>
                </a:solidFill>
                <a:ln>
                  <a:noFill/>
                </a:ln>
                <a:effectLst/>
              </c:spPr>
              <c:txPr>
                <a:bodyPr/>
                <a:lstStyle/>
                <a:p>
                  <a:pPr>
                    <a:defRPr sz="900" b="1">
                      <a:ln w="6350">
                        <a:noFill/>
                      </a:ln>
                      <a:solidFill>
                        <a:schemeClr val="bg1"/>
                      </a:solidFill>
                      <a:effectLst>
                        <a:outerShdw blurRad="50800" dist="38100" dir="10800000" algn="r" rotWithShape="0">
                          <a:prstClr val="black">
                            <a:alpha val="40000"/>
                          </a:prstClr>
                        </a:outerShdw>
                      </a:effectLst>
                    </a:defRPr>
                  </a:pPr>
                  <a:endParaRPr lang="es-BO"/>
                </a:p>
              </c:txPr>
              <c:showLegendKey val="0"/>
              <c:showVal val="1"/>
              <c:showCatName val="0"/>
              <c:showSerName val="0"/>
              <c:showPercent val="1"/>
              <c:showBubbleSize val="1"/>
              <c:separator>
</c:separator>
              <c:extLst>
                <c:ext xmlns:c15="http://schemas.microsoft.com/office/drawing/2012/chart" uri="{CE6537A1-D6FC-4f65-9D91-7224C49458BB}"/>
                <c:ext xmlns:c16="http://schemas.microsoft.com/office/drawing/2014/chart" uri="{C3380CC4-5D6E-409C-BE32-E72D297353CC}">
                  <c16:uniqueId val="{00000009-6572-4CA4-87C2-DAB7F19C4198}"/>
                </c:ext>
              </c:extLst>
            </c:dLbl>
            <c:dLbl>
              <c:idx val="5"/>
              <c:layout>
                <c:manualLayout>
                  <c:x val="-0.32929554274961781"/>
                  <c:y val="-2.7214998488055666E-2"/>
                </c:manualLayout>
              </c:layout>
              <c:spPr>
                <a:solidFill>
                  <a:srgbClr val="836F73"/>
                </a:solidFill>
                <a:ln>
                  <a:noFill/>
                </a:ln>
                <a:effectLst/>
              </c:spPr>
              <c:txPr>
                <a:bodyPr/>
                <a:lstStyle/>
                <a:p>
                  <a:pPr>
                    <a:defRPr sz="900" b="1">
                      <a:ln w="6350">
                        <a:noFill/>
                      </a:ln>
                      <a:solidFill>
                        <a:schemeClr val="bg1"/>
                      </a:solidFill>
                      <a:effectLst>
                        <a:outerShdw blurRad="50800" dist="38100" dir="10800000" algn="r" rotWithShape="0">
                          <a:prstClr val="black">
                            <a:alpha val="40000"/>
                          </a:prstClr>
                        </a:outerShdw>
                      </a:effectLst>
                    </a:defRPr>
                  </a:pPr>
                  <a:endParaRPr lang="es-BO"/>
                </a:p>
              </c:txPr>
              <c:showLegendKey val="0"/>
              <c:showVal val="1"/>
              <c:showCatName val="0"/>
              <c:showSerName val="0"/>
              <c:showPercent val="1"/>
              <c:showBubbleSize val="1"/>
              <c:separator>
</c:separator>
              <c:extLst>
                <c:ext xmlns:c15="http://schemas.microsoft.com/office/drawing/2012/chart" uri="{CE6537A1-D6FC-4f65-9D91-7224C49458BB}"/>
                <c:ext xmlns:c16="http://schemas.microsoft.com/office/drawing/2014/chart" uri="{C3380CC4-5D6E-409C-BE32-E72D297353CC}">
                  <c16:uniqueId val="{0000000B-6572-4CA4-87C2-DAB7F19C4198}"/>
                </c:ext>
              </c:extLst>
            </c:dLbl>
            <c:dLbl>
              <c:idx val="6"/>
              <c:layout>
                <c:manualLayout>
                  <c:x val="-0.39515465129954136"/>
                  <c:y val="-0.10885999395222255"/>
                </c:manualLayout>
              </c:layout>
              <c:spPr>
                <a:solidFill>
                  <a:srgbClr val="A7C4E7"/>
                </a:solidFill>
                <a:ln>
                  <a:noFill/>
                </a:ln>
                <a:effectLst/>
              </c:spPr>
              <c:txPr>
                <a:bodyPr/>
                <a:lstStyle/>
                <a:p>
                  <a:pPr>
                    <a:defRPr sz="900" b="1">
                      <a:ln w="6350">
                        <a:noFill/>
                      </a:ln>
                      <a:solidFill>
                        <a:schemeClr val="bg1"/>
                      </a:solidFill>
                      <a:effectLst>
                        <a:outerShdw blurRad="50800" dist="38100" dir="10800000" algn="r" rotWithShape="0">
                          <a:prstClr val="black">
                            <a:alpha val="40000"/>
                          </a:prstClr>
                        </a:outerShdw>
                      </a:effectLst>
                    </a:defRPr>
                  </a:pPr>
                  <a:endParaRPr lang="es-BO"/>
                </a:p>
              </c:txPr>
              <c:showLegendKey val="0"/>
              <c:showVal val="1"/>
              <c:showCatName val="0"/>
              <c:showSerName val="0"/>
              <c:showPercent val="1"/>
              <c:showBubbleSize val="1"/>
              <c:separator>
</c:separator>
              <c:extLst>
                <c:ext xmlns:c15="http://schemas.microsoft.com/office/drawing/2012/chart" uri="{CE6537A1-D6FC-4f65-9D91-7224C49458BB}"/>
                <c:ext xmlns:c16="http://schemas.microsoft.com/office/drawing/2014/chart" uri="{C3380CC4-5D6E-409C-BE32-E72D297353CC}">
                  <c16:uniqueId val="{0000000D-6572-4CA4-87C2-DAB7F19C4198}"/>
                </c:ext>
              </c:extLst>
            </c:dLbl>
            <c:spPr>
              <a:gradFill flip="none" rotWithShape="1">
                <a:gsLst>
                  <a:gs pos="0">
                    <a:schemeClr val="bg1">
                      <a:lumMod val="65000"/>
                    </a:schemeClr>
                  </a:gs>
                  <a:gs pos="99115">
                    <a:schemeClr val="bg1">
                      <a:alpha val="1000"/>
                    </a:schemeClr>
                  </a:gs>
                  <a:gs pos="58000">
                    <a:schemeClr val="bg1">
                      <a:alpha val="1000"/>
                    </a:schemeClr>
                  </a:gs>
                </a:gsLst>
                <a:path path="circle">
                  <a:fillToRect l="50000" t="50000" r="50000" b="50000"/>
                </a:path>
                <a:tileRect/>
              </a:gradFill>
              <a:ln>
                <a:noFill/>
              </a:ln>
              <a:effectLst/>
            </c:spPr>
            <c:txPr>
              <a:bodyPr/>
              <a:lstStyle/>
              <a:p>
                <a:pPr>
                  <a:defRPr sz="900" b="1">
                    <a:ln w="6350">
                      <a:noFill/>
                    </a:ln>
                    <a:solidFill>
                      <a:schemeClr val="bg1"/>
                    </a:solidFill>
                    <a:effectLst>
                      <a:outerShdw blurRad="50800" dist="38100" dir="10800000" algn="r" rotWithShape="0">
                        <a:prstClr val="black">
                          <a:alpha val="40000"/>
                        </a:prstClr>
                      </a:outerShdw>
                    </a:effectLst>
                  </a:defRPr>
                </a:pPr>
                <a:endParaRPr lang="es-BO"/>
              </a:p>
            </c:txPr>
            <c:showLegendKey val="0"/>
            <c:showVal val="1"/>
            <c:showCatName val="0"/>
            <c:showSerName val="0"/>
            <c:showPercent val="1"/>
            <c:showBubbleSize val="1"/>
            <c:separator>
</c:separator>
            <c:showLeaderLines val="1"/>
            <c:extLst>
              <c:ext xmlns:c15="http://schemas.microsoft.com/office/drawing/2012/chart" uri="{CE6537A1-D6FC-4f65-9D91-7224C49458BB}"/>
            </c:extLst>
          </c:dLbls>
          <c:cat>
            <c:strRef>
              <c:f>'2.9'!$A$5:$A$11</c:f>
              <c:strCache>
                <c:ptCount val="7"/>
                <c:pt idx="0">
                  <c:v>SALUD, EDUCACIÓN Y GESTIÓN SOCIAL</c:v>
                </c:pt>
                <c:pt idx="1">
                  <c:v>POLICIA BOLIVIANA FUERZAS ARMADAS</c:v>
                </c:pt>
                <c:pt idx="2">
                  <c:v>ENTIDADES TERRITORIALES AUTÓNOMAS</c:v>
                </c:pt>
                <c:pt idx="3">
                  <c:v>ORGANOS DEL ESTADO Y ENTIDADES DE CONTROL Y DEFENSA</c:v>
                </c:pt>
                <c:pt idx="4">
                  <c:v>ENTIDADES DESCENTRALIZADAS</c:v>
                </c:pt>
                <c:pt idx="5">
                  <c:v>UNIVERSIDADES PÚBLICAS</c:v>
                </c:pt>
                <c:pt idx="6">
                  <c:v>EMPRESA PÚBLICAS</c:v>
                </c:pt>
              </c:strCache>
            </c:strRef>
          </c:cat>
          <c:val>
            <c:numRef>
              <c:f>'2.9'!$B$5:$B$11</c:f>
              <c:numCache>
                <c:formatCode>0.0</c:formatCode>
                <c:ptCount val="7"/>
                <c:pt idx="0">
                  <c:v>59.7</c:v>
                </c:pt>
                <c:pt idx="1">
                  <c:v>14.6</c:v>
                </c:pt>
                <c:pt idx="2">
                  <c:v>8.3000000000000007</c:v>
                </c:pt>
                <c:pt idx="3">
                  <c:v>4.7</c:v>
                </c:pt>
                <c:pt idx="4">
                  <c:v>3.2</c:v>
                </c:pt>
                <c:pt idx="5">
                  <c:v>6.3</c:v>
                </c:pt>
                <c:pt idx="6">
                  <c:v>3.2</c:v>
                </c:pt>
              </c:numCache>
            </c:numRef>
          </c:val>
          <c:extLst>
            <c:ext xmlns:c16="http://schemas.microsoft.com/office/drawing/2014/chart" uri="{C3380CC4-5D6E-409C-BE32-E72D297353CC}">
              <c16:uniqueId val="{00000012-6572-4CA4-87C2-DAB7F19C4198}"/>
            </c:ext>
          </c:extLst>
        </c:ser>
        <c:dLbls>
          <c:showLegendKey val="0"/>
          <c:showVal val="0"/>
          <c:showCatName val="0"/>
          <c:showSerName val="0"/>
          <c:showPercent val="0"/>
          <c:showBubbleSize val="0"/>
          <c:showLeaderLines val="1"/>
        </c:dLbls>
        <c:firstSliceAng val="0"/>
        <c:holeSize val="50"/>
      </c:doughnutChart>
    </c:plotArea>
    <c:legend>
      <c:legendPos val="b"/>
      <c:layout>
        <c:manualLayout>
          <c:xMode val="edge"/>
          <c:yMode val="edge"/>
          <c:x val="0"/>
          <c:y val="0.67217689034712813"/>
          <c:w val="0.50293578644313586"/>
          <c:h val="0.31875144349018664"/>
        </c:manualLayout>
      </c:layout>
      <c:overlay val="1"/>
      <c:txPr>
        <a:bodyPr/>
        <a:lstStyle/>
        <a:p>
          <a:pPr>
            <a:defRPr sz="800"/>
          </a:pPr>
          <a:endParaRPr lang="es-BO"/>
        </a:p>
      </c:txPr>
    </c:legend>
    <c:plotVisOnly val="1"/>
    <c:dispBlanksAs val="gap"/>
    <c:showDLblsOverMax val="1"/>
  </c:chart>
  <c:txPr>
    <a:bodyPr/>
    <a:lstStyle/>
    <a:p>
      <a:pPr>
        <a:defRPr>
          <a:latin typeface="Century Gothic" panose="020B0502020202020204" pitchFamily="34" charset="0"/>
        </a:defRPr>
      </a:pPr>
      <a:endParaRPr lang="es-BO"/>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3760877355930885"/>
          <c:y val="0.10483441232984674"/>
          <c:w val="0.58888044145604934"/>
          <c:h val="0.75706839941046078"/>
        </c:manualLayout>
      </c:layout>
      <c:doughnutChart>
        <c:varyColors val="1"/>
        <c:ser>
          <c:idx val="0"/>
          <c:order val="0"/>
          <c:tx>
            <c:strRef>
              <c:f>'2.10'!$F$4</c:f>
              <c:strCache>
                <c:ptCount val="1"/>
                <c:pt idx="0">
                  <c:v>2027 (P)*</c:v>
                </c:pt>
              </c:strCache>
            </c:strRef>
          </c:tx>
          <c:spPr>
            <a:ln>
              <a:prstDash val="solid"/>
            </a:ln>
          </c:spPr>
          <c:dPt>
            <c:idx val="0"/>
            <c:bubble3D val="0"/>
            <c:spPr>
              <a:solidFill>
                <a:srgbClr val="365F7F"/>
              </a:solidFill>
              <a:ln>
                <a:solidFill>
                  <a:srgbClr val="FFFFFF"/>
                </a:solidFill>
                <a:prstDash val="solid"/>
              </a:ln>
            </c:spPr>
            <c:extLst>
              <c:ext xmlns:c16="http://schemas.microsoft.com/office/drawing/2014/chart" uri="{C3380CC4-5D6E-409C-BE32-E72D297353CC}">
                <c16:uniqueId val="{00000001-6572-4CA4-87C2-DAB7F19C4198}"/>
              </c:ext>
            </c:extLst>
          </c:dPt>
          <c:dPt>
            <c:idx val="1"/>
            <c:bubble3D val="0"/>
            <c:spPr>
              <a:solidFill>
                <a:srgbClr val="C4703D"/>
              </a:solidFill>
              <a:ln>
                <a:solidFill>
                  <a:srgbClr val="FFFFFF"/>
                </a:solidFill>
                <a:prstDash val="solid"/>
              </a:ln>
            </c:spPr>
            <c:extLst>
              <c:ext xmlns:c16="http://schemas.microsoft.com/office/drawing/2014/chart" uri="{C3380CC4-5D6E-409C-BE32-E72D297353CC}">
                <c16:uniqueId val="{00000003-6572-4CA4-87C2-DAB7F19C4198}"/>
              </c:ext>
            </c:extLst>
          </c:dPt>
          <c:dPt>
            <c:idx val="2"/>
            <c:bubble3D val="0"/>
            <c:spPr>
              <a:solidFill>
                <a:srgbClr val="939872"/>
              </a:solidFill>
              <a:ln>
                <a:solidFill>
                  <a:srgbClr val="FFFFFF"/>
                </a:solidFill>
                <a:prstDash val="solid"/>
              </a:ln>
            </c:spPr>
            <c:extLst>
              <c:ext xmlns:c16="http://schemas.microsoft.com/office/drawing/2014/chart" uri="{C3380CC4-5D6E-409C-BE32-E72D297353CC}">
                <c16:uniqueId val="{00000005-6572-4CA4-87C2-DAB7F19C4198}"/>
              </c:ext>
            </c:extLst>
          </c:dPt>
          <c:dPt>
            <c:idx val="3"/>
            <c:bubble3D val="0"/>
            <c:spPr>
              <a:solidFill>
                <a:srgbClr val="C29E4F"/>
              </a:solidFill>
              <a:ln>
                <a:solidFill>
                  <a:srgbClr val="FFFFFF"/>
                </a:solidFill>
                <a:prstDash val="solid"/>
              </a:ln>
            </c:spPr>
            <c:extLst>
              <c:ext xmlns:c16="http://schemas.microsoft.com/office/drawing/2014/chart" uri="{C3380CC4-5D6E-409C-BE32-E72D297353CC}">
                <c16:uniqueId val="{00000007-6572-4CA4-87C2-DAB7F19C4198}"/>
              </c:ext>
            </c:extLst>
          </c:dPt>
          <c:dPt>
            <c:idx val="4"/>
            <c:bubble3D val="0"/>
            <c:spPr>
              <a:solidFill>
                <a:srgbClr val="6A9387"/>
              </a:solidFill>
              <a:ln>
                <a:solidFill>
                  <a:srgbClr val="FFFFFF"/>
                </a:solidFill>
                <a:prstDash val="solid"/>
              </a:ln>
            </c:spPr>
            <c:extLst>
              <c:ext xmlns:c16="http://schemas.microsoft.com/office/drawing/2014/chart" uri="{C3380CC4-5D6E-409C-BE32-E72D297353CC}">
                <c16:uniqueId val="{00000009-6572-4CA4-87C2-DAB7F19C4198}"/>
              </c:ext>
            </c:extLst>
          </c:dPt>
          <c:dPt>
            <c:idx val="5"/>
            <c:bubble3D val="0"/>
            <c:spPr>
              <a:solidFill>
                <a:srgbClr val="857B78"/>
              </a:solidFill>
              <a:ln>
                <a:solidFill>
                  <a:srgbClr val="FFFFFF"/>
                </a:solidFill>
                <a:prstDash val="solid"/>
              </a:ln>
            </c:spPr>
            <c:extLst>
              <c:ext xmlns:c16="http://schemas.microsoft.com/office/drawing/2014/chart" uri="{C3380CC4-5D6E-409C-BE32-E72D297353CC}">
                <c16:uniqueId val="{0000000B-6572-4CA4-87C2-DAB7F19C4198}"/>
              </c:ext>
            </c:extLst>
          </c:dPt>
          <c:dPt>
            <c:idx val="6"/>
            <c:bubble3D val="0"/>
            <c:spPr>
              <a:solidFill>
                <a:srgbClr val="B3C8DC"/>
              </a:solidFill>
              <a:ln>
                <a:solidFill>
                  <a:srgbClr val="FFFFFF"/>
                </a:solidFill>
                <a:prstDash val="solid"/>
              </a:ln>
            </c:spPr>
            <c:extLst>
              <c:ext xmlns:c16="http://schemas.microsoft.com/office/drawing/2014/chart" uri="{C3380CC4-5D6E-409C-BE32-E72D297353CC}">
                <c16:uniqueId val="{0000000D-6572-4CA4-87C2-DAB7F19C4198}"/>
              </c:ext>
            </c:extLst>
          </c:dPt>
          <c:dPt>
            <c:idx val="7"/>
            <c:bubble3D val="0"/>
            <c:spPr>
              <a:solidFill>
                <a:srgbClr val="E5A88A"/>
              </a:solidFill>
              <a:ln>
                <a:solidFill>
                  <a:srgbClr val="FFFFFF"/>
                </a:solidFill>
                <a:prstDash val="solid"/>
              </a:ln>
            </c:spPr>
            <c:extLst>
              <c:ext xmlns:c16="http://schemas.microsoft.com/office/drawing/2014/chart" uri="{C3380CC4-5D6E-409C-BE32-E72D297353CC}">
                <c16:uniqueId val="{0000000F-6572-4CA4-87C2-DAB7F19C4198}"/>
              </c:ext>
            </c:extLst>
          </c:dPt>
          <c:dPt>
            <c:idx val="8"/>
            <c:bubble3D val="0"/>
            <c:spPr>
              <a:solidFill>
                <a:srgbClr val="C6C9B3"/>
              </a:solidFill>
              <a:ln>
                <a:solidFill>
                  <a:srgbClr val="FFFFFF"/>
                </a:solidFill>
                <a:prstDash val="solid"/>
              </a:ln>
            </c:spPr>
            <c:extLst>
              <c:ext xmlns:c16="http://schemas.microsoft.com/office/drawing/2014/chart" uri="{C3380CC4-5D6E-409C-BE32-E72D297353CC}">
                <c16:uniqueId val="{00000011-6572-4CA4-87C2-DAB7F19C4198}"/>
              </c:ext>
            </c:extLst>
          </c:dPt>
          <c:dLbls>
            <c:dLbl>
              <c:idx val="0"/>
              <c:spPr>
                <a:solidFill>
                  <a:srgbClr val="376081"/>
                </a:solidFill>
                <a:ln>
                  <a:noFill/>
                </a:ln>
                <a:effectLst/>
              </c:spPr>
              <c:txPr>
                <a:bodyPr/>
                <a:lstStyle/>
                <a:p>
                  <a:pPr>
                    <a:defRPr sz="900" b="1">
                      <a:ln w="6350">
                        <a:noFill/>
                      </a:ln>
                      <a:solidFill>
                        <a:schemeClr val="bg1"/>
                      </a:solidFill>
                      <a:effectLst>
                        <a:outerShdw blurRad="50800" dist="38100" dir="10800000" algn="r" rotWithShape="0">
                          <a:prstClr val="black">
                            <a:alpha val="40000"/>
                          </a:prstClr>
                        </a:outerShdw>
                      </a:effectLst>
                    </a:defRPr>
                  </a:pPr>
                  <a:endParaRPr lang="es-BO"/>
                </a:p>
              </c:txPr>
              <c:showLegendKey val="0"/>
              <c:showVal val="1"/>
              <c:showCatName val="0"/>
              <c:showSerName val="0"/>
              <c:showPercent val="1"/>
              <c:showBubbleSize val="1"/>
              <c:extLst>
                <c:ext xmlns:c15="http://schemas.microsoft.com/office/drawing/2012/chart" uri="{CE6537A1-D6FC-4f65-9D91-7224C49458BB}"/>
                <c:ext xmlns:c16="http://schemas.microsoft.com/office/drawing/2014/chart" uri="{C3380CC4-5D6E-409C-BE32-E72D297353CC}">
                  <c16:uniqueId val="{00000001-6572-4CA4-87C2-DAB7F19C4198}"/>
                </c:ext>
              </c:extLst>
            </c:dLbl>
            <c:dLbl>
              <c:idx val="1"/>
              <c:spPr>
                <a:noFill/>
                <a:ln>
                  <a:noFill/>
                </a:ln>
                <a:effectLst/>
              </c:spPr>
              <c:txPr>
                <a:bodyPr/>
                <a:lstStyle/>
                <a:p>
                  <a:pPr>
                    <a:defRPr sz="900" b="1">
                      <a:ln w="6350">
                        <a:noFill/>
                      </a:ln>
                      <a:solidFill>
                        <a:schemeClr val="bg1"/>
                      </a:solidFill>
                      <a:effectLst>
                        <a:outerShdw blurRad="50800" dist="38100" dir="10800000" algn="r" rotWithShape="0">
                          <a:prstClr val="black">
                            <a:alpha val="40000"/>
                          </a:prstClr>
                        </a:outerShdw>
                      </a:effectLst>
                    </a:defRPr>
                  </a:pPr>
                  <a:endParaRPr lang="es-BO"/>
                </a:p>
              </c:txPr>
              <c:showLegendKey val="0"/>
              <c:showVal val="1"/>
              <c:showCatName val="0"/>
              <c:showSerName val="0"/>
              <c:showPercent val="1"/>
              <c:showBubbleSize val="1"/>
              <c:extLst>
                <c:ext xmlns:c15="http://schemas.microsoft.com/office/drawing/2012/chart" uri="{CE6537A1-D6FC-4f65-9D91-7224C49458BB}"/>
                <c:ext xmlns:c16="http://schemas.microsoft.com/office/drawing/2014/chart" uri="{C3380CC4-5D6E-409C-BE32-E72D297353CC}">
                  <c16:uniqueId val="{00000003-6572-4CA4-87C2-DAB7F19C4198}"/>
                </c:ext>
              </c:extLst>
            </c:dLbl>
            <c:dLbl>
              <c:idx val="2"/>
              <c:spPr>
                <a:noFill/>
                <a:ln>
                  <a:noFill/>
                </a:ln>
                <a:effectLst/>
              </c:spPr>
              <c:txPr>
                <a:bodyPr/>
                <a:lstStyle/>
                <a:p>
                  <a:pPr>
                    <a:defRPr sz="900" b="1">
                      <a:ln w="6350">
                        <a:noFill/>
                      </a:ln>
                      <a:solidFill>
                        <a:schemeClr val="bg1"/>
                      </a:solidFill>
                      <a:effectLst>
                        <a:outerShdw blurRad="50800" dist="38100" dir="10800000" algn="r" rotWithShape="0">
                          <a:prstClr val="black">
                            <a:alpha val="40000"/>
                          </a:prstClr>
                        </a:outerShdw>
                      </a:effectLst>
                    </a:defRPr>
                  </a:pPr>
                  <a:endParaRPr lang="es-BO"/>
                </a:p>
              </c:txPr>
              <c:showLegendKey val="0"/>
              <c:showVal val="1"/>
              <c:showCatName val="0"/>
              <c:showSerName val="0"/>
              <c:showPercent val="1"/>
              <c:showBubbleSize val="1"/>
              <c:extLst>
                <c:ext xmlns:c15="http://schemas.microsoft.com/office/drawing/2012/chart" uri="{CE6537A1-D6FC-4f65-9D91-7224C49458BB}"/>
                <c:ext xmlns:c16="http://schemas.microsoft.com/office/drawing/2014/chart" uri="{C3380CC4-5D6E-409C-BE32-E72D297353CC}">
                  <c16:uniqueId val="{00000005-6572-4CA4-87C2-DAB7F19C4198}"/>
                </c:ext>
              </c:extLst>
            </c:dLbl>
            <c:dLbl>
              <c:idx val="3"/>
              <c:layout>
                <c:manualLayout>
                  <c:x val="-0.22345054686581206"/>
                  <c:y val="2.1167221046265498E-2"/>
                </c:manualLayout>
              </c:layout>
              <c:spPr>
                <a:solidFill>
                  <a:srgbClr val="B3954B"/>
                </a:solidFill>
                <a:ln>
                  <a:noFill/>
                </a:ln>
                <a:effectLst/>
              </c:spPr>
              <c:txPr>
                <a:bodyPr/>
                <a:lstStyle/>
                <a:p>
                  <a:pPr>
                    <a:defRPr sz="900" b="1">
                      <a:ln w="6350">
                        <a:noFill/>
                      </a:ln>
                      <a:solidFill>
                        <a:schemeClr val="bg1"/>
                      </a:solidFill>
                      <a:effectLst>
                        <a:outerShdw blurRad="50800" dist="38100" dir="10800000" algn="r" rotWithShape="0">
                          <a:prstClr val="black">
                            <a:alpha val="40000"/>
                          </a:prstClr>
                        </a:outerShdw>
                      </a:effectLst>
                    </a:defRPr>
                  </a:pPr>
                  <a:endParaRPr lang="es-BO"/>
                </a:p>
              </c:txPr>
              <c:showLegendKey val="0"/>
              <c:showVal val="1"/>
              <c:showCatName val="0"/>
              <c:showSerName val="0"/>
              <c:showPercent val="1"/>
              <c:showBubbleSize val="1"/>
              <c:separator>
</c:separator>
              <c:extLst>
                <c:ext xmlns:c15="http://schemas.microsoft.com/office/drawing/2012/chart" uri="{CE6537A1-D6FC-4f65-9D91-7224C49458BB}"/>
                <c:ext xmlns:c16="http://schemas.microsoft.com/office/drawing/2014/chart" uri="{C3380CC4-5D6E-409C-BE32-E72D297353CC}">
                  <c16:uniqueId val="{00000007-6572-4CA4-87C2-DAB7F19C4198}"/>
                </c:ext>
              </c:extLst>
            </c:dLbl>
            <c:dLbl>
              <c:idx val="4"/>
              <c:layout>
                <c:manualLayout>
                  <c:x val="-0.27519698929789488"/>
                  <c:y val="2.1167221046265443E-2"/>
                </c:manualLayout>
              </c:layout>
              <c:spPr>
                <a:solidFill>
                  <a:srgbClr val="5F8B84"/>
                </a:solidFill>
                <a:ln>
                  <a:noFill/>
                </a:ln>
                <a:effectLst/>
              </c:spPr>
              <c:txPr>
                <a:bodyPr/>
                <a:lstStyle/>
                <a:p>
                  <a:pPr>
                    <a:defRPr sz="900" b="1">
                      <a:ln w="6350">
                        <a:noFill/>
                      </a:ln>
                      <a:solidFill>
                        <a:schemeClr val="bg1"/>
                      </a:solidFill>
                      <a:effectLst>
                        <a:outerShdw blurRad="50800" dist="38100" dir="10800000" algn="r" rotWithShape="0">
                          <a:prstClr val="black">
                            <a:alpha val="40000"/>
                          </a:prstClr>
                        </a:outerShdw>
                      </a:effectLst>
                    </a:defRPr>
                  </a:pPr>
                  <a:endParaRPr lang="es-BO"/>
                </a:p>
              </c:txPr>
              <c:showLegendKey val="0"/>
              <c:showVal val="1"/>
              <c:showCatName val="0"/>
              <c:showSerName val="0"/>
              <c:showPercent val="1"/>
              <c:showBubbleSize val="1"/>
              <c:separator>
</c:separator>
              <c:extLst>
                <c:ext xmlns:c15="http://schemas.microsoft.com/office/drawing/2012/chart" uri="{CE6537A1-D6FC-4f65-9D91-7224C49458BB}"/>
                <c:ext xmlns:c16="http://schemas.microsoft.com/office/drawing/2014/chart" uri="{C3380CC4-5D6E-409C-BE32-E72D297353CC}">
                  <c16:uniqueId val="{00000009-6572-4CA4-87C2-DAB7F19C4198}"/>
                </c:ext>
              </c:extLst>
            </c:dLbl>
            <c:dLbl>
              <c:idx val="5"/>
              <c:layout>
                <c:manualLayout>
                  <c:x val="-0.32929554274961781"/>
                  <c:y val="-2.7214998488055666E-2"/>
                </c:manualLayout>
              </c:layout>
              <c:spPr>
                <a:solidFill>
                  <a:srgbClr val="836F73"/>
                </a:solidFill>
                <a:ln>
                  <a:noFill/>
                </a:ln>
                <a:effectLst/>
              </c:spPr>
              <c:txPr>
                <a:bodyPr/>
                <a:lstStyle/>
                <a:p>
                  <a:pPr>
                    <a:defRPr sz="900" b="1">
                      <a:ln w="6350">
                        <a:noFill/>
                      </a:ln>
                      <a:solidFill>
                        <a:schemeClr val="bg1"/>
                      </a:solidFill>
                      <a:effectLst>
                        <a:outerShdw blurRad="50800" dist="38100" dir="10800000" algn="r" rotWithShape="0">
                          <a:prstClr val="black">
                            <a:alpha val="40000"/>
                          </a:prstClr>
                        </a:outerShdw>
                      </a:effectLst>
                    </a:defRPr>
                  </a:pPr>
                  <a:endParaRPr lang="es-BO"/>
                </a:p>
              </c:txPr>
              <c:showLegendKey val="0"/>
              <c:showVal val="1"/>
              <c:showCatName val="0"/>
              <c:showSerName val="0"/>
              <c:showPercent val="1"/>
              <c:showBubbleSize val="1"/>
              <c:separator>
</c:separator>
              <c:extLst>
                <c:ext xmlns:c15="http://schemas.microsoft.com/office/drawing/2012/chart" uri="{CE6537A1-D6FC-4f65-9D91-7224C49458BB}"/>
                <c:ext xmlns:c16="http://schemas.microsoft.com/office/drawing/2014/chart" uri="{C3380CC4-5D6E-409C-BE32-E72D297353CC}">
                  <c16:uniqueId val="{0000000B-6572-4CA4-87C2-DAB7F19C4198}"/>
                </c:ext>
              </c:extLst>
            </c:dLbl>
            <c:dLbl>
              <c:idx val="6"/>
              <c:layout>
                <c:manualLayout>
                  <c:x val="-0.36692931906385984"/>
                  <c:y val="-0.10885999395222255"/>
                </c:manualLayout>
              </c:layout>
              <c:spPr>
                <a:solidFill>
                  <a:srgbClr val="A7C4E7"/>
                </a:solidFill>
                <a:ln>
                  <a:noFill/>
                </a:ln>
                <a:effectLst/>
              </c:spPr>
              <c:txPr>
                <a:bodyPr/>
                <a:lstStyle/>
                <a:p>
                  <a:pPr>
                    <a:defRPr sz="900" b="1">
                      <a:ln w="6350">
                        <a:noFill/>
                      </a:ln>
                      <a:solidFill>
                        <a:schemeClr val="bg1"/>
                      </a:solidFill>
                      <a:effectLst>
                        <a:outerShdw blurRad="50800" dist="38100" dir="10800000" algn="r" rotWithShape="0">
                          <a:prstClr val="black">
                            <a:alpha val="40000"/>
                          </a:prstClr>
                        </a:outerShdw>
                      </a:effectLst>
                    </a:defRPr>
                  </a:pPr>
                  <a:endParaRPr lang="es-BO"/>
                </a:p>
              </c:txPr>
              <c:showLegendKey val="0"/>
              <c:showVal val="1"/>
              <c:showCatName val="0"/>
              <c:showSerName val="0"/>
              <c:showPercent val="1"/>
              <c:showBubbleSize val="1"/>
              <c:separator>
</c:separator>
              <c:extLst>
                <c:ext xmlns:c15="http://schemas.microsoft.com/office/drawing/2012/chart" uri="{CE6537A1-D6FC-4f65-9D91-7224C49458BB}"/>
                <c:ext xmlns:c16="http://schemas.microsoft.com/office/drawing/2014/chart" uri="{C3380CC4-5D6E-409C-BE32-E72D297353CC}">
                  <c16:uniqueId val="{0000000D-6572-4CA4-87C2-DAB7F19C4198}"/>
                </c:ext>
              </c:extLst>
            </c:dLbl>
            <c:dLbl>
              <c:idx val="7"/>
              <c:showLegendKey val="0"/>
              <c:showVal val="0"/>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F-6572-4CA4-87C2-DAB7F19C4198}"/>
                </c:ext>
              </c:extLst>
            </c:dLbl>
            <c:dLbl>
              <c:idx val="8"/>
              <c:showLegendKey val="0"/>
              <c:showVal val="0"/>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11-6572-4CA4-87C2-DAB7F19C4198}"/>
                </c:ext>
              </c:extLst>
            </c:dLbl>
            <c:spPr>
              <a:gradFill flip="none" rotWithShape="1">
                <a:gsLst>
                  <a:gs pos="0">
                    <a:schemeClr val="bg1">
                      <a:lumMod val="65000"/>
                    </a:schemeClr>
                  </a:gs>
                  <a:gs pos="99115">
                    <a:schemeClr val="bg1">
                      <a:alpha val="1000"/>
                    </a:schemeClr>
                  </a:gs>
                  <a:gs pos="58000">
                    <a:schemeClr val="bg1">
                      <a:alpha val="1000"/>
                    </a:schemeClr>
                  </a:gs>
                </a:gsLst>
                <a:path path="circle">
                  <a:fillToRect l="50000" t="50000" r="50000" b="50000"/>
                </a:path>
                <a:tileRect/>
              </a:gradFill>
              <a:ln>
                <a:noFill/>
              </a:ln>
              <a:effectLst/>
            </c:spPr>
            <c:txPr>
              <a:bodyPr/>
              <a:lstStyle/>
              <a:p>
                <a:pPr>
                  <a:defRPr sz="900" b="1">
                    <a:ln w="6350">
                      <a:noFill/>
                    </a:ln>
                    <a:solidFill>
                      <a:schemeClr val="bg1"/>
                    </a:solidFill>
                    <a:effectLst>
                      <a:outerShdw blurRad="50800" dist="38100" dir="10800000" algn="r" rotWithShape="0">
                        <a:prstClr val="black">
                          <a:alpha val="40000"/>
                        </a:prstClr>
                      </a:outerShdw>
                    </a:effectLst>
                  </a:defRPr>
                </a:pPr>
                <a:endParaRPr lang="es-BO"/>
              </a:p>
            </c:txPr>
            <c:showLegendKey val="0"/>
            <c:showVal val="1"/>
            <c:showCatName val="0"/>
            <c:showSerName val="0"/>
            <c:showPercent val="1"/>
            <c:showBubbleSize val="1"/>
            <c:separator>
</c:separator>
            <c:showLeaderLines val="1"/>
            <c:extLst>
              <c:ext xmlns:c15="http://schemas.microsoft.com/office/drawing/2012/chart" uri="{CE6537A1-D6FC-4f65-9D91-7224C49458BB}"/>
            </c:extLst>
          </c:dLbls>
          <c:cat>
            <c:strRef>
              <c:f>'2.10'!$A$5:$A$13</c:f>
              <c:strCache>
                <c:ptCount val="9"/>
                <c:pt idx="0">
                  <c:v>YPFB</c:v>
                </c:pt>
                <c:pt idx="1">
                  <c:v>Empresas Públicas sin YPFB</c:v>
                </c:pt>
                <c:pt idx="2">
                  <c:v>Municipios y GAIOC</c:v>
                </c:pt>
                <c:pt idx="3">
                  <c:v>Entidades Descentralizadas</c:v>
                </c:pt>
                <c:pt idx="4">
                  <c:v>Órganos del Estado (*)</c:v>
                </c:pt>
                <c:pt idx="5">
                  <c:v>Instituciones de Seguridad Social</c:v>
                </c:pt>
                <c:pt idx="6">
                  <c:v>Gobernaciones y GAR</c:v>
                </c:pt>
                <c:pt idx="7">
                  <c:v>Universidades Públicas</c:v>
                </c:pt>
                <c:pt idx="8">
                  <c:v>Instituciones Financieras</c:v>
                </c:pt>
              </c:strCache>
            </c:strRef>
          </c:cat>
          <c:val>
            <c:numRef>
              <c:f>'2.10'!$F$5:$F$13</c:f>
              <c:numCache>
                <c:formatCode>#,##0</c:formatCode>
                <c:ptCount val="9"/>
                <c:pt idx="0">
                  <c:v>58562.052247</c:v>
                </c:pt>
                <c:pt idx="1">
                  <c:v>16089.135928000003</c:v>
                </c:pt>
                <c:pt idx="2">
                  <c:v>11517.841283</c:v>
                </c:pt>
                <c:pt idx="3">
                  <c:v>3743.0157250000002</c:v>
                </c:pt>
                <c:pt idx="4">
                  <c:v>4288.2379799999999</c:v>
                </c:pt>
                <c:pt idx="5">
                  <c:v>3190.5241919999999</c:v>
                </c:pt>
                <c:pt idx="6">
                  <c:v>2121.8127749999999</c:v>
                </c:pt>
                <c:pt idx="7">
                  <c:v>1042.7768120000001</c:v>
                </c:pt>
                <c:pt idx="8">
                  <c:v>873.41987400000005</c:v>
                </c:pt>
              </c:numCache>
            </c:numRef>
          </c:val>
          <c:extLst>
            <c:ext xmlns:c16="http://schemas.microsoft.com/office/drawing/2014/chart" uri="{C3380CC4-5D6E-409C-BE32-E72D297353CC}">
              <c16:uniqueId val="{00000012-6572-4CA4-87C2-DAB7F19C4198}"/>
            </c:ext>
          </c:extLst>
        </c:ser>
        <c:dLbls>
          <c:showLegendKey val="0"/>
          <c:showVal val="0"/>
          <c:showCatName val="0"/>
          <c:showSerName val="0"/>
          <c:showPercent val="0"/>
          <c:showBubbleSize val="0"/>
          <c:showLeaderLines val="1"/>
        </c:dLbls>
        <c:firstSliceAng val="0"/>
        <c:holeSize val="50"/>
      </c:doughnutChart>
    </c:plotArea>
    <c:legend>
      <c:legendPos val="b"/>
      <c:layout>
        <c:manualLayout>
          <c:xMode val="edge"/>
          <c:yMode val="edge"/>
          <c:x val="0"/>
          <c:y val="0.67217689034712813"/>
          <c:w val="0.50293578644313586"/>
          <c:h val="0.31875144349018664"/>
        </c:manualLayout>
      </c:layout>
      <c:overlay val="1"/>
      <c:txPr>
        <a:bodyPr/>
        <a:lstStyle/>
        <a:p>
          <a:pPr>
            <a:defRPr sz="800"/>
          </a:pPr>
          <a:endParaRPr lang="es-BO"/>
        </a:p>
      </c:txPr>
    </c:legend>
    <c:plotVisOnly val="1"/>
    <c:dispBlanksAs val="gap"/>
    <c:showDLblsOverMax val="1"/>
  </c:chart>
  <c:txPr>
    <a:bodyPr/>
    <a:lstStyle/>
    <a:p>
      <a:pPr>
        <a:defRPr>
          <a:latin typeface="Century Gothic" panose="020B0502020202020204" pitchFamily="34" charset="0"/>
        </a:defRPr>
      </a:pPr>
      <a:endParaRPr lang="es-BO"/>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1990975687062184E-2"/>
          <c:y val="0.11059907834101383"/>
          <c:w val="0.95469158621115369"/>
          <c:h val="0.68058074797907253"/>
        </c:manualLayout>
      </c:layout>
      <c:barChart>
        <c:barDir val="col"/>
        <c:grouping val="stacked"/>
        <c:varyColors val="0"/>
        <c:ser>
          <c:idx val="0"/>
          <c:order val="0"/>
          <c:tx>
            <c:strRef>
              <c:f>'2.12'!$B$4</c:f>
              <c:strCache>
                <c:ptCount val="1"/>
                <c:pt idx="0">
                  <c:v>GAD</c:v>
                </c:pt>
              </c:strCache>
            </c:strRef>
          </c:tx>
          <c:spPr>
            <a:solidFill>
              <a:schemeClr val="accent5">
                <a:lumMod val="75000"/>
              </a:schemeClr>
            </a:solidFill>
            <a:ln w="3175">
              <a:solidFill>
                <a:schemeClr val="tx1"/>
              </a:solidFill>
            </a:ln>
            <a:effectLst/>
          </c:spPr>
          <c:invertIfNegative val="0"/>
          <c:dLbls>
            <c:numFmt formatCode="#,##0" sourceLinked="0"/>
            <c:spPr>
              <a:noFill/>
              <a:ln>
                <a:noFill/>
              </a:ln>
              <a:effectLst/>
            </c:spPr>
            <c:txPr>
              <a:bodyPr rot="0" spcFirstLastPara="1" vertOverflow="ellipsis" vert="horz" wrap="square" anchor="ctr" anchorCtr="1"/>
              <a:lstStyle/>
              <a:p>
                <a:pPr algn="ctr">
                  <a:defRPr sz="900" b="0" i="0" u="none" strike="noStrike" kern="1200" baseline="0">
                    <a:solidFill>
                      <a:schemeClr val="bg1"/>
                    </a:solidFill>
                    <a:latin typeface="Century Gothic" panose="020B0502020202020204" pitchFamily="34" charset="0"/>
                    <a:ea typeface="+mn-ea"/>
                    <a:cs typeface="+mn-cs"/>
                  </a:defRPr>
                </a:pPr>
                <a:endParaRPr lang="es-BO"/>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'2.12'!$A$5:$A$6</c:f>
              <c:strCache>
                <c:ptCount val="2"/>
                <c:pt idx="0">
                  <c:v>2025</c:v>
                </c:pt>
                <c:pt idx="1">
                  <c:v>2026</c:v>
                </c:pt>
              </c:strCache>
            </c:strRef>
          </c:cat>
          <c:val>
            <c:numRef>
              <c:f>'2.12'!$B$5:$B$6</c:f>
              <c:numCache>
                <c:formatCode>#,##0.0</c:formatCode>
                <c:ptCount val="2"/>
                <c:pt idx="0">
                  <c:v>9727.4289420000005</c:v>
                </c:pt>
                <c:pt idx="1">
                  <c:v>9930.4392509999998</c:v>
                </c:pt>
              </c:numCache>
            </c:numRef>
          </c:val>
          <c:extLst>
            <c:ext xmlns:c16="http://schemas.microsoft.com/office/drawing/2014/chart" uri="{C3380CC4-5D6E-409C-BE32-E72D297353CC}">
              <c16:uniqueId val="{00000000-5649-45B5-94ED-7CEBE409C6A9}"/>
            </c:ext>
          </c:extLst>
        </c:ser>
        <c:ser>
          <c:idx val="1"/>
          <c:order val="1"/>
          <c:tx>
            <c:strRef>
              <c:f>'2.12'!$C$4</c:f>
              <c:strCache>
                <c:ptCount val="1"/>
                <c:pt idx="0">
                  <c:v>GAR</c:v>
                </c:pt>
              </c:strCache>
            </c:strRef>
          </c:tx>
          <c:spPr>
            <a:solidFill>
              <a:schemeClr val="accent2"/>
            </a:solidFill>
            <a:ln>
              <a:noFill/>
            </a:ln>
            <a:effectLst/>
          </c:spPr>
          <c:invertIfNegative val="0"/>
          <c:dLbls>
            <c:numFmt formatCode="#,##0" sourceLinked="0"/>
            <c:spPr>
              <a:noFill/>
              <a:ln>
                <a:noFill/>
              </a:ln>
              <a:effectLst/>
            </c:spPr>
            <c:txPr>
              <a:bodyPr rot="0" spcFirstLastPara="1" vertOverflow="ellipsis" vert="horz" wrap="square" anchor="ctr" anchorCtr="1"/>
              <a:lstStyle/>
              <a:p>
                <a:pPr algn="ctr">
                  <a:defRPr sz="900" b="0" i="0" u="none" strike="noStrike" kern="1200" baseline="0">
                    <a:solidFill>
                      <a:schemeClr val="bg1"/>
                    </a:solidFill>
                    <a:latin typeface="Century Gothic" panose="020B0502020202020204" pitchFamily="34" charset="0"/>
                    <a:ea typeface="+mn-ea"/>
                    <a:cs typeface="+mn-cs"/>
                  </a:defRPr>
                </a:pPr>
                <a:endParaRPr lang="es-BO"/>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'2.12'!$A$5:$A$6</c:f>
              <c:strCache>
                <c:ptCount val="2"/>
                <c:pt idx="0">
                  <c:v>2025</c:v>
                </c:pt>
                <c:pt idx="1">
                  <c:v>2026</c:v>
                </c:pt>
              </c:strCache>
            </c:strRef>
          </c:cat>
          <c:val>
            <c:numRef>
              <c:f>'2.12'!$C$5:$C$6</c:f>
              <c:numCache>
                <c:formatCode>#,##0.0</c:formatCode>
                <c:ptCount val="2"/>
                <c:pt idx="0">
                  <c:v>619.162105</c:v>
                </c:pt>
                <c:pt idx="1">
                  <c:v>439.818849</c:v>
                </c:pt>
              </c:numCache>
            </c:numRef>
          </c:val>
          <c:extLst>
            <c:ext xmlns:c16="http://schemas.microsoft.com/office/drawing/2014/chart" uri="{C3380CC4-5D6E-409C-BE32-E72D297353CC}">
              <c16:uniqueId val="{00000001-5649-45B5-94ED-7CEBE409C6A9}"/>
            </c:ext>
          </c:extLst>
        </c:ser>
        <c:ser>
          <c:idx val="2"/>
          <c:order val="2"/>
          <c:tx>
            <c:strRef>
              <c:f>'2.12'!$D$4</c:f>
              <c:strCache>
                <c:ptCount val="1"/>
                <c:pt idx="0">
                  <c:v>GAM</c:v>
                </c:pt>
              </c:strCache>
            </c:strRef>
          </c:tx>
          <c:spPr>
            <a:solidFill>
              <a:schemeClr val="accent5">
                <a:lumMod val="60000"/>
                <a:lumOff val="40000"/>
              </a:schemeClr>
            </a:solidFill>
            <a:ln w="3175">
              <a:solidFill>
                <a:schemeClr val="tx1"/>
              </a:solidFill>
            </a:ln>
            <a:effectLst/>
          </c:spPr>
          <c:invertIfNegative val="0"/>
          <c:dLbls>
            <c:numFmt formatCode="#,##0" sourceLinked="0"/>
            <c:spPr>
              <a:noFill/>
              <a:ln>
                <a:noFill/>
              </a:ln>
              <a:effectLst/>
            </c:spPr>
            <c:txPr>
              <a:bodyPr rot="0" spcFirstLastPara="1" vertOverflow="ellipsis" vert="horz" wrap="square" anchor="ctr" anchorCtr="1"/>
              <a:lstStyle/>
              <a:p>
                <a:pPr algn="ctr">
                  <a:defRPr sz="1100" b="0" i="0" u="none" strike="noStrike" kern="1200" baseline="0">
                    <a:solidFill>
                      <a:schemeClr val="accent5">
                        <a:lumMod val="50000"/>
                      </a:schemeClr>
                    </a:solidFill>
                    <a:latin typeface="Century Gothic" panose="020B0502020202020204" pitchFamily="34" charset="0"/>
                    <a:ea typeface="+mn-ea"/>
                    <a:cs typeface="+mn-cs"/>
                  </a:defRPr>
                </a:pPr>
                <a:endParaRPr lang="es-BO"/>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'2.12'!$A$5:$A$6</c:f>
              <c:strCache>
                <c:ptCount val="2"/>
                <c:pt idx="0">
                  <c:v>2025</c:v>
                </c:pt>
                <c:pt idx="1">
                  <c:v>2026</c:v>
                </c:pt>
              </c:strCache>
            </c:strRef>
          </c:cat>
          <c:val>
            <c:numRef>
              <c:f>'2.12'!$D$5:$D$6</c:f>
              <c:numCache>
                <c:formatCode>#,##0.0</c:formatCode>
                <c:ptCount val="2"/>
                <c:pt idx="0">
                  <c:v>21517.747536999999</c:v>
                </c:pt>
                <c:pt idx="1">
                  <c:v>22863.268325000001</c:v>
                </c:pt>
              </c:numCache>
            </c:numRef>
          </c:val>
          <c:extLst>
            <c:ext xmlns:c16="http://schemas.microsoft.com/office/drawing/2014/chart" uri="{C3380CC4-5D6E-409C-BE32-E72D297353CC}">
              <c16:uniqueId val="{00000002-5649-45B5-94ED-7CEBE409C6A9}"/>
            </c:ext>
          </c:extLst>
        </c:ser>
        <c:ser>
          <c:idx val="3"/>
          <c:order val="3"/>
          <c:tx>
            <c:strRef>
              <c:f>'2.12'!$E$4</c:f>
              <c:strCache>
                <c:ptCount val="1"/>
                <c:pt idx="0">
                  <c:v>GAIOC</c:v>
                </c:pt>
              </c:strCache>
            </c:strRef>
          </c:tx>
          <c:spPr>
            <a:solidFill>
              <a:schemeClr val="accent3">
                <a:lumMod val="60000"/>
                <a:lumOff val="40000"/>
              </a:schemeClr>
            </a:solidFill>
            <a:ln w="3175">
              <a:solidFill>
                <a:schemeClr val="tx1"/>
              </a:solidFill>
            </a:ln>
            <a:effectLst/>
          </c:spPr>
          <c:invertIfNegative val="0"/>
          <c:dLbls>
            <c:numFmt formatCode="#,##0" sourceLinked="0"/>
            <c:spPr>
              <a:noFill/>
              <a:ln>
                <a:noFill/>
              </a:ln>
              <a:effectLst/>
            </c:spPr>
            <c:txPr>
              <a:bodyPr rot="0" spcFirstLastPara="1" vertOverflow="ellipsis" vert="horz" wrap="square" anchor="ctr" anchorCtr="1"/>
              <a:lstStyle/>
              <a:p>
                <a:pPr algn="ctr">
                  <a:defRPr sz="900" b="0" i="0" u="none" strike="noStrike" kern="1200" baseline="0">
                    <a:solidFill>
                      <a:sysClr val="windowText" lastClr="000000"/>
                    </a:solidFill>
                    <a:latin typeface="Century Gothic" panose="020B0502020202020204" pitchFamily="34" charset="0"/>
                    <a:ea typeface="+mn-ea"/>
                    <a:cs typeface="+mn-cs"/>
                  </a:defRPr>
                </a:pPr>
                <a:endParaRPr lang="es-BO"/>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'2.12'!$A$5:$A$6</c:f>
              <c:strCache>
                <c:ptCount val="2"/>
                <c:pt idx="0">
                  <c:v>2025</c:v>
                </c:pt>
                <c:pt idx="1">
                  <c:v>2026</c:v>
                </c:pt>
              </c:strCache>
            </c:strRef>
          </c:cat>
          <c:val>
            <c:numRef>
              <c:f>'2.12'!$E$5:$E$6</c:f>
              <c:numCache>
                <c:formatCode>#,##0.0</c:formatCode>
                <c:ptCount val="2"/>
                <c:pt idx="0">
                  <c:v>92.389967999999996</c:v>
                </c:pt>
                <c:pt idx="1">
                  <c:v>104.213035</c:v>
                </c:pt>
              </c:numCache>
            </c:numRef>
          </c:val>
          <c:extLst>
            <c:ext xmlns:c16="http://schemas.microsoft.com/office/drawing/2014/chart" uri="{C3380CC4-5D6E-409C-BE32-E72D297353CC}">
              <c16:uniqueId val="{00000003-5649-45B5-94ED-7CEBE409C6A9}"/>
            </c:ext>
          </c:extLst>
        </c:ser>
        <c:ser>
          <c:idx val="4"/>
          <c:order val="4"/>
          <c:tx>
            <c:strRef>
              <c:f>'2.12'!$F$4</c:f>
              <c:strCache>
                <c:ptCount val="1"/>
                <c:pt idx="0">
                  <c:v>UNIV</c:v>
                </c:pt>
              </c:strCache>
            </c:strRef>
          </c:tx>
          <c:spPr>
            <a:solidFill>
              <a:schemeClr val="accent4">
                <a:lumMod val="60000"/>
                <a:lumOff val="40000"/>
              </a:schemeClr>
            </a:solidFill>
            <a:ln w="3175">
              <a:solidFill>
                <a:schemeClr val="tx1"/>
              </a:solidFill>
            </a:ln>
            <a:effectLst/>
          </c:spPr>
          <c:invertIfNegative val="0"/>
          <c:dLbls>
            <c:numFmt formatCode="#,##0" sourceLinked="0"/>
            <c:spPr>
              <a:noFill/>
              <a:ln>
                <a:noFill/>
              </a:ln>
              <a:effectLst/>
            </c:spPr>
            <c:txPr>
              <a:bodyPr rot="0" spcFirstLastPara="1" vertOverflow="ellipsis" vert="horz" wrap="square" anchor="ctr" anchorCtr="1"/>
              <a:lstStyle/>
              <a:p>
                <a:pPr>
                  <a:defRPr sz="1100" b="0" i="0" u="none" strike="noStrike" kern="1200" baseline="0">
                    <a:solidFill>
                      <a:srgbClr val="7030A0"/>
                    </a:solidFill>
                    <a:latin typeface="Century Gothic" panose="020B0502020202020204" pitchFamily="34" charset="0"/>
                    <a:ea typeface="+mn-ea"/>
                    <a:cs typeface="+mn-cs"/>
                  </a:defRPr>
                </a:pPr>
                <a:endParaRPr lang="es-BO"/>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'2.12'!$A$5:$A$6</c:f>
              <c:strCache>
                <c:ptCount val="2"/>
                <c:pt idx="0">
                  <c:v>2025</c:v>
                </c:pt>
                <c:pt idx="1">
                  <c:v>2026</c:v>
                </c:pt>
              </c:strCache>
            </c:strRef>
          </c:cat>
          <c:val>
            <c:numRef>
              <c:f>'2.12'!$F$5:$F$6</c:f>
              <c:numCache>
                <c:formatCode>#,##0.0</c:formatCode>
                <c:ptCount val="2"/>
                <c:pt idx="0">
                  <c:v>7390.0343549999998</c:v>
                </c:pt>
                <c:pt idx="1">
                  <c:v>7599.0696330000001</c:v>
                </c:pt>
              </c:numCache>
            </c:numRef>
          </c:val>
          <c:extLst>
            <c:ext xmlns:c16="http://schemas.microsoft.com/office/drawing/2014/chart" uri="{C3380CC4-5D6E-409C-BE32-E72D297353CC}">
              <c16:uniqueId val="{00000004-5649-45B5-94ED-7CEBE409C6A9}"/>
            </c:ext>
          </c:extLst>
        </c:ser>
        <c:dLbls>
          <c:showLegendKey val="0"/>
          <c:showVal val="0"/>
          <c:showCatName val="0"/>
          <c:showSerName val="0"/>
          <c:showPercent val="0"/>
          <c:showBubbleSize val="0"/>
        </c:dLbls>
        <c:gapWidth val="60"/>
        <c:overlap val="100"/>
        <c:axId val="1480818240"/>
        <c:axId val="1480812832"/>
      </c:barChart>
      <c:lineChart>
        <c:grouping val="standard"/>
        <c:varyColors val="0"/>
        <c:ser>
          <c:idx val="5"/>
          <c:order val="5"/>
          <c:tx>
            <c:strRef>
              <c:f>'2.12'!$G$4</c:f>
              <c:strCache>
                <c:ptCount val="1"/>
                <c:pt idx="0">
                  <c:v>Total</c:v>
                </c:pt>
              </c:strCache>
            </c:strRef>
          </c:tx>
          <c:spPr>
            <a:ln w="28575" cap="rnd">
              <a:noFill/>
              <a:round/>
            </a:ln>
            <a:effectLst/>
          </c:spPr>
          <c:marker>
            <c:symbol val="none"/>
          </c:marker>
          <c:dLbls>
            <c:numFmt formatCode="#,##0" sourceLinked="0"/>
            <c:spPr>
              <a:noFill/>
              <a:ln w="3175">
                <a:solidFill>
                  <a:schemeClr val="tx1"/>
                </a:solidFill>
                <a:prstDash val="dashDot"/>
              </a:ln>
              <a:effectLst/>
            </c:spPr>
            <c:txPr>
              <a:bodyPr rot="0" spcFirstLastPara="1" vertOverflow="ellipsis" vert="horz" wrap="square" anchor="ctr" anchorCtr="1"/>
              <a:lstStyle/>
              <a:p>
                <a:pPr>
                  <a:defRPr sz="1200" b="0" i="0" u="none" strike="noStrike" kern="1200" baseline="0">
                    <a:solidFill>
                      <a:sysClr val="windowText" lastClr="000000"/>
                    </a:solidFill>
                    <a:latin typeface="Century Gothic" panose="020B0502020202020204" pitchFamily="34" charset="0"/>
                    <a:ea typeface="+mn-ea"/>
                    <a:cs typeface="+mn-cs"/>
                  </a:defRPr>
                </a:pPr>
                <a:endParaRPr lang="es-BO"/>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'2.12'!$A$5:$A$6</c:f>
              <c:strCache>
                <c:ptCount val="2"/>
                <c:pt idx="0">
                  <c:v>2025</c:v>
                </c:pt>
                <c:pt idx="1">
                  <c:v>2026</c:v>
                </c:pt>
              </c:strCache>
            </c:strRef>
          </c:cat>
          <c:val>
            <c:numRef>
              <c:f>'2.12'!$G$5:$G$6</c:f>
              <c:numCache>
                <c:formatCode>#,##0.0</c:formatCode>
                <c:ptCount val="2"/>
                <c:pt idx="0">
                  <c:v>39346.762906999997</c:v>
                </c:pt>
                <c:pt idx="1">
                  <c:v>40936.809093000003</c:v>
                </c:pt>
              </c:numCache>
            </c:numRef>
          </c:val>
          <c:smooth val="0"/>
          <c:extLst>
            <c:ext xmlns:c16="http://schemas.microsoft.com/office/drawing/2014/chart" uri="{C3380CC4-5D6E-409C-BE32-E72D297353CC}">
              <c16:uniqueId val="{00000005-5649-45B5-94ED-7CEBE409C6A9}"/>
            </c:ext>
          </c:extLst>
        </c:ser>
        <c:dLbls>
          <c:showLegendKey val="0"/>
          <c:showVal val="0"/>
          <c:showCatName val="0"/>
          <c:showSerName val="0"/>
          <c:showPercent val="0"/>
          <c:showBubbleSize val="0"/>
        </c:dLbls>
        <c:marker val="1"/>
        <c:smooth val="0"/>
        <c:axId val="1480818240"/>
        <c:axId val="1480812832"/>
      </c:lineChart>
      <c:catAx>
        <c:axId val="1480818240"/>
        <c:scaling>
          <c:orientation val="minMax"/>
        </c:scaling>
        <c:delete val="0"/>
        <c:axPos val="b"/>
        <c:numFmt formatCode="General"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Century Gothic" panose="020B0502020202020204" pitchFamily="34" charset="0"/>
                <a:ea typeface="+mn-ea"/>
                <a:cs typeface="+mn-cs"/>
              </a:defRPr>
            </a:pPr>
            <a:endParaRPr lang="es-BO"/>
          </a:p>
        </c:txPr>
        <c:crossAx val="1480812832"/>
        <c:crosses val="autoZero"/>
        <c:auto val="1"/>
        <c:lblAlgn val="ctr"/>
        <c:lblOffset val="100"/>
        <c:noMultiLvlLbl val="0"/>
      </c:catAx>
      <c:valAx>
        <c:axId val="1480812832"/>
        <c:scaling>
          <c:orientation val="minMax"/>
        </c:scaling>
        <c:delete val="1"/>
        <c:axPos val="l"/>
        <c:majorGridlines>
          <c:spPr>
            <a:ln w="9525" cap="flat" cmpd="sng" algn="ctr">
              <a:noFill/>
              <a:prstDash val="dashDot"/>
              <a:round/>
            </a:ln>
            <a:effectLst/>
          </c:spPr>
        </c:majorGridlines>
        <c:numFmt formatCode="#,##0.0" sourceLinked="1"/>
        <c:majorTickMark val="none"/>
        <c:minorTickMark val="none"/>
        <c:tickLblPos val="nextTo"/>
        <c:crossAx val="1480818240"/>
        <c:crosses val="autoZero"/>
        <c:crossBetween val="between"/>
      </c:valAx>
      <c:spPr>
        <a:noFill/>
        <a:ln>
          <a:noFill/>
        </a:ln>
        <a:effectLst/>
      </c:spPr>
    </c:plotArea>
    <c:legend>
      <c:legendPos val="b"/>
      <c:legendEntry>
        <c:idx val="5"/>
        <c:delete val="1"/>
      </c:legendEntry>
      <c:layout>
        <c:manualLayout>
          <c:xMode val="edge"/>
          <c:yMode val="edge"/>
          <c:x val="0.16817036269380847"/>
          <c:y val="0.92056446337618103"/>
          <c:w val="0.62001911128358556"/>
          <c:h val="5.9385208427893882E-2"/>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Century Gothic" panose="020B0502020202020204" pitchFamily="34" charset="0"/>
              <a:ea typeface="+mn-ea"/>
              <a:cs typeface="+mn-cs"/>
            </a:defRPr>
          </a:pPr>
          <a:endParaRPr lang="es-BO"/>
        </a:p>
      </c:txPr>
    </c:legend>
    <c:plotVisOnly val="1"/>
    <c:dispBlanksAs val="gap"/>
    <c:showDLblsOverMax val="0"/>
  </c:chart>
  <c:spPr>
    <a:noFill/>
    <a:ln w="9525" cap="flat" cmpd="sng" algn="ctr">
      <a:noFill/>
      <a:round/>
    </a:ln>
    <a:effectLst/>
  </c:spPr>
  <c:txPr>
    <a:bodyPr/>
    <a:lstStyle/>
    <a:p>
      <a:pPr>
        <a:defRPr sz="900">
          <a:solidFill>
            <a:sysClr val="windowText" lastClr="000000"/>
          </a:solidFill>
          <a:latin typeface="Century Gothic" panose="020B0502020202020204" pitchFamily="34" charset="0"/>
        </a:defRPr>
      </a:pPr>
      <a:endParaRPr lang="es-BO"/>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3909781708754404E-2"/>
          <c:y val="3.9891990773880545E-2"/>
          <c:w val="0.95277279941881032"/>
          <c:h val="0.71695354514252152"/>
        </c:manualLayout>
      </c:layout>
      <c:barChart>
        <c:barDir val="col"/>
        <c:grouping val="stacked"/>
        <c:varyColors val="0"/>
        <c:ser>
          <c:idx val="0"/>
          <c:order val="0"/>
          <c:tx>
            <c:strRef>
              <c:f>'2.13'!$B$4</c:f>
              <c:strCache>
                <c:ptCount val="1"/>
                <c:pt idx="0">
                  <c:v>GAD</c:v>
                </c:pt>
              </c:strCache>
            </c:strRef>
          </c:tx>
          <c:spPr>
            <a:solidFill>
              <a:schemeClr val="accent5">
                <a:lumMod val="50000"/>
              </a:schemeClr>
            </a:solidFill>
            <a:ln>
              <a:noFill/>
            </a:ln>
            <a:effectLst/>
          </c:spPr>
          <c:invertIfNegative val="0"/>
          <c:dLbls>
            <c:spPr>
              <a:noFill/>
              <a:ln>
                <a:noFill/>
              </a:ln>
              <a:effectLst/>
            </c:spPr>
            <c:txPr>
              <a:bodyPr rot="0" vert="horz"/>
              <a:lstStyle/>
              <a:p>
                <a:pPr algn="ctr">
                  <a:defRPr sz="900" b="0">
                    <a:solidFill>
                      <a:schemeClr val="bg1"/>
                    </a:solidFill>
                    <a:latin typeface="Century Gothic" panose="020B0502020202020204" pitchFamily="34" charset="0"/>
                  </a:defRPr>
                </a:pPr>
                <a:endParaRPr lang="es-BO"/>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'2.13'!$A$5:$A$6</c:f>
              <c:strCache>
                <c:ptCount val="2"/>
                <c:pt idx="0">
                  <c:v>PGE
2025</c:v>
                </c:pt>
                <c:pt idx="1">
                  <c:v>Proy PGE
2026</c:v>
                </c:pt>
              </c:strCache>
            </c:strRef>
          </c:cat>
          <c:val>
            <c:numRef>
              <c:f>'2.13'!$B$5:$B$6</c:f>
              <c:numCache>
                <c:formatCode>#,##0</c:formatCode>
                <c:ptCount val="2"/>
                <c:pt idx="0">
                  <c:v>3796.735803</c:v>
                </c:pt>
                <c:pt idx="1">
                  <c:v>3508.6532480000001</c:v>
                </c:pt>
              </c:numCache>
            </c:numRef>
          </c:val>
          <c:extLst>
            <c:ext xmlns:c16="http://schemas.microsoft.com/office/drawing/2014/chart" uri="{C3380CC4-5D6E-409C-BE32-E72D297353CC}">
              <c16:uniqueId val="{00000000-1CF2-423C-B301-F06D0E73798E}"/>
            </c:ext>
          </c:extLst>
        </c:ser>
        <c:ser>
          <c:idx val="1"/>
          <c:order val="1"/>
          <c:tx>
            <c:strRef>
              <c:f>'2.13'!$C$4</c:f>
              <c:strCache>
                <c:ptCount val="1"/>
                <c:pt idx="0">
                  <c:v>GAR</c:v>
                </c:pt>
              </c:strCache>
            </c:strRef>
          </c:tx>
          <c:spPr>
            <a:solidFill>
              <a:schemeClr val="accent2"/>
            </a:solidFill>
            <a:ln>
              <a:noFill/>
            </a:ln>
            <a:effectLst/>
          </c:spPr>
          <c:invertIfNegative val="0"/>
          <c:dLbls>
            <c:spPr>
              <a:noFill/>
              <a:ln>
                <a:noFill/>
              </a:ln>
              <a:effectLst/>
            </c:spPr>
            <c:txPr>
              <a:bodyPr rot="0" vert="horz"/>
              <a:lstStyle/>
              <a:p>
                <a:pPr algn="ctr">
                  <a:defRPr sz="900" b="0">
                    <a:solidFill>
                      <a:schemeClr val="bg1"/>
                    </a:solidFill>
                    <a:latin typeface="Century Gothic" panose="020B0502020202020204" pitchFamily="34" charset="0"/>
                  </a:defRPr>
                </a:pPr>
                <a:endParaRPr lang="es-BO"/>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'2.13'!$A$5:$A$6</c:f>
              <c:strCache>
                <c:ptCount val="2"/>
                <c:pt idx="0">
                  <c:v>PGE
2025</c:v>
                </c:pt>
                <c:pt idx="1">
                  <c:v>Proy PGE
2026</c:v>
                </c:pt>
              </c:strCache>
            </c:strRef>
          </c:cat>
          <c:val>
            <c:numRef>
              <c:f>'2.13'!$C$5:$C$6</c:f>
              <c:numCache>
                <c:formatCode>#,##0</c:formatCode>
                <c:ptCount val="2"/>
                <c:pt idx="0">
                  <c:v>305.599492</c:v>
                </c:pt>
                <c:pt idx="1">
                  <c:v>254.771638</c:v>
                </c:pt>
              </c:numCache>
            </c:numRef>
          </c:val>
          <c:extLst>
            <c:ext xmlns:c16="http://schemas.microsoft.com/office/drawing/2014/chart" uri="{C3380CC4-5D6E-409C-BE32-E72D297353CC}">
              <c16:uniqueId val="{00000001-1CF2-423C-B301-F06D0E73798E}"/>
            </c:ext>
          </c:extLst>
        </c:ser>
        <c:ser>
          <c:idx val="2"/>
          <c:order val="2"/>
          <c:tx>
            <c:strRef>
              <c:f>'2.13'!$D$4</c:f>
              <c:strCache>
                <c:ptCount val="1"/>
                <c:pt idx="0">
                  <c:v>GAM</c:v>
                </c:pt>
              </c:strCache>
            </c:strRef>
          </c:tx>
          <c:spPr>
            <a:solidFill>
              <a:schemeClr val="accent5"/>
            </a:solidFill>
            <a:ln>
              <a:noFill/>
            </a:ln>
            <a:effectLst/>
          </c:spPr>
          <c:invertIfNegative val="0"/>
          <c:dLbls>
            <c:spPr>
              <a:noFill/>
              <a:ln>
                <a:noFill/>
              </a:ln>
              <a:effectLst/>
            </c:spPr>
            <c:txPr>
              <a:bodyPr rot="0" vert="horz"/>
              <a:lstStyle/>
              <a:p>
                <a:pPr algn="ctr">
                  <a:defRPr sz="900" b="0">
                    <a:latin typeface="Century Gothic" panose="020B0502020202020204" pitchFamily="34" charset="0"/>
                  </a:defRPr>
                </a:pPr>
                <a:endParaRPr lang="es-BO"/>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'2.13'!$A$5:$A$6</c:f>
              <c:strCache>
                <c:ptCount val="2"/>
                <c:pt idx="0">
                  <c:v>PGE
2025</c:v>
                </c:pt>
                <c:pt idx="1">
                  <c:v>Proy PGE
2026</c:v>
                </c:pt>
              </c:strCache>
            </c:strRef>
          </c:cat>
          <c:val>
            <c:numRef>
              <c:f>'2.13'!$D$5:$D$6</c:f>
              <c:numCache>
                <c:formatCode>#,##0</c:formatCode>
                <c:ptCount val="2"/>
                <c:pt idx="0">
                  <c:v>10855.213742</c:v>
                </c:pt>
                <c:pt idx="1">
                  <c:v>11115.238719999999</c:v>
                </c:pt>
              </c:numCache>
            </c:numRef>
          </c:val>
          <c:extLst>
            <c:ext xmlns:c16="http://schemas.microsoft.com/office/drawing/2014/chart" uri="{C3380CC4-5D6E-409C-BE32-E72D297353CC}">
              <c16:uniqueId val="{00000002-1CF2-423C-B301-F06D0E73798E}"/>
            </c:ext>
          </c:extLst>
        </c:ser>
        <c:ser>
          <c:idx val="3"/>
          <c:order val="3"/>
          <c:tx>
            <c:strRef>
              <c:f>'2.13'!$E$4</c:f>
              <c:strCache>
                <c:ptCount val="1"/>
                <c:pt idx="0">
                  <c:v>GAIOC</c:v>
                </c:pt>
              </c:strCache>
            </c:strRef>
          </c:tx>
          <c:spPr>
            <a:solidFill>
              <a:schemeClr val="accent4"/>
            </a:solidFill>
            <a:ln>
              <a:noFill/>
            </a:ln>
            <a:effectLst/>
          </c:spPr>
          <c:invertIfNegative val="0"/>
          <c:dLbls>
            <c:spPr>
              <a:noFill/>
              <a:ln>
                <a:noFill/>
              </a:ln>
              <a:effectLst/>
            </c:spPr>
            <c:txPr>
              <a:bodyPr rot="0" vert="horz"/>
              <a:lstStyle/>
              <a:p>
                <a:pPr algn="ctr">
                  <a:defRPr sz="900" b="0">
                    <a:latin typeface="Century Gothic" panose="020B0502020202020204" pitchFamily="34" charset="0"/>
                  </a:defRPr>
                </a:pPr>
                <a:endParaRPr lang="es-BO"/>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'2.13'!$A$5:$A$6</c:f>
              <c:strCache>
                <c:ptCount val="2"/>
                <c:pt idx="0">
                  <c:v>PGE
2025</c:v>
                </c:pt>
                <c:pt idx="1">
                  <c:v>Proy PGE
2026</c:v>
                </c:pt>
              </c:strCache>
            </c:strRef>
          </c:cat>
          <c:val>
            <c:numRef>
              <c:f>'2.13'!$E$5:$E$6</c:f>
              <c:numCache>
                <c:formatCode>#,##0</c:formatCode>
                <c:ptCount val="2"/>
                <c:pt idx="0">
                  <c:v>88.191693999999998</c:v>
                </c:pt>
                <c:pt idx="1">
                  <c:v>91.069371000000004</c:v>
                </c:pt>
              </c:numCache>
            </c:numRef>
          </c:val>
          <c:extLst>
            <c:ext xmlns:c16="http://schemas.microsoft.com/office/drawing/2014/chart" uri="{C3380CC4-5D6E-409C-BE32-E72D297353CC}">
              <c16:uniqueId val="{00000003-1CF2-423C-B301-F06D0E73798E}"/>
            </c:ext>
          </c:extLst>
        </c:ser>
        <c:ser>
          <c:idx val="4"/>
          <c:order val="4"/>
          <c:tx>
            <c:strRef>
              <c:f>'2.13'!$F$4</c:f>
              <c:strCache>
                <c:ptCount val="1"/>
                <c:pt idx="0">
                  <c:v>UPA</c:v>
                </c:pt>
              </c:strCache>
            </c:strRef>
          </c:tx>
          <c:spPr>
            <a:solidFill>
              <a:schemeClr val="accent3">
                <a:lumMod val="60000"/>
                <a:lumOff val="40000"/>
              </a:schemeClr>
            </a:solidFill>
            <a:ln>
              <a:noFill/>
            </a:ln>
            <a:effectLst/>
          </c:spPr>
          <c:invertIfNegative val="0"/>
          <c:dLbls>
            <c:spPr>
              <a:noFill/>
              <a:ln>
                <a:noFill/>
              </a:ln>
              <a:effectLst/>
            </c:spPr>
            <c:txPr>
              <a:bodyPr rot="0" vert="horz"/>
              <a:lstStyle/>
              <a:p>
                <a:pPr>
                  <a:defRPr sz="900" b="0">
                    <a:latin typeface="Century Gothic" panose="020B0502020202020204" pitchFamily="34" charset="0"/>
                  </a:defRPr>
                </a:pPr>
                <a:endParaRPr lang="es-BO"/>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'2.13'!$A$5:$A$6</c:f>
              <c:strCache>
                <c:ptCount val="2"/>
                <c:pt idx="0">
                  <c:v>PGE
2025</c:v>
                </c:pt>
                <c:pt idx="1">
                  <c:v>Proy PGE
2026</c:v>
                </c:pt>
              </c:strCache>
            </c:strRef>
          </c:cat>
          <c:val>
            <c:numRef>
              <c:f>'2.13'!$F$5:$F$6</c:f>
              <c:numCache>
                <c:formatCode>#,##0</c:formatCode>
                <c:ptCount val="2"/>
                <c:pt idx="0">
                  <c:v>4195.040927</c:v>
                </c:pt>
                <c:pt idx="1">
                  <c:v>4345.2217389999996</c:v>
                </c:pt>
              </c:numCache>
            </c:numRef>
          </c:val>
          <c:extLst>
            <c:ext xmlns:c16="http://schemas.microsoft.com/office/drawing/2014/chart" uri="{C3380CC4-5D6E-409C-BE32-E72D297353CC}">
              <c16:uniqueId val="{00000004-1CF2-423C-B301-F06D0E73798E}"/>
            </c:ext>
          </c:extLst>
        </c:ser>
        <c:dLbls>
          <c:showLegendKey val="0"/>
          <c:showVal val="0"/>
          <c:showCatName val="0"/>
          <c:showSerName val="0"/>
          <c:showPercent val="0"/>
          <c:showBubbleSize val="0"/>
        </c:dLbls>
        <c:gapWidth val="60"/>
        <c:overlap val="100"/>
        <c:axId val="1480818240"/>
        <c:axId val="1480812832"/>
      </c:barChart>
      <c:lineChart>
        <c:grouping val="standard"/>
        <c:varyColors val="0"/>
        <c:ser>
          <c:idx val="5"/>
          <c:order val="5"/>
          <c:tx>
            <c:strRef>
              <c:f>'2.13'!$G$4</c:f>
              <c:strCache>
                <c:ptCount val="1"/>
                <c:pt idx="0">
                  <c:v>Total general</c:v>
                </c:pt>
              </c:strCache>
            </c:strRef>
          </c:tx>
          <c:spPr>
            <a:ln w="28575" cap="rnd">
              <a:noFill/>
              <a:round/>
            </a:ln>
            <a:effectLst/>
          </c:spPr>
          <c:marker>
            <c:symbol val="none"/>
          </c:marker>
          <c:dLbls>
            <c:dLbl>
              <c:idx val="0"/>
              <c:spPr>
                <a:noFill/>
                <a:ln w="6350">
                  <a:solidFill>
                    <a:schemeClr val="tx1"/>
                  </a:solidFill>
                  <a:prstDash val="dash"/>
                </a:ln>
                <a:effectLst/>
              </c:spPr>
              <c:txPr>
                <a:bodyPr rot="0" vert="horz"/>
                <a:lstStyle/>
                <a:p>
                  <a:pPr>
                    <a:defRPr sz="1000" b="0">
                      <a:latin typeface="Century Gothic" panose="020B0502020202020204" pitchFamily="34" charset="0"/>
                    </a:defRPr>
                  </a:pPr>
                  <a:endParaRPr lang="es-BO"/>
                </a:p>
              </c:txPr>
              <c:dLblPos val="t"/>
              <c:showLegendKey val="0"/>
              <c:showVal val="1"/>
              <c:showCatName val="0"/>
              <c:showSerName val="0"/>
              <c:showPercent val="0"/>
              <c:showBubbleSize val="0"/>
              <c:extLst>
                <c:ext xmlns:c16="http://schemas.microsoft.com/office/drawing/2014/chart" uri="{C3380CC4-5D6E-409C-BE32-E72D297353CC}">
                  <c16:uniqueId val="{00000005-1CF2-423C-B301-F06D0E73798E}"/>
                </c:ext>
              </c:extLst>
            </c:dLbl>
            <c:dLbl>
              <c:idx val="1"/>
              <c:spPr>
                <a:noFill/>
                <a:ln w="6350">
                  <a:solidFill>
                    <a:schemeClr val="tx1"/>
                  </a:solidFill>
                  <a:prstDash val="dash"/>
                </a:ln>
                <a:effectLst/>
              </c:spPr>
              <c:txPr>
                <a:bodyPr rot="0" vert="horz"/>
                <a:lstStyle/>
                <a:p>
                  <a:pPr>
                    <a:defRPr sz="1000" b="0">
                      <a:latin typeface="Century Gothic" panose="020B0502020202020204" pitchFamily="34" charset="0"/>
                    </a:defRPr>
                  </a:pPr>
                  <a:endParaRPr lang="es-BO"/>
                </a:p>
              </c:txPr>
              <c:dLblPos val="t"/>
              <c:showLegendKey val="0"/>
              <c:showVal val="1"/>
              <c:showCatName val="0"/>
              <c:showSerName val="0"/>
              <c:showPercent val="0"/>
              <c:showBubbleSize val="0"/>
              <c:extLst>
                <c:ext xmlns:c16="http://schemas.microsoft.com/office/drawing/2014/chart" uri="{C3380CC4-5D6E-409C-BE32-E72D297353CC}">
                  <c16:uniqueId val="{00000006-1CF2-423C-B301-F06D0E73798E}"/>
                </c:ext>
              </c:extLst>
            </c:dLbl>
            <c:spPr>
              <a:noFill/>
              <a:ln w="6350">
                <a:solidFill>
                  <a:schemeClr val="tx1"/>
                </a:solidFill>
                <a:prstDash val="dash"/>
              </a:ln>
              <a:effectLst/>
            </c:spPr>
            <c:txPr>
              <a:bodyPr rot="0" vert="horz"/>
              <a:lstStyle/>
              <a:p>
                <a:pPr>
                  <a:defRPr sz="1000" b="1">
                    <a:latin typeface="Century Gothic" panose="020B0502020202020204" pitchFamily="34" charset="0"/>
                  </a:defRPr>
                </a:pPr>
                <a:endParaRPr lang="es-BO"/>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'2.13'!$A$5:$A$6</c:f>
              <c:strCache>
                <c:ptCount val="2"/>
                <c:pt idx="0">
                  <c:v>PGE
2025</c:v>
                </c:pt>
                <c:pt idx="1">
                  <c:v>Proy PGE
2026</c:v>
                </c:pt>
              </c:strCache>
            </c:strRef>
          </c:cat>
          <c:val>
            <c:numRef>
              <c:f>'2.13'!$G$5:$G$6</c:f>
              <c:numCache>
                <c:formatCode>#,##0</c:formatCode>
                <c:ptCount val="2"/>
                <c:pt idx="0">
                  <c:v>19240.781658</c:v>
                </c:pt>
                <c:pt idx="1">
                  <c:v>19314.954716</c:v>
                </c:pt>
              </c:numCache>
            </c:numRef>
          </c:val>
          <c:smooth val="0"/>
          <c:extLst>
            <c:ext xmlns:c16="http://schemas.microsoft.com/office/drawing/2014/chart" uri="{C3380CC4-5D6E-409C-BE32-E72D297353CC}">
              <c16:uniqueId val="{00000007-1CF2-423C-B301-F06D0E73798E}"/>
            </c:ext>
          </c:extLst>
        </c:ser>
        <c:dLbls>
          <c:showLegendKey val="0"/>
          <c:showVal val="0"/>
          <c:showCatName val="0"/>
          <c:showSerName val="0"/>
          <c:showPercent val="0"/>
          <c:showBubbleSize val="0"/>
        </c:dLbls>
        <c:marker val="1"/>
        <c:smooth val="0"/>
        <c:axId val="1480818240"/>
        <c:axId val="1480812832"/>
      </c:lineChart>
      <c:catAx>
        <c:axId val="1480818240"/>
        <c:scaling>
          <c:orientation val="minMax"/>
        </c:scaling>
        <c:delete val="0"/>
        <c:axPos val="b"/>
        <c:numFmt formatCode="General" sourceLinked="1"/>
        <c:majorTickMark val="in"/>
        <c:minorTickMark val="none"/>
        <c:tickLblPos val="nextTo"/>
        <c:spPr>
          <a:noFill/>
          <a:ln w="6350" cap="flat" cmpd="sng" algn="ctr">
            <a:solidFill>
              <a:schemeClr val="tx1"/>
            </a:solidFill>
            <a:round/>
          </a:ln>
          <a:effectLst/>
        </c:spPr>
        <c:txPr>
          <a:bodyPr rot="-60000000" vert="horz"/>
          <a:lstStyle/>
          <a:p>
            <a:pPr>
              <a:defRPr sz="1100">
                <a:latin typeface="Century Gothic" panose="020B0502020202020204" pitchFamily="34" charset="0"/>
              </a:defRPr>
            </a:pPr>
            <a:endParaRPr lang="es-BO"/>
          </a:p>
        </c:txPr>
        <c:crossAx val="1480812832"/>
        <c:crosses val="autoZero"/>
        <c:auto val="1"/>
        <c:lblAlgn val="ctr"/>
        <c:lblOffset val="100"/>
        <c:noMultiLvlLbl val="0"/>
      </c:catAx>
      <c:valAx>
        <c:axId val="1480812832"/>
        <c:scaling>
          <c:orientation val="minMax"/>
        </c:scaling>
        <c:delete val="1"/>
        <c:axPos val="l"/>
        <c:majorGridlines>
          <c:spPr>
            <a:ln w="9525" cap="flat" cmpd="sng" algn="ctr">
              <a:noFill/>
              <a:prstDash val="dashDot"/>
              <a:round/>
            </a:ln>
            <a:effectLst/>
          </c:spPr>
        </c:majorGridlines>
        <c:numFmt formatCode="#,##0" sourceLinked="1"/>
        <c:majorTickMark val="none"/>
        <c:minorTickMark val="none"/>
        <c:tickLblPos val="nextTo"/>
        <c:crossAx val="1480818240"/>
        <c:crosses val="autoZero"/>
        <c:crossBetween val="between"/>
      </c:valAx>
    </c:plotArea>
    <c:legend>
      <c:legendPos val="b"/>
      <c:legendEntry>
        <c:idx val="5"/>
        <c:delete val="1"/>
      </c:legendEntry>
      <c:layout>
        <c:manualLayout>
          <c:xMode val="edge"/>
          <c:yMode val="edge"/>
          <c:x val="7.7693698960483781E-2"/>
          <c:y val="0.93921259842519689"/>
          <c:w val="0.81800829420684362"/>
          <c:h val="5.9385208427893882E-2"/>
        </c:manualLayout>
      </c:layout>
      <c:overlay val="0"/>
      <c:spPr>
        <a:noFill/>
        <a:ln>
          <a:noFill/>
        </a:ln>
        <a:effectLst/>
      </c:spPr>
      <c:txPr>
        <a:bodyPr rot="0" vert="horz"/>
        <a:lstStyle/>
        <a:p>
          <a:pPr>
            <a:defRPr sz="1050">
              <a:latin typeface="Century Gothic" panose="020B0502020202020204" pitchFamily="34" charset="0"/>
            </a:defRPr>
          </a:pPr>
          <a:endParaRPr lang="es-BO"/>
        </a:p>
      </c:txPr>
    </c:legend>
    <c:plotVisOnly val="1"/>
    <c:dispBlanksAs val="gap"/>
    <c:showDLblsOverMax val="0"/>
  </c:chart>
  <c:spPr>
    <a:noFill/>
    <a:ln w="9525" cap="flat" cmpd="sng" algn="ctr">
      <a:noFill/>
      <a:round/>
    </a:ln>
    <a:effectLst/>
  </c:spPr>
  <c:txPr>
    <a:bodyPr/>
    <a:lstStyle/>
    <a:p>
      <a:pPr>
        <a:defRPr sz="1200">
          <a:solidFill>
            <a:sysClr val="windowText" lastClr="000000"/>
          </a:solidFill>
          <a:latin typeface="Arial" panose="020B0604020202020204" pitchFamily="34" charset="0"/>
          <a:cs typeface="Arial" panose="020B0604020202020204" pitchFamily="34" charset="0"/>
        </a:defRPr>
      </a:pPr>
      <a:endParaRPr lang="es-BO"/>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'2.5'!$B$4</c:f>
              <c:strCache>
                <c:ptCount val="1"/>
                <c:pt idx="0">
                  <c:v>2027 (P)</c:v>
                </c:pt>
              </c:strCache>
            </c:strRef>
          </c:tx>
          <c:spPr>
            <a:ln>
              <a:prstDash val="solid"/>
            </a:ln>
          </c:spPr>
          <c:dPt>
            <c:idx val="0"/>
            <c:bubble3D val="0"/>
            <c:spPr>
              <a:solidFill>
                <a:srgbClr val="808000"/>
              </a:solidFill>
              <a:ln>
                <a:solidFill>
                  <a:srgbClr val="FFFFFF"/>
                </a:solidFill>
                <a:prstDash val="solid"/>
              </a:ln>
            </c:spPr>
            <c:extLst>
              <c:ext xmlns:c16="http://schemas.microsoft.com/office/drawing/2014/chart" uri="{C3380CC4-5D6E-409C-BE32-E72D297353CC}">
                <c16:uniqueId val="{00000001-1E41-420C-AAF9-EC9477A58804}"/>
              </c:ext>
            </c:extLst>
          </c:dPt>
          <c:dPt>
            <c:idx val="1"/>
            <c:bubble3D val="0"/>
            <c:spPr>
              <a:solidFill>
                <a:srgbClr val="FFA500"/>
              </a:solidFill>
              <a:ln>
                <a:solidFill>
                  <a:srgbClr val="FFFFFF"/>
                </a:solidFill>
                <a:prstDash val="solid"/>
              </a:ln>
            </c:spPr>
            <c:extLst>
              <c:ext xmlns:c16="http://schemas.microsoft.com/office/drawing/2014/chart" uri="{C3380CC4-5D6E-409C-BE32-E72D297353CC}">
                <c16:uniqueId val="{00000003-1E41-420C-AAF9-EC9477A58804}"/>
              </c:ext>
            </c:extLst>
          </c:dPt>
          <c:dPt>
            <c:idx val="2"/>
            <c:bubble3D val="0"/>
            <c:spPr>
              <a:solidFill>
                <a:srgbClr val="7F9AA0"/>
              </a:solidFill>
              <a:ln>
                <a:solidFill>
                  <a:srgbClr val="FFFFFF"/>
                </a:solidFill>
                <a:prstDash val="solid"/>
              </a:ln>
            </c:spPr>
            <c:extLst>
              <c:ext xmlns:c16="http://schemas.microsoft.com/office/drawing/2014/chart" uri="{C3380CC4-5D6E-409C-BE32-E72D297353CC}">
                <c16:uniqueId val="{00000005-1E41-420C-AAF9-EC9477A58804}"/>
              </c:ext>
            </c:extLst>
          </c:dPt>
          <c:dPt>
            <c:idx val="3"/>
            <c:bubble3D val="0"/>
            <c:spPr>
              <a:solidFill>
                <a:srgbClr val="8B2340"/>
              </a:solidFill>
              <a:ln>
                <a:solidFill>
                  <a:srgbClr val="FFFFFF"/>
                </a:solidFill>
                <a:prstDash val="solid"/>
              </a:ln>
            </c:spPr>
            <c:extLst>
              <c:ext xmlns:c16="http://schemas.microsoft.com/office/drawing/2014/chart" uri="{C3380CC4-5D6E-409C-BE32-E72D297353CC}">
                <c16:uniqueId val="{00000007-1E41-420C-AAF9-EC9477A58804}"/>
              </c:ext>
            </c:extLst>
          </c:dPt>
          <c:dPt>
            <c:idx val="4"/>
            <c:bubble3D val="0"/>
            <c:spPr>
              <a:solidFill>
                <a:srgbClr val="0B3A6E"/>
              </a:solidFill>
              <a:ln>
                <a:solidFill>
                  <a:srgbClr val="FFFFFF"/>
                </a:solidFill>
                <a:prstDash val="solid"/>
              </a:ln>
            </c:spPr>
            <c:extLst>
              <c:ext xmlns:c16="http://schemas.microsoft.com/office/drawing/2014/chart" uri="{C3380CC4-5D6E-409C-BE32-E72D297353CC}">
                <c16:uniqueId val="{00000009-1E41-420C-AAF9-EC9477A58804}"/>
              </c:ext>
            </c:extLst>
          </c:dPt>
          <c:dPt>
            <c:idx val="5"/>
            <c:bubble3D val="0"/>
            <c:spPr>
              <a:solidFill>
                <a:srgbClr val="8E6C78"/>
              </a:solidFill>
              <a:ln>
                <a:solidFill>
                  <a:srgbClr val="FFFFFF"/>
                </a:solidFill>
                <a:prstDash val="solid"/>
              </a:ln>
            </c:spPr>
            <c:extLst>
              <c:ext xmlns:c16="http://schemas.microsoft.com/office/drawing/2014/chart" uri="{C3380CC4-5D6E-409C-BE32-E72D297353CC}">
                <c16:uniqueId val="{0000000B-1E41-420C-AAF9-EC9477A58804}"/>
              </c:ext>
            </c:extLst>
          </c:dPt>
          <c:dLbls>
            <c:spPr>
              <a:noFill/>
              <a:ln>
                <a:noFill/>
              </a:ln>
              <a:effectLst/>
            </c:spPr>
            <c:txPr>
              <a:bodyPr wrap="square" lIns="38100" tIns="19050" rIns="38100" bIns="19050" anchor="ctr">
                <a:spAutoFit/>
              </a:bodyPr>
              <a:lstStyle/>
              <a:p>
                <a:pPr>
                  <a:defRPr b="1">
                    <a:solidFill>
                      <a:schemeClr val="bg1"/>
                    </a:solidFill>
                    <a:latin typeface="Century Gothic" panose="020B0502020202020204" pitchFamily="34" charset="0"/>
                  </a:defRPr>
                </a:pPr>
                <a:endParaRPr lang="es-BO"/>
              </a:p>
            </c:txPr>
            <c:showLegendKey val="0"/>
            <c:showVal val="1"/>
            <c:showCatName val="0"/>
            <c:showSerName val="0"/>
            <c:showPercent val="1"/>
            <c:showBubbleSize val="1"/>
            <c:separator>
</c:separator>
            <c:showLeaderLines val="1"/>
            <c:extLst>
              <c:ext xmlns:c15="http://schemas.microsoft.com/office/drawing/2012/chart" uri="{CE6537A1-D6FC-4f65-9D91-7224C49458BB}"/>
            </c:extLst>
          </c:dLbls>
          <c:cat>
            <c:strRef>
              <c:f>'2.5'!$A$5:$A$10</c:f>
              <c:strCache>
                <c:ptCount val="6"/>
                <c:pt idx="0">
                  <c:v>GA</c:v>
                </c:pt>
                <c:pt idx="1">
                  <c:v>IVA M</c:v>
                </c:pt>
                <c:pt idx="2">
                  <c:v>IT</c:v>
                </c:pt>
                <c:pt idx="3">
                  <c:v>IVA MI</c:v>
                </c:pt>
                <c:pt idx="4">
                  <c:v>IUE</c:v>
                </c:pt>
                <c:pt idx="5">
                  <c:v>RESTO</c:v>
                </c:pt>
              </c:strCache>
            </c:strRef>
          </c:cat>
          <c:val>
            <c:numRef>
              <c:f>'2.5'!$B$5:$B$10</c:f>
              <c:numCache>
                <c:formatCode>#,##0</c:formatCode>
                <c:ptCount val="6"/>
                <c:pt idx="0">
                  <c:v>2673.5737279999998</c:v>
                </c:pt>
                <c:pt idx="1">
                  <c:v>10145.559062</c:v>
                </c:pt>
                <c:pt idx="2">
                  <c:v>7959.2740599999997</c:v>
                </c:pt>
                <c:pt idx="3">
                  <c:v>14859.219564999999</c:v>
                </c:pt>
                <c:pt idx="4">
                  <c:v>14507.903215</c:v>
                </c:pt>
                <c:pt idx="5">
                  <c:v>11054.630315</c:v>
                </c:pt>
              </c:numCache>
            </c:numRef>
          </c:val>
          <c:extLst>
            <c:ext xmlns:c16="http://schemas.microsoft.com/office/drawing/2014/chart" uri="{C3380CC4-5D6E-409C-BE32-E72D297353CC}">
              <c16:uniqueId val="{0000000C-1E41-420C-AAF9-EC9477A58804}"/>
            </c:ext>
          </c:extLst>
        </c:ser>
        <c:dLbls>
          <c:showLegendKey val="0"/>
          <c:showVal val="0"/>
          <c:showCatName val="0"/>
          <c:showSerName val="0"/>
          <c:showPercent val="0"/>
          <c:showBubbleSize val="0"/>
          <c:showLeaderLines val="1"/>
        </c:dLbls>
        <c:firstSliceAng val="0"/>
      </c:pieChart>
    </c:plotArea>
    <c:legend>
      <c:legendPos val="b"/>
      <c:overlay val="1"/>
      <c:txPr>
        <a:bodyPr/>
        <a:lstStyle/>
        <a:p>
          <a:pPr>
            <a:defRPr>
              <a:latin typeface="Century Gothic" panose="020B0502020202020204" pitchFamily="34" charset="0"/>
            </a:defRPr>
          </a:pPr>
          <a:endParaRPr lang="es-BO"/>
        </a:p>
      </c:txPr>
    </c:legend>
    <c:plotVisOnly val="1"/>
    <c:dispBlanksAs val="gap"/>
    <c:showDLblsOverMax val="1"/>
  </c:chart>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strRef>
          <c:f>'PGE 27'!$G$100</c:f>
          <c:strCache>
            <c:ptCount val="1"/>
            <c:pt idx="0">
              <c:v>Presupuesto Total: Bs 57.987,9 millones</c:v>
            </c:pt>
          </c:strCache>
        </c:strRef>
      </c:tx>
      <c:layout>
        <c:manualLayout>
          <c:xMode val="edge"/>
          <c:yMode val="edge"/>
          <c:x val="0.24739660637468239"/>
          <c:y val="3.6136892700559059E-2"/>
        </c:manualLayout>
      </c:layout>
      <c:overlay val="0"/>
      <c:spPr>
        <a:noFill/>
        <a:ln>
          <a:noFill/>
        </a:ln>
        <a:effectLst/>
      </c:spPr>
      <c:txPr>
        <a:bodyPr rot="0" spcFirstLastPara="1" vertOverflow="ellipsis" vert="horz" wrap="square" anchor="ctr" anchorCtr="1"/>
        <a:lstStyle/>
        <a:p>
          <a:pPr>
            <a:defRPr sz="900" b="1" i="1" u="sng" strike="noStrike" kern="1200" spc="0" baseline="0">
              <a:solidFill>
                <a:srgbClr val="000000"/>
              </a:solidFill>
              <a:latin typeface="+mn-lt"/>
              <a:ea typeface="+mn-ea"/>
              <a:cs typeface="+mn-cs"/>
            </a:defRPr>
          </a:pPr>
          <a:endParaRPr lang="es-BO"/>
        </a:p>
      </c:txPr>
    </c:title>
    <c:autoTitleDeleted val="0"/>
    <c:plotArea>
      <c:layout>
        <c:manualLayout>
          <c:layoutTarget val="inner"/>
          <c:xMode val="edge"/>
          <c:yMode val="edge"/>
          <c:x val="0.19850249370559842"/>
          <c:y val="0.16051848160599477"/>
          <c:w val="0.79792773866606792"/>
          <c:h val="0.71454043349450913"/>
        </c:manualLayout>
      </c:layout>
      <c:pieChart>
        <c:varyColors val="1"/>
        <c:ser>
          <c:idx val="0"/>
          <c:order val="0"/>
          <c:explosion val="2"/>
          <c:dPt>
            <c:idx val="0"/>
            <c:bubble3D val="0"/>
            <c:spPr>
              <a:solidFill>
                <a:srgbClr val="375623"/>
              </a:solidFill>
              <a:ln w="25400">
                <a:solidFill>
                  <a:srgbClr val="FFFFFF"/>
                </a:solidFill>
                <a:prstDash val="solid"/>
              </a:ln>
              <a:effectLst/>
            </c:spPr>
            <c:extLst>
              <c:ext xmlns:c16="http://schemas.microsoft.com/office/drawing/2014/chart" uri="{C3380CC4-5D6E-409C-BE32-E72D297353CC}">
                <c16:uniqueId val="{00000001-4069-40CD-849F-7BA923E26DBD}"/>
              </c:ext>
            </c:extLst>
          </c:dPt>
          <c:dPt>
            <c:idx val="1"/>
            <c:bubble3D val="0"/>
            <c:spPr>
              <a:solidFill>
                <a:srgbClr val="548235"/>
              </a:solidFill>
              <a:ln w="25400">
                <a:solidFill>
                  <a:srgbClr val="FFFFFF"/>
                </a:solidFill>
                <a:prstDash val="solid"/>
              </a:ln>
              <a:effectLst/>
            </c:spPr>
            <c:extLst>
              <c:ext xmlns:c16="http://schemas.microsoft.com/office/drawing/2014/chart" uri="{C3380CC4-5D6E-409C-BE32-E72D297353CC}">
                <c16:uniqueId val="{00000003-4069-40CD-849F-7BA923E26DBD}"/>
              </c:ext>
            </c:extLst>
          </c:dPt>
          <c:dPt>
            <c:idx val="2"/>
            <c:bubble3D val="0"/>
            <c:spPr>
              <a:solidFill>
                <a:srgbClr val="A9D18E"/>
              </a:solidFill>
              <a:ln w="25400">
                <a:solidFill>
                  <a:srgbClr val="FFFFFF"/>
                </a:solidFill>
                <a:prstDash val="solid"/>
              </a:ln>
              <a:effectLst/>
            </c:spPr>
            <c:extLst>
              <c:ext xmlns:c16="http://schemas.microsoft.com/office/drawing/2014/chart" uri="{C3380CC4-5D6E-409C-BE32-E72D297353CC}">
                <c16:uniqueId val="{00000005-4069-40CD-849F-7BA923E26DBD}"/>
              </c:ext>
            </c:extLst>
          </c:dPt>
          <c:dPt>
            <c:idx val="3"/>
            <c:bubble3D val="0"/>
            <c:spPr>
              <a:solidFill>
                <a:srgbClr val="E2EFDA"/>
              </a:solidFill>
              <a:ln w="25400">
                <a:solidFill>
                  <a:srgbClr val="FFFFFF"/>
                </a:solidFill>
                <a:prstDash val="solid"/>
              </a:ln>
              <a:effectLst/>
            </c:spPr>
            <c:extLst>
              <c:ext xmlns:c16="http://schemas.microsoft.com/office/drawing/2014/chart" uri="{C3380CC4-5D6E-409C-BE32-E72D297353CC}">
                <c16:uniqueId val="{00000007-4069-40CD-849F-7BA923E26DBD}"/>
              </c:ext>
            </c:extLst>
          </c:dPt>
          <c:dPt>
            <c:idx val="4"/>
            <c:bubble3D val="0"/>
            <c:spPr>
              <a:solidFill>
                <a:srgbClr val="9DC3E6"/>
              </a:solidFill>
              <a:ln w="25400">
                <a:solidFill>
                  <a:srgbClr val="FFFFFF"/>
                </a:solidFill>
                <a:prstDash val="solid"/>
              </a:ln>
              <a:effectLst/>
            </c:spPr>
            <c:extLst>
              <c:ext xmlns:c16="http://schemas.microsoft.com/office/drawing/2014/chart" uri="{C3380CC4-5D6E-409C-BE32-E72D297353CC}">
                <c16:uniqueId val="{00000009-4069-40CD-849F-7BA923E26DBD}"/>
              </c:ext>
            </c:extLst>
          </c:dPt>
          <c:dPt>
            <c:idx val="5"/>
            <c:bubble3D val="0"/>
            <c:spPr>
              <a:solidFill>
                <a:srgbClr val="FFFFFF"/>
              </a:solidFill>
              <a:ln w="25400">
                <a:solidFill>
                  <a:srgbClr val="FFFFFF"/>
                </a:solidFill>
                <a:prstDash val="solid"/>
              </a:ln>
              <a:effectLst/>
            </c:spPr>
            <c:extLst>
              <c:ext xmlns:c16="http://schemas.microsoft.com/office/drawing/2014/chart" uri="{C3380CC4-5D6E-409C-BE32-E72D297353CC}">
                <c16:uniqueId val="{0000000B-4069-40CD-849F-7BA923E26DBD}"/>
              </c:ext>
            </c:extLst>
          </c:dPt>
          <c:dLbls>
            <c:dLbl>
              <c:idx val="0"/>
              <c:layout>
                <c:manualLayout>
                  <c:x val="-9.4947918354782876E-2"/>
                  <c:y val="0.13538003642945023"/>
                </c:manualLayout>
              </c:layout>
              <c:spPr>
                <a:noFill/>
                <a:ln>
                  <a:noFill/>
                  <a:prstDash val="solid"/>
                </a:ln>
                <a:effectLst/>
              </c:spPr>
              <c:txPr>
                <a:bodyPr rot="0" spcFirstLastPara="1" vertOverflow="ellipsis" vert="horz" wrap="square" lIns="38100" tIns="19050" rIns="38100" bIns="19050" anchor="ctr" anchorCtr="1">
                  <a:spAutoFit/>
                </a:bodyPr>
                <a:lstStyle/>
                <a:p>
                  <a:pPr>
                    <a:defRPr sz="1200" b="1" i="0" u="none" strike="noStrike" kern="1200" baseline="0">
                      <a:solidFill>
                        <a:srgbClr val="FFFFFF"/>
                      </a:solidFill>
                      <a:latin typeface="Calibri"/>
                      <a:ea typeface="Calibri"/>
                      <a:cs typeface="Calibri"/>
                    </a:defRPr>
                  </a:pPr>
                  <a:endParaRPr lang="es-BO"/>
                </a:p>
              </c:txPr>
              <c:showLegendKey val="0"/>
              <c:showVal val="0"/>
              <c:showCatName val="1"/>
              <c:showSerName val="0"/>
              <c:showPercent val="0"/>
              <c:showBubbleSize val="0"/>
              <c:extLst>
                <c:ext xmlns:c15="http://schemas.microsoft.com/office/drawing/2012/chart" uri="{CE6537A1-D6FC-4f65-9D91-7224C49458BB}">
                  <c15:layout>
                    <c:manualLayout>
                      <c:w val="0.28058023662618869"/>
                      <c:h val="0.26168220907870388"/>
                    </c:manualLayout>
                  </c15:layout>
                </c:ext>
                <c:ext xmlns:c16="http://schemas.microsoft.com/office/drawing/2014/chart" uri="{C3380CC4-5D6E-409C-BE32-E72D297353CC}">
                  <c16:uniqueId val="{00000001-4069-40CD-849F-7BA923E26DBD}"/>
                </c:ext>
              </c:extLst>
            </c:dLbl>
            <c:dLbl>
              <c:idx val="1"/>
              <c:layout>
                <c:manualLayout>
                  <c:x val="-3.3629028200548423E-2"/>
                  <c:y val="-5.1505799601057528E-2"/>
                </c:manualLayout>
              </c:layout>
              <c:spPr>
                <a:solidFill>
                  <a:schemeClr val="accent6">
                    <a:lumMod val="75000"/>
                  </a:schemeClr>
                </a:solidFill>
                <a:ln>
                  <a:solidFill>
                    <a:sysClr val="windowText" lastClr="000000"/>
                  </a:solidFill>
                  <a:prstDash val="solid"/>
                </a:ln>
                <a:effectLst/>
              </c:spPr>
              <c:txPr>
                <a:bodyPr rot="0" spcFirstLastPara="1" vertOverflow="ellipsis" vert="horz" wrap="square" lIns="38100" tIns="19050" rIns="38100" bIns="19050" anchor="ctr" anchorCtr="1">
                  <a:spAutoFit/>
                </a:bodyPr>
                <a:lstStyle/>
                <a:p>
                  <a:pPr>
                    <a:defRPr sz="600" b="1" i="0" u="none" strike="noStrike" kern="1200" baseline="0">
                      <a:solidFill>
                        <a:srgbClr val="FFFFFF"/>
                      </a:solidFill>
                      <a:latin typeface="Calibri"/>
                      <a:ea typeface="Calibri"/>
                      <a:cs typeface="Calibri"/>
                    </a:defRPr>
                  </a:pPr>
                  <a:endParaRPr lang="es-BO"/>
                </a:p>
              </c:txPr>
              <c:showLegendKey val="0"/>
              <c:showVal val="0"/>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3-4069-40CD-849F-7BA923E26DBD}"/>
                </c:ext>
              </c:extLst>
            </c:dLbl>
            <c:dLbl>
              <c:idx val="2"/>
              <c:layout>
                <c:manualLayout>
                  <c:x val="6.3723239666926617E-3"/>
                  <c:y val="-7.8997215444732496E-3"/>
                </c:manualLayout>
              </c:layout>
              <c:spPr>
                <a:solidFill>
                  <a:schemeClr val="accent6">
                    <a:lumMod val="40000"/>
                    <a:lumOff val="60000"/>
                  </a:schemeClr>
                </a:solidFill>
                <a:ln>
                  <a:solidFill>
                    <a:schemeClr val="accent6">
                      <a:lumMod val="50000"/>
                    </a:schemeClr>
                  </a:solidFill>
                </a:ln>
                <a:effectLst/>
              </c:spPr>
              <c:txPr>
                <a:bodyPr rot="0" spcFirstLastPara="1" vertOverflow="ellipsis" vert="horz" wrap="square" lIns="38100" tIns="19050" rIns="38100" bIns="19050" anchor="ctr" anchorCtr="1">
                  <a:spAutoFit/>
                </a:bodyPr>
                <a:lstStyle/>
                <a:p>
                  <a:pPr>
                    <a:defRPr sz="500" b="1" i="0" u="none" strike="noStrike" kern="1200" baseline="0">
                      <a:solidFill>
                        <a:srgbClr val="000000"/>
                      </a:solidFill>
                      <a:latin typeface="Calibri"/>
                      <a:ea typeface="Calibri"/>
                      <a:cs typeface="Calibri"/>
                    </a:defRPr>
                  </a:pPr>
                  <a:endParaRPr lang="es-BO"/>
                </a:p>
              </c:txPr>
              <c:showLegendKey val="0"/>
              <c:showVal val="0"/>
              <c:showCatName val="1"/>
              <c:showSerName val="0"/>
              <c:showPercent val="0"/>
              <c:showBubbleSize val="0"/>
              <c:extLst>
                <c:ext xmlns:c15="http://schemas.microsoft.com/office/drawing/2012/chart" uri="{CE6537A1-D6FC-4f65-9D91-7224C49458BB}">
                  <c15:layout>
                    <c:manualLayout>
                      <c:w val="0.18124040904631325"/>
                      <c:h val="0.11648258539996925"/>
                    </c:manualLayout>
                  </c15:layout>
                </c:ext>
                <c:ext xmlns:c16="http://schemas.microsoft.com/office/drawing/2014/chart" uri="{C3380CC4-5D6E-409C-BE32-E72D297353CC}">
                  <c16:uniqueId val="{00000005-4069-40CD-849F-7BA923E26DBD}"/>
                </c:ext>
              </c:extLst>
            </c:dLbl>
            <c:dLbl>
              <c:idx val="3"/>
              <c:layout>
                <c:manualLayout>
                  <c:x val="5.1687319372666993E-3"/>
                  <c:y val="4.533411073023132E-3"/>
                </c:manualLayout>
              </c:layout>
              <c:spPr>
                <a:solidFill>
                  <a:srgbClr val="E2EFDA"/>
                </a:solidFill>
                <a:ln>
                  <a:solidFill>
                    <a:srgbClr val="70AD47"/>
                  </a:solidFill>
                  <a:prstDash val="solid"/>
                </a:ln>
                <a:effectLst/>
              </c:spPr>
              <c:txPr>
                <a:bodyPr rot="0" spcFirstLastPara="1" vertOverflow="ellipsis" vert="horz" wrap="square" lIns="38100" tIns="19050" rIns="38100" bIns="19050" anchor="ctr" anchorCtr="1">
                  <a:noAutofit/>
                </a:bodyPr>
                <a:lstStyle/>
                <a:p>
                  <a:pPr>
                    <a:defRPr sz="500" b="1" i="0" u="none" strike="noStrike" kern="1200" baseline="0">
                      <a:solidFill>
                        <a:srgbClr val="000000"/>
                      </a:solidFill>
                      <a:latin typeface="Calibri"/>
                      <a:ea typeface="Calibri"/>
                      <a:cs typeface="Calibri"/>
                    </a:defRPr>
                  </a:pPr>
                  <a:endParaRPr lang="es-BO"/>
                </a:p>
              </c:txPr>
              <c:showLegendKey val="0"/>
              <c:showVal val="0"/>
              <c:showCatName val="1"/>
              <c:showSerName val="0"/>
              <c:showPercent val="0"/>
              <c:showBubbleSize val="0"/>
              <c:extLst>
                <c:ext xmlns:c15="http://schemas.microsoft.com/office/drawing/2012/chart" uri="{CE6537A1-D6FC-4f65-9D91-7224C49458BB}">
                  <c15:layout>
                    <c:manualLayout>
                      <c:w val="0.196046313966355"/>
                      <c:h val="8.8692465329486561E-2"/>
                    </c:manualLayout>
                  </c15:layout>
                </c:ext>
                <c:ext xmlns:c16="http://schemas.microsoft.com/office/drawing/2014/chart" uri="{C3380CC4-5D6E-409C-BE32-E72D297353CC}">
                  <c16:uniqueId val="{00000007-4069-40CD-849F-7BA923E26DBD}"/>
                </c:ext>
              </c:extLst>
            </c:dLbl>
            <c:dLbl>
              <c:idx val="4"/>
              <c:layout>
                <c:manualLayout>
                  <c:x val="2.5905952051520718E-2"/>
                  <c:y val="-5.2992714776237501E-2"/>
                </c:manualLayout>
              </c:layout>
              <c:spPr>
                <a:solidFill>
                  <a:srgbClr val="DDEBF7"/>
                </a:solidFill>
                <a:ln>
                  <a:solidFill>
                    <a:srgbClr val="5B9BD5"/>
                  </a:solidFill>
                  <a:prstDash val="solid"/>
                </a:ln>
                <a:effectLst/>
              </c:spPr>
              <c:txPr>
                <a:bodyPr rot="0" spcFirstLastPara="1" vertOverflow="ellipsis" vert="horz" wrap="square" lIns="38100" tIns="19050" rIns="38100" bIns="19050" anchor="ctr" anchorCtr="1">
                  <a:spAutoFit/>
                </a:bodyPr>
                <a:lstStyle/>
                <a:p>
                  <a:pPr>
                    <a:defRPr sz="500" b="1" i="0" u="none" strike="noStrike" kern="1200" baseline="0">
                      <a:solidFill>
                        <a:srgbClr val="000000"/>
                      </a:solidFill>
                      <a:latin typeface="Calibri"/>
                      <a:ea typeface="Calibri"/>
                      <a:cs typeface="Calibri"/>
                    </a:defRPr>
                  </a:pPr>
                  <a:endParaRPr lang="es-BO"/>
                </a:p>
              </c:txPr>
              <c:showLegendKey val="0"/>
              <c:showVal val="0"/>
              <c:showCatName val="1"/>
              <c:showSerName val="0"/>
              <c:showPercent val="0"/>
              <c:showBubbleSize val="0"/>
              <c:extLst>
                <c:ext xmlns:c15="http://schemas.microsoft.com/office/drawing/2012/chart" uri="{CE6537A1-D6FC-4f65-9D91-7224C49458BB}">
                  <c15:layout>
                    <c:manualLayout>
                      <c:w val="0.18945699564011098"/>
                      <c:h val="9.5910289439626498E-2"/>
                    </c:manualLayout>
                  </c15:layout>
                </c:ext>
                <c:ext xmlns:c16="http://schemas.microsoft.com/office/drawing/2014/chart" uri="{C3380CC4-5D6E-409C-BE32-E72D297353CC}">
                  <c16:uniqueId val="{00000009-4069-40CD-849F-7BA923E26DBD}"/>
                </c:ext>
              </c:extLst>
            </c:dLbl>
            <c:dLbl>
              <c:idx val="5"/>
              <c:layout>
                <c:manualLayout>
                  <c:x val="9.0043017785716079E-2"/>
                  <c:y val="-0.14773652563901885"/>
                </c:manualLayout>
              </c:layout>
              <c:spPr>
                <a:solidFill>
                  <a:sysClr val="window" lastClr="FFFFFF"/>
                </a:solidFill>
                <a:ln>
                  <a:solidFill>
                    <a:srgbClr val="000000"/>
                  </a:solidFill>
                  <a:prstDash val="solid"/>
                </a:ln>
                <a:effectLst/>
              </c:spPr>
              <c:txPr>
                <a:bodyPr rot="0" spcFirstLastPara="1" vertOverflow="ellipsis" vert="horz" wrap="square" lIns="38100" tIns="19050" rIns="38100" bIns="19050" anchor="ctr" anchorCtr="1">
                  <a:noAutofit/>
                </a:bodyPr>
                <a:lstStyle/>
                <a:p>
                  <a:pPr>
                    <a:defRPr sz="500" b="1" i="0" u="none" strike="noStrike" kern="1200" baseline="0">
                      <a:solidFill>
                        <a:srgbClr val="000000"/>
                      </a:solidFill>
                      <a:latin typeface="Calibri"/>
                      <a:ea typeface="Calibri"/>
                      <a:cs typeface="Calibri"/>
                    </a:defRPr>
                  </a:pPr>
                  <a:endParaRPr lang="es-BO"/>
                </a:p>
              </c:txPr>
              <c:showLegendKey val="0"/>
              <c:showVal val="0"/>
              <c:showCatName val="1"/>
              <c:showSerName val="0"/>
              <c:showPercent val="0"/>
              <c:showBubbleSize val="0"/>
              <c:extLst>
                <c:ext xmlns:c15="http://schemas.microsoft.com/office/drawing/2012/chart" uri="{CE6537A1-D6FC-4f65-9D91-7224C49458BB}">
                  <c15:layout>
                    <c:manualLayout>
                      <c:w val="0.23141086258391305"/>
                      <c:h val="0.10992718652103971"/>
                    </c:manualLayout>
                  </c15:layout>
                </c:ext>
                <c:ext xmlns:c16="http://schemas.microsoft.com/office/drawing/2014/chart" uri="{C3380CC4-5D6E-409C-BE32-E72D297353CC}">
                  <c16:uniqueId val="{0000000B-4069-40CD-849F-7BA923E26DBD}"/>
                </c:ext>
              </c:extLst>
            </c:dLbl>
            <c:spPr>
              <a:noFill/>
              <a:ln>
                <a:noFill/>
              </a:ln>
              <a:effectLst/>
            </c:spPr>
            <c:txPr>
              <a:bodyPr rot="0" spcFirstLastPara="1" vertOverflow="ellipsis" vert="horz" wrap="square" lIns="38100" tIns="19050" rIns="38100" bIns="19050" anchor="ctr" anchorCtr="1">
                <a:spAutoFit/>
              </a:bodyPr>
              <a:lstStyle/>
              <a:p>
                <a:pPr>
                  <a:defRPr sz="600" b="1" i="0" u="none" strike="noStrike" kern="1200" baseline="0">
                    <a:solidFill>
                      <a:schemeClr val="tx1">
                        <a:lumMod val="75000"/>
                        <a:lumOff val="25000"/>
                      </a:schemeClr>
                    </a:solidFill>
                    <a:latin typeface="Calibri"/>
                    <a:ea typeface="Calibri"/>
                    <a:cs typeface="Calibri"/>
                  </a:defRPr>
                </a:pPr>
                <a:endParaRPr lang="es-BO"/>
              </a:p>
            </c:txPr>
            <c:showLegendKey val="0"/>
            <c:showVal val="0"/>
            <c:showCatName val="1"/>
            <c:showSerName val="0"/>
            <c:showPercent val="0"/>
            <c:showBubbleSize val="0"/>
            <c:showLeaderLines val="0"/>
            <c:extLst>
              <c:ext xmlns:c15="http://schemas.microsoft.com/office/drawing/2012/chart" uri="{CE6537A1-D6FC-4f65-9D91-7224C49458BB}"/>
            </c:extLst>
          </c:dLbls>
          <c:cat>
            <c:strRef>
              <c:f>'PGE 27'!$G$93:$G$98</c:f>
              <c:strCache>
                <c:ptCount val="6"/>
                <c:pt idx="0">
                  <c:v>4 SECTORES
45.935,3 (79,2%)</c:v>
                </c:pt>
                <c:pt idx="1">
                  <c:v>RESTO (*)
4.905,8 (8,5%)</c:v>
                </c:pt>
                <c:pt idx="2">
                  <c:v>ENTIDADES TERRITORIALES AUTÓNOMAS
4.393,8 (7,6%)</c:v>
                </c:pt>
                <c:pt idx="3">
                  <c:v>INSTITUCIONES DESCENTRALIZADAS
1.788,3 (3,1%)</c:v>
                </c:pt>
                <c:pt idx="4">
                  <c:v>ÓRGANO EJECUTIVO
892,0 (1,5%)</c:v>
                </c:pt>
                <c:pt idx="5">
                  <c:v>INSTITUCIONES DE CONTROL Y DEFENSA DEL ESTADO
72,8 (0,1%)</c:v>
                </c:pt>
              </c:strCache>
            </c:strRef>
          </c:cat>
          <c:val>
            <c:numRef>
              <c:f>'PGE 27'!$H$93:$H$98</c:f>
              <c:numCache>
                <c:formatCode>_-* #,##0.0_-;\-* #,##0.0_-;_-* "-"??_-;_-@_-</c:formatCode>
                <c:ptCount val="6"/>
                <c:pt idx="0">
                  <c:v>45935.259293999996</c:v>
                </c:pt>
                <c:pt idx="1">
                  <c:v>4905.7939409999999</c:v>
                </c:pt>
                <c:pt idx="2">
                  <c:v>4393.8269179999998</c:v>
                </c:pt>
                <c:pt idx="3">
                  <c:v>1788.2601500000001</c:v>
                </c:pt>
                <c:pt idx="4">
                  <c:v>892.03325099999995</c:v>
                </c:pt>
                <c:pt idx="5">
                  <c:v>72.770398</c:v>
                </c:pt>
              </c:numCache>
            </c:numRef>
          </c:val>
          <c:extLst>
            <c:ext xmlns:c16="http://schemas.microsoft.com/office/drawing/2014/chart" uri="{C3380CC4-5D6E-409C-BE32-E72D297353CC}">
              <c16:uniqueId val="{0000000C-4069-40CD-849F-7BA923E26DBD}"/>
            </c:ext>
          </c:extLst>
        </c:ser>
        <c:dLbls>
          <c:showLegendKey val="0"/>
          <c:showVal val="0"/>
          <c:showCatName val="0"/>
          <c:showSerName val="0"/>
          <c:showPercent val="0"/>
          <c:showBubbleSize val="0"/>
          <c:showLeaderLines val="0"/>
        </c:dLbls>
        <c:firstSliceAng val="293"/>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rgbClr val="FFFFFF"/>
    </a:solidFill>
    <a:ln w="9525" cap="flat" cmpd="sng" algn="ctr">
      <a:noFill/>
      <a:round/>
    </a:ln>
    <a:effectLst/>
  </c:spPr>
  <c:txPr>
    <a:bodyPr/>
    <a:lstStyle/>
    <a:p>
      <a:pPr>
        <a:defRPr/>
      </a:pPr>
      <a:endParaRPr lang="es-BO"/>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strRef>
          <c:f>'PGE 27'!$G$89</c:f>
          <c:strCache>
            <c:ptCount val="1"/>
            <c:pt idx="0">
              <c:v>Gastos Inflexibles
4 SECTORES:
Bs 45.935,3 millones</c:v>
            </c:pt>
          </c:strCache>
        </c:strRef>
      </c:tx>
      <c:layout>
        <c:manualLayout>
          <c:xMode val="edge"/>
          <c:yMode val="edge"/>
          <c:x val="0.29426851898289785"/>
          <c:y val="4.7066487253901369E-2"/>
        </c:manualLayout>
      </c:layout>
      <c:overlay val="0"/>
      <c:spPr>
        <a:noFill/>
        <a:ln>
          <a:noFill/>
        </a:ln>
        <a:effectLst/>
      </c:spPr>
      <c:txPr>
        <a:bodyPr rot="0" spcFirstLastPara="1" vertOverflow="ellipsis" vert="horz" wrap="square" anchor="ctr" anchorCtr="1"/>
        <a:lstStyle/>
        <a:p>
          <a:pPr>
            <a:defRPr sz="900" b="1" i="1" u="sng" strike="noStrike" kern="1200" baseline="0">
              <a:solidFill>
                <a:sysClr val="windowText" lastClr="000000"/>
              </a:solidFill>
              <a:latin typeface="+mn-lt"/>
              <a:ea typeface="+mn-ea"/>
              <a:cs typeface="+mn-cs"/>
            </a:defRPr>
          </a:pPr>
          <a:endParaRPr lang="es-BO"/>
        </a:p>
      </c:txPr>
    </c:title>
    <c:autoTitleDeleted val="0"/>
    <c:view3D>
      <c:rotX val="15"/>
      <c:rotY val="20"/>
      <c:depthPercent val="60"/>
      <c:rAngAx val="1"/>
    </c:view3D>
    <c:floor>
      <c:thickness val="0"/>
      <c:spPr>
        <a:noFill/>
        <a:ln>
          <a:noFill/>
        </a:ln>
        <a:effectLst/>
        <a:sp3d/>
      </c:spPr>
    </c:floor>
    <c:sideWall>
      <c:thickness val="0"/>
      <c:spPr>
        <a:noFill/>
        <a:ln w="25400">
          <a:noFill/>
        </a:ln>
        <a:effectLst>
          <a:outerShdw sx="22000" sy="22000" algn="ctr" rotWithShape="0">
            <a:srgbClr val="000000"/>
          </a:outerShdw>
        </a:effectLst>
        <a:sp3d/>
      </c:spPr>
    </c:sideWall>
    <c:backWall>
      <c:thickness val="0"/>
      <c:spPr>
        <a:noFill/>
        <a:ln w="25400">
          <a:noFill/>
        </a:ln>
        <a:effectLst>
          <a:outerShdw sx="22000" sy="22000" algn="ctr" rotWithShape="0">
            <a:srgbClr val="000000"/>
          </a:outerShdw>
        </a:effectLst>
        <a:sp3d/>
      </c:spPr>
    </c:backWall>
    <c:plotArea>
      <c:layout>
        <c:manualLayout>
          <c:layoutTarget val="inner"/>
          <c:xMode val="edge"/>
          <c:yMode val="edge"/>
          <c:x val="1.4974385731903999E-2"/>
          <c:y val="0.1108465849806428"/>
          <c:w val="0.98502561426809598"/>
          <c:h val="0.87881085827341821"/>
        </c:manualLayout>
      </c:layout>
      <c:bar3DChart>
        <c:barDir val="col"/>
        <c:grouping val="stacked"/>
        <c:varyColors val="0"/>
        <c:ser>
          <c:idx val="0"/>
          <c:order val="0"/>
          <c:tx>
            <c:strRef>
              <c:f>'PGE 27'!$G$83</c:f>
              <c:strCache>
                <c:ptCount val="1"/>
                <c:pt idx="0">
                  <c:v>PREVISIÓN TGN: 4.081,7 (8,9%)</c:v>
                </c:pt>
              </c:strCache>
            </c:strRef>
          </c:tx>
          <c:spPr>
            <a:solidFill>
              <a:schemeClr val="accent6">
                <a:lumMod val="50000"/>
              </a:schemeClr>
            </a:solidFill>
            <a:ln>
              <a:solidFill>
                <a:schemeClr val="accent6">
                  <a:lumMod val="50000"/>
                </a:schemeClr>
              </a:solidFill>
            </a:ln>
            <a:effectLst/>
            <a:sp3d>
              <a:contourClr>
                <a:schemeClr val="accent6">
                  <a:lumMod val="50000"/>
                </a:schemeClr>
              </a:contourClr>
            </a:sp3d>
          </c:spPr>
          <c:invertIfNegative val="0"/>
          <c:dLbls>
            <c:dLbl>
              <c:idx val="0"/>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bg1"/>
                      </a:solidFill>
                      <a:latin typeface="+mn-lt"/>
                      <a:ea typeface="+mn-ea"/>
                      <a:cs typeface="+mn-cs"/>
                    </a:defRPr>
                  </a:pPr>
                  <a:endParaRPr lang="es-BO"/>
                </a:p>
              </c:txPr>
              <c:showLegendKey val="0"/>
              <c:showVal val="0"/>
              <c:showCatName val="0"/>
              <c:showSerName val="1"/>
              <c:showPercent val="0"/>
              <c:showBubbleSize val="0"/>
              <c:extLst>
                <c:ext xmlns:c15="http://schemas.microsoft.com/office/drawing/2012/chart" uri="{CE6537A1-D6FC-4f65-9D91-7224C49458BB}">
                  <c15:layout>
                    <c:manualLayout>
                      <c:w val="0.36742318921173361"/>
                      <c:h val="7.9404293009481597E-2"/>
                    </c:manualLayout>
                  </c15:layout>
                </c:ext>
                <c:ext xmlns:c16="http://schemas.microsoft.com/office/drawing/2014/chart" uri="{C3380CC4-5D6E-409C-BE32-E72D297353CC}">
                  <c16:uniqueId val="{00000000-3267-4778-B390-5D3D391C9B44}"/>
                </c:ext>
              </c:extLst>
            </c:dLbl>
            <c:spPr>
              <a:noFill/>
              <a:ln>
                <a:noFill/>
              </a:ln>
              <a:effectLst/>
            </c:spPr>
            <c:txPr>
              <a:bodyPr rot="0" spcFirstLastPara="1" vertOverflow="ellipsis" vert="horz" wrap="square" lIns="38100" tIns="19050" rIns="38100" bIns="19050" anchor="ctr" anchorCtr="1">
                <a:spAutoFit/>
              </a:bodyPr>
              <a:lstStyle/>
              <a:p>
                <a:pPr>
                  <a:defRPr sz="600" b="1" i="0" u="none" strike="noStrike" kern="1200" baseline="0">
                    <a:solidFill>
                      <a:schemeClr val="bg1"/>
                    </a:solidFill>
                    <a:latin typeface="+mn-lt"/>
                    <a:ea typeface="+mn-ea"/>
                    <a:cs typeface="+mn-cs"/>
                  </a:defRPr>
                </a:pPr>
                <a:endParaRPr lang="es-BO"/>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val>
            <c:numRef>
              <c:f>'PGE 27'!$H$83</c:f>
              <c:numCache>
                <c:formatCode>_-* #,##0.0_-;\-* #,##0.0_-;_-* "-"??_-;_-@_-</c:formatCode>
                <c:ptCount val="1"/>
                <c:pt idx="0">
                  <c:v>4081.7364550000002</c:v>
                </c:pt>
              </c:numCache>
            </c:numRef>
          </c:val>
          <c:extLst>
            <c:ext xmlns:c16="http://schemas.microsoft.com/office/drawing/2014/chart" uri="{C3380CC4-5D6E-409C-BE32-E72D297353CC}">
              <c16:uniqueId val="{00000001-3267-4778-B390-5D3D391C9B44}"/>
            </c:ext>
          </c:extLst>
        </c:ser>
        <c:ser>
          <c:idx val="1"/>
          <c:order val="1"/>
          <c:tx>
            <c:strRef>
              <c:f>'PGE 27'!$G$84</c:f>
              <c:strCache>
                <c:ptCount val="1"/>
                <c:pt idx="0">
                  <c:v>EDUCACIÓN: 23.400,4 (50,9%)</c:v>
                </c:pt>
              </c:strCache>
            </c:strRef>
          </c:tx>
          <c:spPr>
            <a:solidFill>
              <a:schemeClr val="accent6"/>
            </a:solidFill>
            <a:ln>
              <a:noFill/>
            </a:ln>
            <a:effectLst/>
            <a:sp3d/>
          </c:spPr>
          <c:invertIfNegative val="0"/>
          <c:dLbls>
            <c:dLbl>
              <c:idx val="0"/>
              <c:spPr>
                <a:noFill/>
                <a:ln>
                  <a:noFill/>
                </a:ln>
                <a:effectLst/>
              </c:spPr>
              <c:txPr>
                <a:bodyPr rot="0" spcFirstLastPara="1" vertOverflow="ellipsis" vert="horz" wrap="square" lIns="38100" tIns="19050" rIns="38100" bIns="19050" anchor="ctr" anchorCtr="1">
                  <a:noAutofit/>
                </a:bodyPr>
                <a:lstStyle/>
                <a:p>
                  <a:pPr>
                    <a:defRPr sz="900" b="1" i="0" u="none" strike="noStrike" kern="1200" baseline="0">
                      <a:solidFill>
                        <a:schemeClr val="bg1"/>
                      </a:solidFill>
                      <a:latin typeface="+mn-lt"/>
                      <a:ea typeface="+mn-ea"/>
                      <a:cs typeface="+mn-cs"/>
                    </a:defRPr>
                  </a:pPr>
                  <a:endParaRPr lang="es-BO"/>
                </a:p>
              </c:txPr>
              <c:showLegendKey val="0"/>
              <c:showVal val="0"/>
              <c:showCatName val="0"/>
              <c:showSerName val="1"/>
              <c:showPercent val="0"/>
              <c:showBubbleSize val="0"/>
              <c:extLst>
                <c:ext xmlns:c15="http://schemas.microsoft.com/office/drawing/2012/chart" uri="{CE6537A1-D6FC-4f65-9D91-7224C49458BB}">
                  <c15:layout>
                    <c:manualLayout>
                      <c:w val="0.35099658476425388"/>
                      <c:h val="0.16651775787259032"/>
                    </c:manualLayout>
                  </c15:layout>
                </c:ext>
                <c:ext xmlns:c16="http://schemas.microsoft.com/office/drawing/2014/chart" uri="{C3380CC4-5D6E-409C-BE32-E72D297353CC}">
                  <c16:uniqueId val="{00000002-3267-4778-B390-5D3D391C9B44}"/>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s-BO"/>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val>
            <c:numRef>
              <c:f>'PGE 27'!$H$84</c:f>
              <c:numCache>
                <c:formatCode>_-* #,##0.0_-;\-* #,##0.0_-;_-* "-"??_-;_-@_-</c:formatCode>
                <c:ptCount val="1"/>
                <c:pt idx="0">
                  <c:v>23400.428542000001</c:v>
                </c:pt>
              </c:numCache>
            </c:numRef>
          </c:val>
          <c:extLst>
            <c:ext xmlns:c16="http://schemas.microsoft.com/office/drawing/2014/chart" uri="{C3380CC4-5D6E-409C-BE32-E72D297353CC}">
              <c16:uniqueId val="{00000003-3267-4778-B390-5D3D391C9B44}"/>
            </c:ext>
          </c:extLst>
        </c:ser>
        <c:ser>
          <c:idx val="2"/>
          <c:order val="2"/>
          <c:tx>
            <c:strRef>
              <c:f>'PGE 27'!$G$85</c:f>
              <c:strCache>
                <c:ptCount val="1"/>
                <c:pt idx="0">
                  <c:v>SALUD: 10.482,1 (22,8%)</c:v>
                </c:pt>
              </c:strCache>
            </c:strRef>
          </c:tx>
          <c:spPr>
            <a:solidFill>
              <a:schemeClr val="accent6">
                <a:lumMod val="75000"/>
              </a:schemeClr>
            </a:solidFill>
            <a:ln>
              <a:noFill/>
            </a:ln>
            <a:effectLst/>
            <a:sp3d/>
          </c:spPr>
          <c:invertIfNegative val="0"/>
          <c:dLbls>
            <c:dLbl>
              <c:idx val="0"/>
              <c:spPr>
                <a:noFill/>
                <a:ln>
                  <a:noFill/>
                </a:ln>
                <a:effectLst/>
              </c:spPr>
              <c:txPr>
                <a:bodyPr rot="0" spcFirstLastPara="1" vertOverflow="ellipsis" vert="horz" wrap="square" lIns="38100" tIns="19050" rIns="38100" bIns="19050" anchor="ctr" anchorCtr="1">
                  <a:noAutofit/>
                </a:bodyPr>
                <a:lstStyle/>
                <a:p>
                  <a:pPr>
                    <a:defRPr sz="900" b="1" i="0" u="none" strike="noStrike" kern="1200" baseline="0">
                      <a:solidFill>
                        <a:schemeClr val="bg1"/>
                      </a:solidFill>
                      <a:latin typeface="+mn-lt"/>
                      <a:ea typeface="+mn-ea"/>
                      <a:cs typeface="+mn-cs"/>
                    </a:defRPr>
                  </a:pPr>
                  <a:endParaRPr lang="es-BO"/>
                </a:p>
              </c:txPr>
              <c:showLegendKey val="0"/>
              <c:showVal val="0"/>
              <c:showCatName val="0"/>
              <c:showSerName val="1"/>
              <c:showPercent val="0"/>
              <c:showBubbleSize val="0"/>
              <c:extLst>
                <c:ext xmlns:c15="http://schemas.microsoft.com/office/drawing/2012/chart" uri="{CE6537A1-D6FC-4f65-9D91-7224C49458BB}">
                  <c15:layout>
                    <c:manualLayout>
                      <c:w val="0.30265060240963854"/>
                      <c:h val="0.21933381607530775"/>
                    </c:manualLayout>
                  </c15:layout>
                </c:ext>
                <c:ext xmlns:c16="http://schemas.microsoft.com/office/drawing/2014/chart" uri="{C3380CC4-5D6E-409C-BE32-E72D297353CC}">
                  <c16:uniqueId val="{00000004-3267-4778-B390-5D3D391C9B44}"/>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s-BO"/>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val>
            <c:numRef>
              <c:f>'PGE 27'!$H$85</c:f>
              <c:numCache>
                <c:formatCode>_-* #,##0.0_-;\-* #,##0.0_-;_-* "-"??_-;_-@_-</c:formatCode>
                <c:ptCount val="1"/>
                <c:pt idx="0">
                  <c:v>10482.068074000001</c:v>
                </c:pt>
              </c:numCache>
            </c:numRef>
          </c:val>
          <c:extLst>
            <c:ext xmlns:c16="http://schemas.microsoft.com/office/drawing/2014/chart" uri="{C3380CC4-5D6E-409C-BE32-E72D297353CC}">
              <c16:uniqueId val="{00000005-3267-4778-B390-5D3D391C9B44}"/>
            </c:ext>
          </c:extLst>
        </c:ser>
        <c:ser>
          <c:idx val="3"/>
          <c:order val="3"/>
          <c:tx>
            <c:strRef>
              <c:f>'PGE 27'!$G$86</c:f>
              <c:strCache>
                <c:ptCount val="1"/>
                <c:pt idx="0">
                  <c:v>POLICIA: 5.210,7 (11,3%)</c:v>
                </c:pt>
              </c:strCache>
            </c:strRef>
          </c:tx>
          <c:spPr>
            <a:solidFill>
              <a:schemeClr val="accent6">
                <a:lumMod val="20000"/>
                <a:lumOff val="80000"/>
              </a:schemeClr>
            </a:solidFill>
            <a:ln>
              <a:noFill/>
            </a:ln>
            <a:effectLst/>
            <a:sp3d/>
          </c:spPr>
          <c:invertIfNegative val="0"/>
          <c:dLbls>
            <c:dLbl>
              <c:idx val="0"/>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ysClr val="windowText" lastClr="000000"/>
                      </a:solidFill>
                      <a:latin typeface="+mn-lt"/>
                      <a:ea typeface="+mn-ea"/>
                      <a:cs typeface="+mn-cs"/>
                    </a:defRPr>
                  </a:pPr>
                  <a:endParaRPr lang="es-BO"/>
                </a:p>
              </c:txPr>
              <c:showLegendKey val="0"/>
              <c:showVal val="0"/>
              <c:showCatName val="0"/>
              <c:showSerName val="1"/>
              <c:showPercent val="0"/>
              <c:showBubbleSize val="0"/>
              <c:extLst>
                <c:ext xmlns:c15="http://schemas.microsoft.com/office/drawing/2012/chart" uri="{CE6537A1-D6FC-4f65-9D91-7224C49458BB}">
                  <c15:layout>
                    <c:manualLayout>
                      <c:w val="0.46277962242671467"/>
                      <c:h val="9.4106461710389028E-2"/>
                    </c:manualLayout>
                  </c15:layout>
                </c:ext>
                <c:ext xmlns:c16="http://schemas.microsoft.com/office/drawing/2014/chart" uri="{C3380CC4-5D6E-409C-BE32-E72D297353CC}">
                  <c16:uniqueId val="{00000006-3267-4778-B390-5D3D391C9B44}"/>
                </c:ext>
              </c:extLst>
            </c:dLbl>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ysClr val="windowText" lastClr="000000"/>
                    </a:solidFill>
                    <a:latin typeface="+mn-lt"/>
                    <a:ea typeface="+mn-ea"/>
                    <a:cs typeface="+mn-cs"/>
                  </a:defRPr>
                </a:pPr>
                <a:endParaRPr lang="es-BO"/>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val>
            <c:numRef>
              <c:f>'PGE 27'!$H$86</c:f>
              <c:numCache>
                <c:formatCode>_-* #,##0.0_-;\-* #,##0.0_-;_-* "-"??_-;_-@_-</c:formatCode>
                <c:ptCount val="1"/>
                <c:pt idx="0">
                  <c:v>5210.6827279999998</c:v>
                </c:pt>
              </c:numCache>
            </c:numRef>
          </c:val>
          <c:extLst>
            <c:ext xmlns:c16="http://schemas.microsoft.com/office/drawing/2014/chart" uri="{C3380CC4-5D6E-409C-BE32-E72D297353CC}">
              <c16:uniqueId val="{00000007-3267-4778-B390-5D3D391C9B44}"/>
            </c:ext>
          </c:extLst>
        </c:ser>
        <c:ser>
          <c:idx val="4"/>
          <c:order val="4"/>
          <c:tx>
            <c:strRef>
              <c:f>'PGE 27'!$G$87</c:f>
              <c:strCache>
                <c:ptCount val="1"/>
                <c:pt idx="0">
                  <c:v>DEFENSA: 2.760,3 (6,0%)</c:v>
                </c:pt>
              </c:strCache>
            </c:strRef>
          </c:tx>
          <c:spPr>
            <a:solidFill>
              <a:schemeClr val="accent5">
                <a:lumMod val="40000"/>
                <a:lumOff val="60000"/>
              </a:schemeClr>
            </a:solidFill>
            <a:ln>
              <a:noFill/>
            </a:ln>
            <a:effectLst/>
            <a:sp3d/>
          </c:spPr>
          <c:invertIfNegative val="0"/>
          <c:dLbls>
            <c:dLbl>
              <c:idx val="0"/>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ysClr val="windowText" lastClr="000000"/>
                      </a:solidFill>
                      <a:latin typeface="+mn-lt"/>
                      <a:ea typeface="+mn-ea"/>
                      <a:cs typeface="+mn-cs"/>
                    </a:defRPr>
                  </a:pPr>
                  <a:endParaRPr lang="es-BO"/>
                </a:p>
              </c:txPr>
              <c:showLegendKey val="0"/>
              <c:showVal val="0"/>
              <c:showCatName val="0"/>
              <c:showSerName val="1"/>
              <c:showPercent val="0"/>
              <c:showBubbleSize val="0"/>
              <c:extLst>
                <c:ext xmlns:c15="http://schemas.microsoft.com/office/drawing/2012/chart" uri="{CE6537A1-D6FC-4f65-9D91-7224C49458BB}">
                  <c15:layout>
                    <c:manualLayout>
                      <c:w val="0.51395977611232335"/>
                      <c:h val="9.4106444866672176E-2"/>
                    </c:manualLayout>
                  </c15:layout>
                </c:ext>
                <c:ext xmlns:c16="http://schemas.microsoft.com/office/drawing/2014/chart" uri="{C3380CC4-5D6E-409C-BE32-E72D297353CC}">
                  <c16:uniqueId val="{00000008-3267-4778-B390-5D3D391C9B44}"/>
                </c:ext>
              </c:extLst>
            </c:dLbl>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2"/>
                    </a:solidFill>
                    <a:latin typeface="+mn-lt"/>
                    <a:ea typeface="+mn-ea"/>
                    <a:cs typeface="+mn-cs"/>
                  </a:defRPr>
                </a:pPr>
                <a:endParaRPr lang="es-BO"/>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val>
            <c:numRef>
              <c:f>'PGE 27'!$H$87</c:f>
              <c:numCache>
                <c:formatCode>_-* #,##0.0_-;\-* #,##0.0_-;_-* "-"??_-;_-@_-</c:formatCode>
                <c:ptCount val="1"/>
                <c:pt idx="0">
                  <c:v>2760.3434950000001</c:v>
                </c:pt>
              </c:numCache>
            </c:numRef>
          </c:val>
          <c:extLst>
            <c:ext xmlns:c16="http://schemas.microsoft.com/office/drawing/2014/chart" uri="{C3380CC4-5D6E-409C-BE32-E72D297353CC}">
              <c16:uniqueId val="{00000009-3267-4778-B390-5D3D391C9B44}"/>
            </c:ext>
          </c:extLst>
        </c:ser>
        <c:dLbls>
          <c:showLegendKey val="0"/>
          <c:showVal val="0"/>
          <c:showCatName val="0"/>
          <c:showSerName val="0"/>
          <c:showPercent val="0"/>
          <c:showBubbleSize val="0"/>
        </c:dLbls>
        <c:gapWidth val="101"/>
        <c:gapDepth val="7"/>
        <c:shape val="box"/>
        <c:axId val="1289921183"/>
        <c:axId val="1289924927"/>
        <c:axId val="0"/>
      </c:bar3DChart>
      <c:catAx>
        <c:axId val="1289921183"/>
        <c:scaling>
          <c:orientation val="minMax"/>
        </c:scaling>
        <c:delete val="1"/>
        <c:axPos val="b"/>
        <c:numFmt formatCode="General" sourceLinked="1"/>
        <c:majorTickMark val="none"/>
        <c:minorTickMark val="none"/>
        <c:tickLblPos val="nextTo"/>
        <c:crossAx val="1289924927"/>
        <c:crosses val="autoZero"/>
        <c:auto val="1"/>
        <c:lblAlgn val="ctr"/>
        <c:lblOffset val="100"/>
        <c:noMultiLvlLbl val="0"/>
      </c:catAx>
      <c:valAx>
        <c:axId val="1289924927"/>
        <c:scaling>
          <c:orientation val="minMax"/>
          <c:max val="50000"/>
          <c:min val="0"/>
        </c:scaling>
        <c:delete val="1"/>
        <c:axPos val="l"/>
        <c:numFmt formatCode="_-* #,##0.0_-;\-* #,##0.0_-;_-* &quot;-&quot;??_-;_-@_-" sourceLinked="1"/>
        <c:majorTickMark val="none"/>
        <c:minorTickMark val="none"/>
        <c:tickLblPos val="nextTo"/>
        <c:crossAx val="1289921183"/>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a:scene3d>
      <a:camera prst="orthographicFront"/>
      <a:lightRig rig="threePt" dir="t"/>
    </a:scene3d>
    <a:sp3d>
      <a:bevelB w="12700" h="82550"/>
    </a:sp3d>
  </c:spPr>
  <c:txPr>
    <a:bodyPr/>
    <a:lstStyle/>
    <a:p>
      <a:pPr>
        <a:defRPr/>
      </a:pPr>
      <a:endParaRPr lang="es-BO"/>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tx>
            <c:strRef>
              <c:f>'[Transferencías y Regalías 2027.xlsx]Hoja1'!$B$13</c:f>
              <c:strCache>
                <c:ptCount val="1"/>
                <c:pt idx="0">
                  <c:v>GAD</c:v>
                </c:pt>
              </c:strCache>
            </c:strRef>
          </c:tx>
          <c:spPr>
            <a:solidFill>
              <a:srgbClr val="FFFF66"/>
            </a:solidFill>
            <a:ln>
              <a:noFill/>
            </a:ln>
            <a:effectLst/>
          </c:spPr>
          <c:invertIfNegative val="0"/>
          <c:dLbls>
            <c:spPr>
              <a:noFill/>
              <a:ln>
                <a:noFill/>
              </a:ln>
              <a:effectLst/>
            </c:spPr>
            <c:txPr>
              <a:bodyPr rot="0" spcFirstLastPara="1" vertOverflow="ellipsis" vert="horz" wrap="square" anchor="ctr" anchorCtr="1"/>
              <a:lstStyle/>
              <a:p>
                <a:pPr>
                  <a:defRPr sz="900" b="1" i="0" u="none" strike="noStrike" kern="1200" baseline="0">
                    <a:solidFill>
                      <a:sysClr val="windowText" lastClr="000000"/>
                    </a:solidFill>
                    <a:latin typeface="Century Gothic" panose="020B0502020202020204" pitchFamily="34" charset="0"/>
                    <a:ea typeface="+mn-ea"/>
                    <a:cs typeface="+mn-cs"/>
                  </a:defRPr>
                </a:pPr>
                <a:endParaRPr lang="es-BO"/>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'[Transferencías y Regalías 2027.xlsx]Hoja1'!$D$12:$E$12</c:f>
              <c:strCache>
                <c:ptCount val="2"/>
                <c:pt idx="0">
                  <c:v> PGE 2026 </c:v>
                </c:pt>
                <c:pt idx="1">
                  <c:v> Proy PGE 2027 </c:v>
                </c:pt>
              </c:strCache>
            </c:strRef>
          </c:cat>
          <c:val>
            <c:numRef>
              <c:f>'[Transferencías y Regalías 2027.xlsx]Hoja1'!$D$13:$E$13</c:f>
              <c:numCache>
                <c:formatCode>#,##0</c:formatCode>
                <c:ptCount val="2"/>
                <c:pt idx="0">
                  <c:v>3508.6532480000001</c:v>
                </c:pt>
                <c:pt idx="1">
                  <c:v>6664.5991409999997</c:v>
                </c:pt>
              </c:numCache>
            </c:numRef>
          </c:val>
          <c:extLst>
            <c:ext xmlns:c16="http://schemas.microsoft.com/office/drawing/2014/chart" uri="{C3380CC4-5D6E-409C-BE32-E72D297353CC}">
              <c16:uniqueId val="{00000000-9308-42E4-AE36-DCD60F5646E7}"/>
            </c:ext>
          </c:extLst>
        </c:ser>
        <c:ser>
          <c:idx val="1"/>
          <c:order val="1"/>
          <c:tx>
            <c:strRef>
              <c:f>'[Transferencías y Regalías 2027.xlsx]Hoja1'!$B$14</c:f>
              <c:strCache>
                <c:ptCount val="1"/>
                <c:pt idx="0">
                  <c:v>GAR</c:v>
                </c:pt>
              </c:strCache>
            </c:strRef>
          </c:tx>
          <c:spPr>
            <a:solidFill>
              <a:schemeClr val="accent4">
                <a:lumMod val="60000"/>
                <a:lumOff val="40000"/>
              </a:schemeClr>
            </a:solidFill>
            <a:ln>
              <a:noFill/>
            </a:ln>
            <a:effectLst/>
          </c:spPr>
          <c:invertIfNegative val="0"/>
          <c:dLbls>
            <c:spPr>
              <a:noFill/>
              <a:ln>
                <a:noFill/>
              </a:ln>
              <a:effectLst/>
            </c:spPr>
            <c:txPr>
              <a:bodyPr rot="0" spcFirstLastPara="1" vertOverflow="ellipsis" vert="horz" wrap="square" anchor="ctr" anchorCtr="1"/>
              <a:lstStyle/>
              <a:p>
                <a:pPr>
                  <a:defRPr sz="900" b="1" i="0" u="none" strike="noStrike" kern="1200" baseline="0">
                    <a:solidFill>
                      <a:sysClr val="windowText" lastClr="000000"/>
                    </a:solidFill>
                    <a:latin typeface="Century Gothic" panose="020B0502020202020204" pitchFamily="34" charset="0"/>
                    <a:ea typeface="+mn-ea"/>
                    <a:cs typeface="+mn-cs"/>
                  </a:defRPr>
                </a:pPr>
                <a:endParaRPr lang="es-BO"/>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'[Transferencías y Regalías 2027.xlsx]Hoja1'!$D$12:$E$12</c:f>
              <c:strCache>
                <c:ptCount val="2"/>
                <c:pt idx="0">
                  <c:v> PGE 2026 </c:v>
                </c:pt>
                <c:pt idx="1">
                  <c:v> Proy PGE 2027 </c:v>
                </c:pt>
              </c:strCache>
            </c:strRef>
          </c:cat>
          <c:val>
            <c:numRef>
              <c:f>'[Transferencías y Regalías 2027.xlsx]Hoja1'!$D$14:$E$14</c:f>
              <c:numCache>
                <c:formatCode>#,##0</c:formatCode>
                <c:ptCount val="2"/>
                <c:pt idx="0">
                  <c:v>254.84088800000001</c:v>
                </c:pt>
                <c:pt idx="1">
                  <c:v>351.839698</c:v>
                </c:pt>
              </c:numCache>
            </c:numRef>
          </c:val>
          <c:extLst>
            <c:ext xmlns:c16="http://schemas.microsoft.com/office/drawing/2014/chart" uri="{C3380CC4-5D6E-409C-BE32-E72D297353CC}">
              <c16:uniqueId val="{00000001-9308-42E4-AE36-DCD60F5646E7}"/>
            </c:ext>
          </c:extLst>
        </c:ser>
        <c:ser>
          <c:idx val="2"/>
          <c:order val="2"/>
          <c:tx>
            <c:strRef>
              <c:f>'[Transferencías y Regalías 2027.xlsx]Hoja1'!$B$15</c:f>
              <c:strCache>
                <c:ptCount val="1"/>
                <c:pt idx="0">
                  <c:v>GAM</c:v>
                </c:pt>
              </c:strCache>
            </c:strRef>
          </c:tx>
          <c:spPr>
            <a:solidFill>
              <a:srgbClr val="FF9933"/>
            </a:solidFill>
            <a:ln>
              <a:noFill/>
            </a:ln>
            <a:effectLst/>
          </c:spPr>
          <c:invertIfNegative val="0"/>
          <c:dLbls>
            <c:spPr>
              <a:noFill/>
              <a:ln>
                <a:noFill/>
              </a:ln>
              <a:effectLst/>
            </c:spPr>
            <c:txPr>
              <a:bodyPr rot="0" spcFirstLastPara="1" vertOverflow="ellipsis" vert="horz" wrap="square" anchor="ctr" anchorCtr="1"/>
              <a:lstStyle/>
              <a:p>
                <a:pPr>
                  <a:defRPr sz="900" b="1" i="0" u="none" strike="noStrike" kern="1200" baseline="0">
                    <a:solidFill>
                      <a:sysClr val="windowText" lastClr="000000"/>
                    </a:solidFill>
                    <a:latin typeface="Century Gothic" panose="020B0502020202020204" pitchFamily="34" charset="0"/>
                    <a:ea typeface="+mn-ea"/>
                    <a:cs typeface="+mn-cs"/>
                  </a:defRPr>
                </a:pPr>
                <a:endParaRPr lang="es-BO"/>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'[Transferencías y Regalías 2027.xlsx]Hoja1'!$D$12:$E$12</c:f>
              <c:strCache>
                <c:ptCount val="2"/>
                <c:pt idx="0">
                  <c:v> PGE 2026 </c:v>
                </c:pt>
                <c:pt idx="1">
                  <c:v> Proy PGE 2027 </c:v>
                </c:pt>
              </c:strCache>
            </c:strRef>
          </c:cat>
          <c:val>
            <c:numRef>
              <c:f>'[Transferencías y Regalías 2027.xlsx]Hoja1'!$D$15:$E$15</c:f>
              <c:numCache>
                <c:formatCode>_-* #,##0_-;\-* #,##0_-;_-* "-"??_-;_-@_-</c:formatCode>
                <c:ptCount val="2"/>
                <c:pt idx="0">
                  <c:v>11128.633238</c:v>
                </c:pt>
                <c:pt idx="1">
                  <c:v>13958.812021</c:v>
                </c:pt>
              </c:numCache>
            </c:numRef>
          </c:val>
          <c:extLst>
            <c:ext xmlns:c16="http://schemas.microsoft.com/office/drawing/2014/chart" uri="{C3380CC4-5D6E-409C-BE32-E72D297353CC}">
              <c16:uniqueId val="{00000002-9308-42E4-AE36-DCD60F5646E7}"/>
            </c:ext>
          </c:extLst>
        </c:ser>
        <c:ser>
          <c:idx val="3"/>
          <c:order val="3"/>
          <c:tx>
            <c:strRef>
              <c:f>'[Transferencías y Regalías 2027.xlsx]Hoja1'!$B$16</c:f>
              <c:strCache>
                <c:ptCount val="1"/>
                <c:pt idx="0">
                  <c:v>GAOIC</c:v>
                </c:pt>
              </c:strCache>
            </c:strRef>
          </c:tx>
          <c:spPr>
            <a:solidFill>
              <a:srgbClr val="002060"/>
            </a:solidFill>
            <a:ln>
              <a:noFill/>
            </a:ln>
            <a:effectLst/>
          </c:spPr>
          <c:invertIfNegative val="0"/>
          <c:dLbls>
            <c:spPr>
              <a:noFill/>
              <a:ln>
                <a:noFill/>
              </a:ln>
              <a:effectLst/>
            </c:spPr>
            <c:txPr>
              <a:bodyPr rot="0" spcFirstLastPara="1" vertOverflow="ellipsis" vert="horz" wrap="square" anchor="ctr" anchorCtr="1"/>
              <a:lstStyle/>
              <a:p>
                <a:pPr>
                  <a:defRPr sz="900" b="1" i="0" u="none" strike="noStrike" kern="1200" baseline="0">
                    <a:solidFill>
                      <a:sysClr val="windowText" lastClr="000000"/>
                    </a:solidFill>
                    <a:latin typeface="Century Gothic" panose="020B0502020202020204" pitchFamily="34" charset="0"/>
                    <a:ea typeface="+mn-ea"/>
                    <a:cs typeface="+mn-cs"/>
                  </a:defRPr>
                </a:pPr>
                <a:endParaRPr lang="es-BO"/>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'[Transferencías y Regalías 2027.xlsx]Hoja1'!$D$12:$E$12</c:f>
              <c:strCache>
                <c:ptCount val="2"/>
                <c:pt idx="0">
                  <c:v> PGE 2026 </c:v>
                </c:pt>
                <c:pt idx="1">
                  <c:v> Proy PGE 2027 </c:v>
                </c:pt>
              </c:strCache>
            </c:strRef>
          </c:cat>
          <c:val>
            <c:numRef>
              <c:f>'[Transferencías y Regalías 2027.xlsx]Hoja1'!$D$16:$E$16</c:f>
              <c:numCache>
                <c:formatCode>_-* #,##0_-;\-* #,##0_-;_-* "-"??_-;_-@_-</c:formatCode>
                <c:ptCount val="2"/>
                <c:pt idx="0">
                  <c:v>77.605603000000002</c:v>
                </c:pt>
                <c:pt idx="1">
                  <c:v>93.389880000000005</c:v>
                </c:pt>
              </c:numCache>
            </c:numRef>
          </c:val>
          <c:extLst>
            <c:ext xmlns:c16="http://schemas.microsoft.com/office/drawing/2014/chart" uri="{C3380CC4-5D6E-409C-BE32-E72D297353CC}">
              <c16:uniqueId val="{00000003-9308-42E4-AE36-DCD60F5646E7}"/>
            </c:ext>
          </c:extLst>
        </c:ser>
        <c:ser>
          <c:idx val="4"/>
          <c:order val="4"/>
          <c:tx>
            <c:strRef>
              <c:f>'[Transferencías y Regalías 2027.xlsx]Hoja1'!$B$17</c:f>
              <c:strCache>
                <c:ptCount val="1"/>
                <c:pt idx="0">
                  <c:v>UPA</c:v>
                </c:pt>
              </c:strCache>
            </c:strRef>
          </c:tx>
          <c:spPr>
            <a:solidFill>
              <a:srgbClr val="92D050"/>
            </a:solidFill>
            <a:ln>
              <a:noFill/>
            </a:ln>
            <a:effectLst/>
          </c:spPr>
          <c:invertIfNegative val="0"/>
          <c:dLbls>
            <c:spPr>
              <a:noFill/>
              <a:ln>
                <a:noFill/>
              </a:ln>
              <a:effectLst/>
            </c:spPr>
            <c:txPr>
              <a:bodyPr rot="0" spcFirstLastPara="1" vertOverflow="ellipsis" vert="horz" wrap="square" anchor="ctr" anchorCtr="1"/>
              <a:lstStyle/>
              <a:p>
                <a:pPr>
                  <a:defRPr sz="900" b="1" i="0" u="none" strike="noStrike" kern="1200" baseline="0">
                    <a:solidFill>
                      <a:sysClr val="windowText" lastClr="000000"/>
                    </a:solidFill>
                    <a:latin typeface="Century Gothic" panose="020B0502020202020204" pitchFamily="34" charset="0"/>
                    <a:ea typeface="+mn-ea"/>
                    <a:cs typeface="+mn-cs"/>
                  </a:defRPr>
                </a:pPr>
                <a:endParaRPr lang="es-BO"/>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'[Transferencías y Regalías 2027.xlsx]Hoja1'!$D$12:$E$12</c:f>
              <c:strCache>
                <c:ptCount val="2"/>
                <c:pt idx="0">
                  <c:v> PGE 2026 </c:v>
                </c:pt>
                <c:pt idx="1">
                  <c:v> Proy PGE 2027 </c:v>
                </c:pt>
              </c:strCache>
            </c:strRef>
          </c:cat>
          <c:val>
            <c:numRef>
              <c:f>'[Transferencías y Regalías 2027.xlsx]Hoja1'!$D$17:$E$17</c:f>
              <c:numCache>
                <c:formatCode>#,##0</c:formatCode>
                <c:ptCount val="2"/>
                <c:pt idx="0">
                  <c:v>4345.2217389999996</c:v>
                </c:pt>
                <c:pt idx="1">
                  <c:v>3330.6799540000002</c:v>
                </c:pt>
              </c:numCache>
            </c:numRef>
          </c:val>
          <c:extLst>
            <c:ext xmlns:c16="http://schemas.microsoft.com/office/drawing/2014/chart" uri="{C3380CC4-5D6E-409C-BE32-E72D297353CC}">
              <c16:uniqueId val="{00000004-9308-42E4-AE36-DCD60F5646E7}"/>
            </c:ext>
          </c:extLst>
        </c:ser>
        <c:dLbls>
          <c:dLblPos val="ctr"/>
          <c:showLegendKey val="0"/>
          <c:showVal val="1"/>
          <c:showCatName val="0"/>
          <c:showSerName val="0"/>
          <c:showPercent val="0"/>
          <c:showBubbleSize val="0"/>
        </c:dLbls>
        <c:gapWidth val="78"/>
        <c:overlap val="100"/>
        <c:axId val="1887515695"/>
        <c:axId val="1887516111"/>
      </c:barChart>
      <c:catAx>
        <c:axId val="1887515695"/>
        <c:scaling>
          <c:orientation val="minMax"/>
        </c:scaling>
        <c:delete val="0"/>
        <c:axPos val="b"/>
        <c:numFmt formatCode="General"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1" i="0" u="none" strike="noStrike" kern="1200" baseline="0">
                <a:solidFill>
                  <a:sysClr val="windowText" lastClr="000000"/>
                </a:solidFill>
                <a:latin typeface="Century Gothic" panose="020B0502020202020204" pitchFamily="34" charset="0"/>
                <a:ea typeface="+mn-ea"/>
                <a:cs typeface="+mn-cs"/>
              </a:defRPr>
            </a:pPr>
            <a:endParaRPr lang="es-BO"/>
          </a:p>
        </c:txPr>
        <c:crossAx val="1887516111"/>
        <c:crosses val="autoZero"/>
        <c:auto val="1"/>
        <c:lblAlgn val="ctr"/>
        <c:lblOffset val="100"/>
        <c:noMultiLvlLbl val="0"/>
      </c:catAx>
      <c:valAx>
        <c:axId val="1887516111"/>
        <c:scaling>
          <c:orientation val="minMax"/>
        </c:scaling>
        <c:delete val="1"/>
        <c:axPos val="l"/>
        <c:numFmt formatCode="#,##0" sourceLinked="1"/>
        <c:majorTickMark val="none"/>
        <c:minorTickMark val="none"/>
        <c:tickLblPos val="nextTo"/>
        <c:crossAx val="1887515695"/>
        <c:crosses val="autoZero"/>
        <c:crossBetween val="between"/>
      </c:valAx>
      <c:spPr>
        <a:noFill/>
        <a:ln>
          <a:noFill/>
        </a:ln>
        <a:effectLst/>
      </c:spPr>
    </c:plotArea>
    <c:legend>
      <c:legendPos val="b"/>
      <c:layout>
        <c:manualLayout>
          <c:xMode val="edge"/>
          <c:yMode val="edge"/>
          <c:x val="5.6392355676219759E-2"/>
          <c:y val="0.92226962818043712"/>
          <c:w val="0.88721528864756061"/>
          <c:h val="5.73421828419209E-2"/>
        </c:manualLayout>
      </c:layout>
      <c:overlay val="0"/>
      <c:spPr>
        <a:noFill/>
        <a:ln>
          <a:noFill/>
        </a:ln>
        <a:effectLst/>
      </c:spPr>
      <c:txPr>
        <a:bodyPr rot="0" spcFirstLastPara="1" vertOverflow="ellipsis" vert="horz" wrap="square" anchor="ctr" anchorCtr="1"/>
        <a:lstStyle/>
        <a:p>
          <a:pPr>
            <a:defRPr sz="900" b="1" i="0" u="none" strike="noStrike" kern="1200" baseline="0">
              <a:solidFill>
                <a:sysClr val="windowText" lastClr="000000"/>
              </a:solidFill>
              <a:latin typeface="Century Gothic" panose="020B0502020202020204" pitchFamily="34" charset="0"/>
              <a:ea typeface="+mn-ea"/>
              <a:cs typeface="+mn-cs"/>
            </a:defRPr>
          </a:pPr>
          <a:endParaRPr lang="es-BO"/>
        </a:p>
      </c:txPr>
    </c:legend>
    <c:plotVisOnly val="1"/>
    <c:dispBlanksAs val="gap"/>
    <c:showDLblsOverMax val="0"/>
  </c:chart>
  <c:spPr>
    <a:noFill/>
    <a:ln w="9525" cap="flat" cmpd="sng" algn="ctr">
      <a:noFill/>
      <a:round/>
    </a:ln>
    <a:effectLst/>
  </c:spPr>
  <c:txPr>
    <a:bodyPr/>
    <a:lstStyle/>
    <a:p>
      <a:pPr>
        <a:defRPr>
          <a:latin typeface="Century Gothic" panose="020B0502020202020204" pitchFamily="34" charset="0"/>
        </a:defRPr>
      </a:pPr>
      <a:endParaRPr lang="es-BO"/>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90">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3.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0.67292</cdr:x>
      <cdr:y>0.11395</cdr:y>
    </cdr:from>
    <cdr:to>
      <cdr:x>0.8049</cdr:x>
      <cdr:y>0.16492</cdr:y>
    </cdr:to>
    <cdr:sp macro="" textlink="">
      <cdr:nvSpPr>
        <cdr:cNvPr id="3" name="CuadroTexto 2">
          <a:extLst xmlns:a="http://schemas.openxmlformats.org/drawingml/2006/main">
            <a:ext uri="{FF2B5EF4-FFF2-40B4-BE49-F238E27FC236}">
              <a16:creationId xmlns:a16="http://schemas.microsoft.com/office/drawing/2014/main" id="{BD349B86-824A-494E-97CB-F39D5932AFA2}"/>
            </a:ext>
          </a:extLst>
        </cdr:cNvPr>
        <cdr:cNvSpPr txBox="1"/>
      </cdr:nvSpPr>
      <cdr:spPr>
        <a:xfrm xmlns:a="http://schemas.openxmlformats.org/drawingml/2006/main">
          <a:off x="2911048" y="425876"/>
          <a:ext cx="570957" cy="190500"/>
        </a:xfrm>
        <a:prstGeom xmlns:a="http://schemas.openxmlformats.org/drawingml/2006/main" prst="rect">
          <a:avLst/>
        </a:prstGeom>
        <a:solidFill xmlns:a="http://schemas.openxmlformats.org/drawingml/2006/main">
          <a:schemeClr val="lt1"/>
        </a:solidFill>
        <a:ln xmlns:a="http://schemas.openxmlformats.org/drawingml/2006/main" w="9525" cmpd="sng">
          <a:solidFill>
            <a:sysClr val="windowText" lastClr="000000"/>
          </a:solidFill>
          <a:prstDash val="dash"/>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lIns="0" tIns="0" rIns="0" bIns="0" rtlCol="0" anchor="ctr"/>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pPr algn="ctr"/>
          <a:r>
            <a:rPr lang="es-BO" sz="1100" b="1">
              <a:latin typeface="Century Gothic" panose="020B0502020202020204" pitchFamily="34" charset="0"/>
            </a:rPr>
            <a:t>24.399</a:t>
          </a:r>
        </a:p>
      </cdr:txBody>
    </cdr:sp>
  </cdr:relSizeAnchor>
  <cdr:relSizeAnchor xmlns:cdr="http://schemas.openxmlformats.org/drawingml/2006/chartDrawing">
    <cdr:from>
      <cdr:x>0.42513</cdr:x>
      <cdr:y>0.17524</cdr:y>
    </cdr:from>
    <cdr:to>
      <cdr:x>0.55712</cdr:x>
      <cdr:y>0.22621</cdr:y>
    </cdr:to>
    <cdr:sp macro="" textlink="">
      <cdr:nvSpPr>
        <cdr:cNvPr id="4" name="CuadroTexto 1">
          <a:extLst xmlns:a="http://schemas.openxmlformats.org/drawingml/2006/main">
            <a:ext uri="{FF2B5EF4-FFF2-40B4-BE49-F238E27FC236}">
              <a16:creationId xmlns:a16="http://schemas.microsoft.com/office/drawing/2014/main" id="{9D476C68-D678-49D5-86DF-B4A766BE0651}"/>
            </a:ext>
          </a:extLst>
        </cdr:cNvPr>
        <cdr:cNvSpPr txBox="1"/>
      </cdr:nvSpPr>
      <cdr:spPr>
        <a:xfrm xmlns:a="http://schemas.openxmlformats.org/drawingml/2006/main">
          <a:off x="1841499" y="654957"/>
          <a:ext cx="571694" cy="190500"/>
        </a:xfrm>
        <a:prstGeom xmlns:a="http://schemas.openxmlformats.org/drawingml/2006/main" prst="rect">
          <a:avLst/>
        </a:prstGeom>
        <a:noFill xmlns:a="http://schemas.openxmlformats.org/drawingml/2006/main"/>
        <a:ln xmlns:a="http://schemas.openxmlformats.org/drawingml/2006/main" w="9525" cmpd="sng">
          <a:noFill/>
          <a:prstDash val="dash"/>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lIns="0" tIns="0" rIns="0" bIns="0" rtlCol="0" anchor="ctr"/>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pPr algn="ctr"/>
          <a:r>
            <a:rPr lang="es-BO" sz="1100" b="1">
              <a:latin typeface="Century Gothic" panose="020B0502020202020204" pitchFamily="34" charset="0"/>
            </a:rPr>
            <a:t>26,3%</a:t>
          </a: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318</TotalTime>
  <Pages>19</Pages>
  <Words>4691</Words>
  <Characters>25805</Characters>
  <Application>Microsoft Office Word</Application>
  <DocSecurity>0</DocSecurity>
  <Lines>215</Lines>
  <Paragraphs>60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30436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Fernando Andrés Tapia Magne</cp:lastModifiedBy>
  <cp:revision>16</cp:revision>
  <cp:lastPrinted>2026-10-16T17:54:00Z</cp:lastPrinted>
  <dcterms:created xsi:type="dcterms:W3CDTF">2013-12-23T23:15:00Z</dcterms:created>
  <dcterms:modified xsi:type="dcterms:W3CDTF">2026-10-24T15:49:00Z</dcterms:modified>
  <cp:category/>
</cp:coreProperties>
</file>