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pStyle w:val="Heading2"/>
        <w:rPr/>
      </w:pPr>
      <w:r w:rsidDel="00000000" w:rsidR="00000000" w:rsidRPr="00000000">
        <w:rPr>
          <w:rtl w:val="0"/>
        </w:rPr>
        <w:t xml:space="preserve">Original Paper</w:t>
      </w:r>
    </w:p>
    <w:p w:rsidR="00000000" w:rsidDel="00000000" w:rsidP="00000000" w:rsidRDefault="00000000" w:rsidRPr="00000000" w14:paraId="00000002">
      <w:pPr>
        <w:pStyle w:val="Heading1"/>
        <w:rPr/>
      </w:pPr>
      <w:r w:rsidDel="00000000" w:rsidR="00000000" w:rsidRPr="00000000">
        <w:rPr>
          <w:rtl w:val="0"/>
        </w:rPr>
        <w:t xml:space="preserve">Using Social Vulnerability Indices to Predict Priority Areas for Prevention of Sudden Unexpected Infant Death in Cook County, IL: Cross-Sectional Study</w:t>
      </w:r>
    </w:p>
    <w:bookmarkStart w:colFirst="0" w:colLast="0" w:name="bookmark=id.1fob9te" w:id="1"/>
    <w:bookmarkEnd w:id="1"/>
    <w:p w:rsidR="00000000" w:rsidDel="00000000" w:rsidP="00000000" w:rsidRDefault="00000000" w:rsidRPr="00000000" w14:paraId="00000003">
      <w:pPr>
        <w:pStyle w:val="Heading2"/>
        <w:rPr/>
      </w:pPr>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Background: </w:t>
      </w:r>
      <w:r w:rsidDel="00000000" w:rsidR="00000000" w:rsidRPr="00000000">
        <w:rPr>
          <w:rtl w:val="0"/>
        </w:rPr>
        <w:t xml:space="preserve">Incidence of Sudden Unexpected Infant Death (SUID) in the United States has persisted at roughly the same level since the mid-2000’s despite intensive prevention efforts. Disparities in outcomes across racial/socioeconomic lines also persist. These disparities are reflected in the spatial distribution of cases. </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Objective: </w:t>
      </w:r>
      <w:r w:rsidDel="00000000" w:rsidR="00000000" w:rsidRPr="00000000">
        <w:rPr>
          <w:rtl w:val="0"/>
        </w:rPr>
        <w:t xml:space="preserve">We sought to characterize communities where SUID occurred in Cook County, IL from 2015-2019 and predict where it would occur in 2021-2025.</w:t>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Methods: </w:t>
      </w:r>
      <w:r w:rsidDel="00000000" w:rsidR="00000000" w:rsidRPr="00000000">
        <w:rPr>
          <w:rtl w:val="0"/>
        </w:rPr>
        <w:t xml:space="preserve">This cross-sectional retrospective study used geocoded medical examiner data from 2015-2019 to identify SUID cases in Cook County, IL and aggregated them to census tracts, then to “communities” as the unit of analysis. We compared demographic factors in communities affected by SUID versus those unaffected. We used social vulnerability indicators from 2014 to train a prediction model for SUID Case Counts in each given community for 2015-2019. We applied indicators from 2020 to the trained model to make predictions for 2021-2025.</w:t>
      </w: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Results:</w:t>
      </w:r>
      <w:r w:rsidDel="00000000" w:rsidR="00000000" w:rsidRPr="00000000">
        <w:rPr>
          <w:rtl w:val="0"/>
        </w:rPr>
        <w:t xml:space="preserve"> The analysis was based on 325 cases of SUID in 199 communities. Communities affected by SUID exhibited higher median proportions of Non-Hispanic Black residents at </w:t>
      </w:r>
      <w:r w:rsidDel="00000000" w:rsidR="00000000" w:rsidRPr="00000000">
        <w:rPr>
          <w:rtl w:val="0"/>
        </w:rPr>
        <w:t xml:space="preserve">32% (IQR 6-79) vs. 3% (IQR 2-10) and lower proportions of Non-Hispanic White residents at 17% (IQR 4-49) vs. 60% (IQR 31-76</w:t>
      </w:r>
      <w:r w:rsidDel="00000000" w:rsidR="00000000" w:rsidRPr="00000000">
        <w:rPr>
          <w:rtl w:val="0"/>
        </w:rPr>
        <w:t xml:space="preserve">). A map of communities in Cook County affected by SUID (2015-2019) showed clusters in the South and West regions of the county. Our predictive model showed moderate accuracy when assessed on the training data (Nagelkerke’s R</w:t>
      </w:r>
      <w:r w:rsidDel="00000000" w:rsidR="00000000" w:rsidRPr="00000000">
        <w:rPr>
          <w:vertAlign w:val="superscript"/>
          <w:rtl w:val="0"/>
        </w:rPr>
        <w:t xml:space="preserve">2</w:t>
      </w:r>
      <w:r w:rsidDel="00000000" w:rsidR="00000000" w:rsidRPr="00000000">
        <w:rPr>
          <w:rtl w:val="0"/>
        </w:rPr>
        <w:t xml:space="preserve"> of 70.2%). It predicted Austin (17), Englewood (14), Auburn Gresham (12), Chicago Lawn (12), and South Shore (11) to have the largest case counts from 2021-2025.</w:t>
      </w:r>
    </w:p>
    <w:p w:rsidR="00000000" w:rsidDel="00000000" w:rsidP="00000000" w:rsidRDefault="00000000" w:rsidRPr="00000000" w14:paraId="00000008">
      <w:pPr>
        <w:rPr>
          <w:b w:val="1"/>
        </w:rPr>
      </w:pPr>
      <w:r w:rsidDel="00000000" w:rsidR="00000000" w:rsidRPr="00000000">
        <w:rPr>
          <w:b w:val="1"/>
          <w:rtl w:val="0"/>
        </w:rPr>
        <w:t xml:space="preserve">Conclusions:</w:t>
      </w:r>
      <w:r w:rsidDel="00000000" w:rsidR="00000000" w:rsidRPr="00000000">
        <w:rPr>
          <w:rtl w:val="0"/>
        </w:rPr>
        <w:t xml:space="preserve"> Sharp racial and socioeconomic disparities in SUID incidence persisted within Cook County from 2015-2019. Our predictive model and maps identified precise regions within the county for local health departments to target for </w:t>
      </w:r>
      <w:r w:rsidDel="00000000" w:rsidR="00000000" w:rsidRPr="00000000">
        <w:rPr>
          <w:rtl w:val="0"/>
        </w:rPr>
        <w:t xml:space="preserve">intervention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bookmarkStart w:colFirst="0" w:colLast="0" w:name="bookmark=id.3znysh7" w:id="2"/>
    <w:bookmarkEnd w:id="2"/>
    <w:p w:rsidR="00000000" w:rsidDel="00000000" w:rsidP="00000000" w:rsidRDefault="00000000" w:rsidRPr="00000000" w14:paraId="0000000B">
      <w:pPr>
        <w:rPr/>
      </w:pPr>
      <w:r w:rsidDel="00000000" w:rsidR="00000000" w:rsidRPr="00000000">
        <w:rPr>
          <w:b w:val="1"/>
          <w:rtl w:val="0"/>
        </w:rPr>
        <w:t xml:space="preserve">Keywords:</w:t>
      </w:r>
      <w:r w:rsidDel="00000000" w:rsidR="00000000" w:rsidRPr="00000000">
        <w:rPr>
          <w:rtl w:val="0"/>
        </w:rPr>
        <w:t xml:space="preserve"> Sudden Unexpected Infant Death, Sudden Infant Death Syndrome, GIS, Pediatrics, Social Determinants of Health, Structural Racism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heading=h.2et92p0" w:id="3"/>
      <w:bookmarkEnd w:id="3"/>
      <w:r w:rsidDel="00000000" w:rsidR="00000000" w:rsidRPr="00000000">
        <w:rPr>
          <w:rtl w:val="0"/>
        </w:rPr>
        <w:t xml:space="preserve">Introduction</w:t>
      </w:r>
      <w:r w:rsidDel="00000000" w:rsidR="00000000" w:rsidRPr="00000000">
        <w:rPr>
          <w:rtl w:val="0"/>
        </w:rPr>
        <w:tab/>
      </w:r>
    </w:p>
    <w:p w:rsidR="00000000" w:rsidDel="00000000" w:rsidP="00000000" w:rsidRDefault="00000000" w:rsidRPr="00000000" w14:paraId="0000000E">
      <w:pPr>
        <w:pStyle w:val="Heading3"/>
        <w:spacing w:line="360" w:lineRule="auto"/>
        <w:rPr/>
      </w:pPr>
      <w:r w:rsidDel="00000000" w:rsidR="00000000" w:rsidRPr="00000000">
        <w:rPr>
          <w:rtl w:val="0"/>
        </w:rPr>
        <w:t xml:space="preserve">Background</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Sudden Unexpected Infant Death (SUID) exacts a severe, lasting toll. The National Institute of Child Health and Human Development (NICHD) defines SUID as “the death of an infant younger than 1 year of age that occurs suddenly and unexpectedly” [1]. At the familial level, loss of an infant may put bereaved caregivers–especially birth mothers–at heightened risk for Prolonged Grief Disorder where the process of healing and acceptance evades realization [2]. At the societal level, Sudden Infant Death Syndrome</w:t>
      </w:r>
      <w:r w:rsidDel="00000000" w:rsidR="00000000" w:rsidRPr="00000000">
        <w:rPr>
          <w:rtl w:val="0"/>
        </w:rPr>
        <w:t xml:space="preserve"> (</w:t>
      </w:r>
      <w:r w:rsidDel="00000000" w:rsidR="00000000" w:rsidRPr="00000000">
        <w:rPr>
          <w:color w:val="000000"/>
          <w:rtl w:val="0"/>
        </w:rPr>
        <w:t xml:space="preserve">a large </w:t>
      </w:r>
      <w:r w:rsidDel="00000000" w:rsidR="00000000" w:rsidRPr="00000000">
        <w:rPr>
          <w:rtl w:val="0"/>
        </w:rPr>
        <w:t xml:space="preserve">subset of SUID</w:t>
      </w:r>
      <w:r w:rsidDel="00000000" w:rsidR="00000000" w:rsidRPr="00000000">
        <w:rPr>
          <w:color w:val="000000"/>
          <w:rtl w:val="0"/>
        </w:rPr>
        <w:t xml:space="preserve"> cases</w:t>
      </w:r>
      <w:r w:rsidDel="00000000" w:rsidR="00000000" w:rsidRPr="00000000">
        <w:rPr>
          <w:rtl w:val="0"/>
        </w:rPr>
        <w:t xml:space="preserve">)</w:t>
      </w:r>
      <w:r w:rsidDel="00000000" w:rsidR="00000000" w:rsidRPr="00000000">
        <w:rPr>
          <w:color w:val="000000"/>
          <w:rtl w:val="0"/>
        </w:rPr>
        <w:t xml:space="preserve"> contributes to 20% of all post-neonatal infant mortality in the United States [3].</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Previous research has demonstrated that SUID varies unequally in incidence across communities within major metropolitan regions [4–6]. Within Cook County specifically, Guest et al. (1998) demonstrated that this geographic variation was significantly associated with the community-level factors of racial segregation and unemployment [7].</w:t>
      </w:r>
    </w:p>
    <w:bookmarkStart w:colFirst="0" w:colLast="0" w:name="bookmark=id.tyjcwt" w:id="4"/>
    <w:bookmarkEnd w:id="4"/>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To counteract these negative socioeconomic influences and reduce community incidence of SUID in a just manner, public health practitioners must precisely target their interventions in space and time. Without spatiotemporal precision, practitioners risk exacerbating inequity by bolstering communities already well-resourced, while neglecting the communities in highest need [8].</w:t>
      </w:r>
    </w:p>
    <w:p w:rsidR="00000000" w:rsidDel="00000000" w:rsidP="00000000" w:rsidRDefault="00000000" w:rsidRPr="00000000" w14:paraId="00000012">
      <w:pPr>
        <w:pStyle w:val="Heading3"/>
        <w:spacing w:line="360" w:lineRule="auto"/>
        <w:rPr>
          <w:rFonts w:ascii="Cambria" w:cs="Cambria" w:eastAsia="Cambria" w:hAnsi="Cambria"/>
        </w:rPr>
      </w:pPr>
      <w:r w:rsidDel="00000000" w:rsidR="00000000" w:rsidRPr="00000000">
        <w:rPr>
          <w:rFonts w:ascii="Cambria" w:cs="Cambria" w:eastAsia="Cambria" w:hAnsi="Cambria"/>
          <w:rtl w:val="0"/>
        </w:rPr>
        <w:t xml:space="preserve">Objectives</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In this study of Cook County, IL, we sought to precisely describe where SUID occurred in the recent past (2015-2019) and to project where these deaths would occur in the near future (2021-2025). Geospatially, previous analyses have not provided sufficient detail to name specific </w:t>
      </w:r>
      <w:r w:rsidDel="00000000" w:rsidR="00000000" w:rsidRPr="00000000">
        <w:rPr>
          <w:rtl w:val="0"/>
        </w:rPr>
        <w:t xml:space="preserve">places within the county to target at</w:t>
      </w:r>
      <w:r w:rsidDel="00000000" w:rsidR="00000000" w:rsidRPr="00000000">
        <w:rPr>
          <w:color w:val="000000"/>
          <w:rtl w:val="0"/>
        </w:rPr>
        <w:t xml:space="preserve"> highest priority [4–6, 9]. We afforded greater detail by aggregating information at the census tract level into “communities” as our primary unit of analysis. We enabled public health practitioners and community organizations to take advantage of greater detail by generating interactive maps that could pan and zoom to areas of high risk.</w:t>
      </w:r>
    </w:p>
    <w:bookmarkStart w:colFirst="0" w:colLast="0" w:name="bookmark=id.3dy6vkm" w:id="5"/>
    <w:bookmarkEnd w:id="5"/>
    <w:bookmarkStart w:colFirst="0" w:colLast="0" w:name="bookmark=id.1t3h5sf" w:id="6"/>
    <w:bookmarkEnd w:id="6"/>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While these analytic efforts were specific to Cook County, we designed an open source coding workflow that could be adapted to generate maps and predictive models for other </w:t>
      </w:r>
      <w:r w:rsidDel="00000000" w:rsidR="00000000" w:rsidRPr="00000000">
        <w:rPr>
          <w:color w:val="000000"/>
          <w:rtl w:val="0"/>
        </w:rPr>
        <w:t xml:space="preserve">jurisdictions</w:t>
      </w:r>
      <w:r w:rsidDel="00000000" w:rsidR="00000000" w:rsidRPr="00000000">
        <w:rPr>
          <w:color w:val="000000"/>
          <w:rtl w:val="0"/>
        </w:rPr>
        <w:t xml:space="preserve"> [</w:t>
      </w:r>
      <w:r w:rsidDel="00000000" w:rsidR="00000000" w:rsidRPr="00000000">
        <w:rPr>
          <w:rtl w:val="0"/>
        </w:rPr>
        <w:t xml:space="preserve">10</w:t>
      </w:r>
      <w:r w:rsidDel="00000000" w:rsidR="00000000" w:rsidRPr="00000000">
        <w:rPr>
          <w:color w:val="000000"/>
          <w:rtl w:val="0"/>
        </w:rPr>
        <w:t xml:space="preserve">]. We hope these tools will enable communities most afflicted by SUID to get assistance in a timely, targeted manner.</w:t>
      </w:r>
    </w:p>
    <w:bookmarkStart w:colFirst="0" w:colLast="0" w:name="bookmark=id.2s8eyo1" w:id="7"/>
    <w:bookmarkEnd w:id="7"/>
    <w:p w:rsidR="00000000" w:rsidDel="00000000" w:rsidP="00000000" w:rsidRDefault="00000000" w:rsidRPr="00000000" w14:paraId="00000015">
      <w:pPr>
        <w:pStyle w:val="Heading2"/>
        <w:rPr/>
      </w:pPr>
      <w:bookmarkStart w:colFirst="0" w:colLast="0" w:name="_heading=h.4d34og8" w:id="8"/>
      <w:bookmarkEnd w:id="8"/>
      <w:r w:rsidDel="00000000" w:rsidR="00000000" w:rsidRPr="00000000">
        <w:rPr>
          <w:rtl w:val="0"/>
        </w:rPr>
        <w:t xml:space="preserve">Methods</w:t>
      </w:r>
    </w:p>
    <w:p w:rsidR="00000000" w:rsidDel="00000000" w:rsidP="00000000" w:rsidRDefault="00000000" w:rsidRPr="00000000" w14:paraId="00000016">
      <w:pPr>
        <w:pStyle w:val="Heading3"/>
        <w:spacing w:line="360" w:lineRule="auto"/>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Study Design</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We conducted a cross-sectional retrospective study concerning case counts of SUID in “communities” of Cook County, IL.</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We used the concept of “communities” in order to:</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36" w:before="36" w:line="360" w:lineRule="auto"/>
        <w:ind w:left="785" w:hanging="360"/>
        <w:rPr>
          <w:color w:val="000000"/>
        </w:rPr>
      </w:pPr>
      <w:r w:rsidDel="00000000" w:rsidR="00000000" w:rsidRPr="00000000">
        <w:rPr>
          <w:color w:val="000000"/>
          <w:rtl w:val="0"/>
        </w:rPr>
        <w:t xml:space="preserve">Increase the geographic catchment area for case counts (incidence in census tracts was too low to make meaningful case count predictions)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36" w:before="36" w:line="360" w:lineRule="auto"/>
        <w:ind w:left="785" w:hanging="360"/>
        <w:rPr>
          <w:color w:val="000000"/>
        </w:rPr>
      </w:pPr>
      <w:r w:rsidDel="00000000" w:rsidR="00000000" w:rsidRPr="00000000">
        <w:rPr>
          <w:color w:val="000000"/>
          <w:rtl w:val="0"/>
        </w:rPr>
        <w:t xml:space="preserve">Lend semantic meaning to the geographic unit of analysis, that is, being able to name each unit rather than using a numeric identifier</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rtl w:val="0"/>
        </w:rPr>
        <w:t xml:space="preserve">C</w:t>
      </w:r>
      <w:r w:rsidDel="00000000" w:rsidR="00000000" w:rsidRPr="00000000">
        <w:rPr>
          <w:color w:val="000000"/>
          <w:rtl w:val="0"/>
        </w:rPr>
        <w:t xml:space="preserve">ommunities were spatial joins of census tracts based on </w:t>
      </w:r>
      <w:r w:rsidDel="00000000" w:rsidR="00000000" w:rsidRPr="00000000">
        <w:rPr>
          <w:rtl w:val="0"/>
        </w:rPr>
        <w:t xml:space="preserve">tags generated by the </w:t>
      </w:r>
      <w:r w:rsidDel="00000000" w:rsidR="00000000" w:rsidRPr="00000000">
        <w:rPr>
          <w:color w:val="000000"/>
          <w:rtl w:val="0"/>
        </w:rPr>
        <w:t xml:space="preserve">OpenCage geocoding service</w:t>
      </w:r>
      <w:r w:rsidDel="00000000" w:rsidR="00000000" w:rsidRPr="00000000">
        <w:rPr>
          <w:rtl w:val="0"/>
        </w:rPr>
        <w:t xml:space="preserve"> for the centroid of each tract</w:t>
      </w:r>
      <w:r w:rsidDel="00000000" w:rsidR="00000000" w:rsidRPr="00000000">
        <w:rPr>
          <w:color w:val="000000"/>
          <w:rtl w:val="0"/>
        </w:rPr>
        <w:t xml:space="preserve"> [</w:t>
      </w:r>
      <w:r w:rsidDel="00000000" w:rsidR="00000000" w:rsidRPr="00000000">
        <w:rPr>
          <w:color w:val="000000"/>
          <w:rtl w:val="0"/>
        </w:rPr>
        <w:t xml:space="preserve">2</w:t>
      </w:r>
      <w:r w:rsidDel="00000000" w:rsidR="00000000" w:rsidRPr="00000000">
        <w:rPr>
          <w:rtl w:val="0"/>
        </w:rPr>
        <w:t xml:space="preserve">3</w:t>
      </w:r>
      <w:r w:rsidDel="00000000" w:rsidR="00000000" w:rsidRPr="00000000">
        <w:rPr>
          <w:color w:val="000000"/>
          <w:rtl w:val="0"/>
        </w:rPr>
        <w:t xml:space="preserve">]. Within city limits, </w:t>
      </w:r>
      <w:r w:rsidDel="00000000" w:rsidR="00000000" w:rsidRPr="00000000">
        <w:rPr>
          <w:rtl w:val="0"/>
        </w:rPr>
        <w:t xml:space="preserve">census tract joins roughly correlated to Chicago “Community Areas” [</w:t>
      </w:r>
      <w:hyperlink r:id="rId7">
        <w:r w:rsidDel="00000000" w:rsidR="00000000" w:rsidRPr="00000000">
          <w:rPr>
            <w:color w:val="1155cc"/>
            <w:u w:val="single"/>
            <w:rtl w:val="0"/>
          </w:rPr>
          <w:t xml:space="preserve">https://data.cityofchicago.org/Facilities-Geographic-Boundaries/Boundaries-Community-Areas-current-/cauq-8yn6</w:t>
        </w:r>
      </w:hyperlink>
      <w:r w:rsidDel="00000000" w:rsidR="00000000" w:rsidRPr="00000000">
        <w:rPr>
          <w:rtl w:val="0"/>
        </w:rPr>
        <w:t xml:space="preserve">], while outside of Chicago, the joins correlated to local municipality boundaries.</w:t>
      </w:r>
      <w:r w:rsidDel="00000000" w:rsidR="00000000" w:rsidRPr="00000000">
        <w:rPr>
          <w:rtl w:val="0"/>
        </w:rPr>
        <w:t xml:space="preserve"> </w:t>
      </w:r>
      <w:r w:rsidDel="00000000" w:rsidR="00000000" w:rsidRPr="00000000">
        <w:rPr>
          <w:rtl w:val="0"/>
        </w:rPr>
      </w:r>
    </w:p>
    <w:bookmarkStart w:colFirst="0" w:colLast="0" w:name="bookmark=id.17dp8vu" w:id="9"/>
    <w:bookmarkEnd w:id="9"/>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Although aggregating to “communities” lent the benefits listed above, it came at the cost of less precision for </w:t>
      </w:r>
      <w:r w:rsidDel="00000000" w:rsidR="00000000" w:rsidRPr="00000000">
        <w:rPr>
          <w:rtl w:val="0"/>
        </w:rPr>
        <w:t xml:space="preserve">covariates</w:t>
      </w:r>
      <w:r w:rsidDel="00000000" w:rsidR="00000000" w:rsidRPr="00000000">
        <w:rPr>
          <w:color w:val="000000"/>
          <w:rtl w:val="0"/>
        </w:rPr>
        <w:t xml:space="preserve">, which were aggregated by taking simple sums of their estimates at the census tract level without taking into account variations in their margins of error.</w:t>
      </w:r>
    </w:p>
    <w:bookmarkStart w:colFirst="0" w:colLast="0" w:name="bookmark=id.3rdcrjn" w:id="10"/>
    <w:bookmarkEnd w:id="10"/>
    <w:p w:rsidR="00000000" w:rsidDel="00000000" w:rsidP="00000000" w:rsidRDefault="00000000" w:rsidRPr="00000000" w14:paraId="0000001D">
      <w:pPr>
        <w:pStyle w:val="Heading3"/>
        <w:spacing w:line="360" w:lineRule="auto"/>
        <w:rPr>
          <w:rFonts w:ascii="Calibri" w:cs="Calibri" w:eastAsia="Calibri" w:hAnsi="Calibri"/>
        </w:rPr>
      </w:pPr>
      <w:r w:rsidDel="00000000" w:rsidR="00000000" w:rsidRPr="00000000">
        <w:rPr>
          <w:rFonts w:ascii="Calibri" w:cs="Calibri" w:eastAsia="Calibri" w:hAnsi="Calibri"/>
          <w:rtl w:val="0"/>
        </w:rPr>
        <w:t xml:space="preserve">Primary Outcome</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The primary outcome of interest was SUID case count in each community. We translated The NICHD’s definition of SUID [1] into a SQL query of the Cook County Medical Examiner Office’s Archive (Figure 1). Each case identified by the query was validated by team members from the SUID Case Registry for Cook County. Each validated case was geocoded confidentially using ArcGIS Pro geocoding tools behind Cook County’s firewall. Geocoded cases were spatially joined by intersection with census tracts and aggregated to case counts. These anonymized case counts at the census tract level, were further aggregated to the community level as described </w:t>
      </w:r>
      <w:r w:rsidDel="00000000" w:rsidR="00000000" w:rsidRPr="00000000">
        <w:rPr>
          <w:color w:val="000000"/>
          <w:rtl w:val="0"/>
        </w:rPr>
        <w:t xml:space="preserve">above</w:t>
      </w:r>
      <w:r w:rsidDel="00000000" w:rsidR="00000000" w:rsidRPr="00000000">
        <w:rPr>
          <w:color w:val="000000"/>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40" w:line="360" w:lineRule="auto"/>
        <w:rPr/>
      </w:pPr>
      <w:r w:rsidDel="00000000" w:rsidR="00000000" w:rsidRPr="00000000">
        <w:rPr/>
        <w:drawing>
          <wp:inline distB="114300" distT="114300" distL="114300" distR="114300">
            <wp:extent cx="5486400" cy="37846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40" w:line="360" w:lineRule="auto"/>
        <w:rPr>
          <w:i w:val="1"/>
        </w:rPr>
      </w:pPr>
      <w:r w:rsidDel="00000000" w:rsidR="00000000" w:rsidRPr="00000000">
        <w:rPr>
          <w:b w:val="1"/>
          <w:rtl w:val="0"/>
        </w:rPr>
        <w:t xml:space="preserve">Figure 1.</w:t>
      </w:r>
      <w:r w:rsidDel="00000000" w:rsidR="00000000" w:rsidRPr="00000000">
        <w:rPr>
          <w:rtl w:val="0"/>
        </w:rPr>
        <w:t xml:space="preserve"> SQL Query for Identifying Prospective Cases of SUID from the Cook County Medical Examiner’s Case Archive. </w:t>
      </w:r>
      <w:r w:rsidDel="00000000" w:rsidR="00000000" w:rsidRPr="00000000">
        <w:rPr>
          <w:i w:val="1"/>
          <w:rtl w:val="0"/>
        </w:rPr>
        <w:t xml:space="preserve">The “WHERE CASENUMBER IN” clause is censored, but contained a list of additional case numbers recommended for inclusion by team members from the SUID Case Registry for Cook County.</w:t>
      </w:r>
    </w:p>
    <w:bookmarkStart w:colFirst="0" w:colLast="0" w:name="bookmark=id.26in1rg" w:id="11"/>
    <w:bookmarkEnd w:id="11"/>
    <w:p w:rsidR="00000000" w:rsidDel="00000000" w:rsidP="00000000" w:rsidRDefault="00000000" w:rsidRPr="00000000" w14:paraId="00000021">
      <w:pPr>
        <w:pStyle w:val="Heading3"/>
        <w:spacing w:line="360" w:lineRule="auto"/>
        <w:rPr>
          <w:rFonts w:ascii="Calibri" w:cs="Calibri" w:eastAsia="Calibri" w:hAnsi="Calibri"/>
        </w:rPr>
      </w:pPr>
      <w:r w:rsidDel="00000000" w:rsidR="00000000" w:rsidRPr="00000000">
        <w:rPr>
          <w:rFonts w:ascii="Calibri" w:cs="Calibri" w:eastAsia="Calibri" w:hAnsi="Calibri"/>
          <w:rtl w:val="0"/>
        </w:rPr>
        <w:t xml:space="preserve">Temporal Setting</w:t>
      </w:r>
    </w:p>
    <w:bookmarkStart w:colFirst="0" w:colLast="0" w:name="bookmark=id.lnxbz9" w:id="12"/>
    <w:bookmarkEnd w:id="12"/>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The year of origin for each data variable was context-specific. SUID Case Counts were observed from 2015-2019. A descriptive comparison of census tracts with and without SUID present was performed on variables from contemporaneous years. We retrospectively trained a model predicting SUID Case Counts from 2015-2019 using predictor co-variates from 2014. Using the trained model, we made prospective predictions for SUID Case Counts from 2021-2025 with co-variates from 2020.</w:t>
      </w:r>
    </w:p>
    <w:p w:rsidR="00000000" w:rsidDel="00000000" w:rsidP="00000000" w:rsidRDefault="00000000" w:rsidRPr="00000000" w14:paraId="00000023">
      <w:pPr>
        <w:pStyle w:val="Heading3"/>
        <w:spacing w:line="360" w:lineRule="auto"/>
        <w:rPr>
          <w:rFonts w:ascii="Calibri" w:cs="Calibri" w:eastAsia="Calibri" w:hAnsi="Calibri"/>
        </w:rPr>
      </w:pPr>
      <w:r w:rsidDel="00000000" w:rsidR="00000000" w:rsidRPr="00000000">
        <w:rPr>
          <w:rFonts w:ascii="Calibri" w:cs="Calibri" w:eastAsia="Calibri" w:hAnsi="Calibri"/>
          <w:rtl w:val="0"/>
        </w:rPr>
        <w:t xml:space="preserve">Coding Pipeline</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We performed all steps in the data pipeline downstream from the SQL query in the R computing environment [1</w:t>
      </w:r>
      <w:r w:rsidDel="00000000" w:rsidR="00000000" w:rsidRPr="00000000">
        <w:rPr>
          <w:rtl w:val="0"/>
        </w:rPr>
        <w:t xml:space="preserve">3</w:t>
      </w:r>
      <w:r w:rsidDel="00000000" w:rsidR="00000000" w:rsidRPr="00000000">
        <w:rPr>
          <w:color w:val="000000"/>
          <w:rtl w:val="0"/>
        </w:rPr>
        <w:t xml:space="preserve">] using the {tidyverse} suite of packages (by convention, package names in R are enclosed with curly brackets) [1</w:t>
      </w:r>
      <w:r w:rsidDel="00000000" w:rsidR="00000000" w:rsidRPr="00000000">
        <w:rPr>
          <w:rtl w:val="0"/>
        </w:rPr>
        <w:t xml:space="preserve">4</w:t>
      </w:r>
      <w:r w:rsidDel="00000000" w:rsidR="00000000" w:rsidRPr="00000000">
        <w:rPr>
          <w:color w:val="000000"/>
          <w:rtl w:val="0"/>
        </w:rPr>
        <w:t xml:space="preserve">]. </w:t>
      </w:r>
      <w:r w:rsidDel="00000000" w:rsidR="00000000" w:rsidRPr="00000000">
        <w:rPr>
          <w:color w:val="000000"/>
          <w:rtl w:val="0"/>
        </w:rPr>
        <w:t xml:space="preserve">We utilized additional data cleaning convenience functions </w:t>
      </w:r>
      <w:r w:rsidDel="00000000" w:rsidR="00000000" w:rsidRPr="00000000">
        <w:rPr>
          <w:color w:val="000000"/>
          <w:rtl w:val="0"/>
        </w:rPr>
        <w:t xml:space="preserve">from the {janitor} and {RSocrata} packages [1</w:t>
      </w:r>
      <w:r w:rsidDel="00000000" w:rsidR="00000000" w:rsidRPr="00000000">
        <w:rPr>
          <w:rtl w:val="0"/>
        </w:rPr>
        <w:t xml:space="preserve">5</w:t>
      </w:r>
      <w:r w:rsidDel="00000000" w:rsidR="00000000" w:rsidRPr="00000000">
        <w:rPr>
          <w:color w:val="000000"/>
          <w:rtl w:val="0"/>
        </w:rPr>
        <w:t xml:space="preserve">, 1</w:t>
      </w:r>
      <w:r w:rsidDel="00000000" w:rsidR="00000000" w:rsidRPr="00000000">
        <w:rPr>
          <w:rtl w:val="0"/>
        </w:rPr>
        <w:t xml:space="preserve">6</w:t>
      </w:r>
      <w:r w:rsidDel="00000000" w:rsidR="00000000" w:rsidRPr="00000000">
        <w:rPr>
          <w:color w:val="000000"/>
          <w:rtl w:val="0"/>
        </w:rPr>
        <w:t xml:space="preserve">]. The pipeline was orchestrated by specification using the {targets} package [1</w:t>
      </w:r>
      <w:r w:rsidDel="00000000" w:rsidR="00000000" w:rsidRPr="00000000">
        <w:rPr>
          <w:rtl w:val="0"/>
        </w:rPr>
        <w:t xml:space="preserve">7</w:t>
      </w:r>
      <w:r w:rsidDel="00000000" w:rsidR="00000000" w:rsidRPr="00000000">
        <w:rPr>
          <w:color w:val="000000"/>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We generated data tables for publication using the {gt} package and its companion {gtsummary} [1</w:t>
      </w:r>
      <w:r w:rsidDel="00000000" w:rsidR="00000000" w:rsidRPr="00000000">
        <w:rPr>
          <w:rtl w:val="0"/>
        </w:rPr>
        <w:t xml:space="preserve">8</w:t>
      </w:r>
      <w:r w:rsidDel="00000000" w:rsidR="00000000" w:rsidRPr="00000000">
        <w:rPr>
          <w:color w:val="000000"/>
          <w:rtl w:val="0"/>
        </w:rPr>
        <w:t xml:space="preserve">, 1</w:t>
      </w:r>
      <w:r w:rsidDel="00000000" w:rsidR="00000000" w:rsidRPr="00000000">
        <w:rPr>
          <w:rtl w:val="0"/>
        </w:rPr>
        <w:t xml:space="preserve">9</w:t>
      </w:r>
      <w:r w:rsidDel="00000000" w:rsidR="00000000" w:rsidRPr="00000000">
        <w:rPr>
          <w:color w:val="000000"/>
          <w:rtl w:val="0"/>
        </w:rPr>
        <w:t xml:space="preserve">].</w:t>
      </w:r>
    </w:p>
    <w:bookmarkStart w:colFirst="0" w:colLast="0" w:name="bookmark=id.35nkun2" w:id="13"/>
    <w:bookmarkEnd w:id="13"/>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We performed geospatial manipulation and mapping with the {sf}, {leaflet}, {tmap}, {opencage}, and {tigris} packages [</w:t>
      </w:r>
      <w:r w:rsidDel="00000000" w:rsidR="00000000" w:rsidRPr="00000000">
        <w:rPr>
          <w:rtl w:val="0"/>
        </w:rPr>
        <w:t xml:space="preserve">20</w:t>
      </w:r>
      <w:r w:rsidDel="00000000" w:rsidR="00000000" w:rsidRPr="00000000">
        <w:rPr>
          <w:color w:val="000000"/>
          <w:rtl w:val="0"/>
        </w:rPr>
        <w:t xml:space="preserve">–2</w:t>
      </w:r>
      <w:r w:rsidDel="00000000" w:rsidR="00000000" w:rsidRPr="00000000">
        <w:rPr>
          <w:rtl w:val="0"/>
        </w:rPr>
        <w:t xml:space="preserve">4</w:t>
      </w:r>
      <w:r w:rsidDel="00000000" w:rsidR="00000000" w:rsidRPr="00000000">
        <w:rPr>
          <w:color w:val="000000"/>
          <w:rtl w:val="0"/>
        </w:rPr>
        <w:t xml:space="preserve">] along with their back-end infrastructure [2</w:t>
      </w:r>
      <w:r w:rsidDel="00000000" w:rsidR="00000000" w:rsidRPr="00000000">
        <w:rPr>
          <w:rtl w:val="0"/>
        </w:rPr>
        <w:t xml:space="preserve">5</w:t>
      </w:r>
      <w:r w:rsidDel="00000000" w:rsidR="00000000" w:rsidRPr="00000000">
        <w:rPr>
          <w:color w:val="000000"/>
          <w:rtl w:val="0"/>
        </w:rPr>
        <w:t xml:space="preserve">–3</w:t>
      </w:r>
      <w:r w:rsidDel="00000000" w:rsidR="00000000" w:rsidRPr="00000000">
        <w:rPr>
          <w:rtl w:val="0"/>
        </w:rPr>
        <w:t xml:space="preserve">2</w:t>
      </w:r>
      <w:r w:rsidDel="00000000" w:rsidR="00000000" w:rsidRPr="00000000">
        <w:rPr>
          <w:color w:val="000000"/>
          <w:rtl w:val="0"/>
        </w:rPr>
        <w:t xml:space="preserve">].</w:t>
      </w:r>
    </w:p>
    <w:bookmarkStart w:colFirst="0" w:colLast="0" w:name="bookmark=id.1ksv4uv" w:id="14"/>
    <w:bookmarkEnd w:id="14"/>
    <w:p w:rsidR="00000000" w:rsidDel="00000000" w:rsidP="00000000" w:rsidRDefault="00000000" w:rsidRPr="00000000" w14:paraId="00000027">
      <w:pPr>
        <w:pStyle w:val="Heading3"/>
        <w:spacing w:line="360" w:lineRule="auto"/>
        <w:rPr>
          <w:rFonts w:ascii="Calibri" w:cs="Calibri" w:eastAsia="Calibri" w:hAnsi="Calibri"/>
        </w:rPr>
      </w:pPr>
      <w:r w:rsidDel="00000000" w:rsidR="00000000" w:rsidRPr="00000000">
        <w:rPr>
          <w:rFonts w:ascii="Calibri" w:cs="Calibri" w:eastAsia="Calibri" w:hAnsi="Calibri"/>
          <w:rtl w:val="0"/>
        </w:rPr>
        <w:t xml:space="preserve">Statistical Analysis</w:t>
      </w:r>
    </w:p>
    <w:p w:rsidR="00000000" w:rsidDel="00000000" w:rsidP="00000000" w:rsidRDefault="00000000" w:rsidRPr="00000000" w14:paraId="00000028">
      <w:pPr>
        <w:pStyle w:val="Heading4"/>
        <w:spacing w:line="360" w:lineRule="auto"/>
        <w:rPr>
          <w:rFonts w:ascii="Calibri" w:cs="Calibri" w:eastAsia="Calibri" w:hAnsi="Calibri"/>
        </w:rPr>
      </w:pPr>
      <w:r w:rsidDel="00000000" w:rsidR="00000000" w:rsidRPr="00000000">
        <w:rPr>
          <w:rFonts w:ascii="Calibri" w:cs="Calibri" w:eastAsia="Calibri" w:hAnsi="Calibri"/>
          <w:rtl w:val="0"/>
        </w:rPr>
        <w:t xml:space="preserve">Descriptive Comparison</w:t>
      </w:r>
    </w:p>
    <w:bookmarkStart w:colFirst="0" w:colLast="0" w:name="bookmark=id.44sinio" w:id="15"/>
    <w:bookmarkEnd w:id="15"/>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We compared communities with and without observed cases of SUID using median values (and interquartile ranges) of demographic variables. Median values were reported because most of the variables did not approximate normal distributions.</w:t>
      </w:r>
    </w:p>
    <w:bookmarkStart w:colFirst="0" w:colLast="0" w:name="bookmark=id.2jxsxqh" w:id="16"/>
    <w:bookmarkEnd w:id="16"/>
    <w:p w:rsidR="00000000" w:rsidDel="00000000" w:rsidP="00000000" w:rsidRDefault="00000000" w:rsidRPr="00000000" w14:paraId="0000002A">
      <w:pPr>
        <w:pStyle w:val="Heading4"/>
        <w:spacing w:line="360" w:lineRule="auto"/>
        <w:rPr>
          <w:rFonts w:ascii="Calibri" w:cs="Calibri" w:eastAsia="Calibri" w:hAnsi="Calibri"/>
        </w:rPr>
      </w:pPr>
      <w:r w:rsidDel="00000000" w:rsidR="00000000" w:rsidRPr="00000000">
        <w:rPr>
          <w:rFonts w:ascii="Calibri" w:cs="Calibri" w:eastAsia="Calibri" w:hAnsi="Calibri"/>
          <w:rtl w:val="0"/>
        </w:rPr>
        <w:t xml:space="preserve">Predictive Modeling</w:t>
      </w:r>
    </w:p>
    <w:bookmarkStart w:colFirst="0" w:colLast="0" w:name="bookmark=id.z337ya" w:id="17"/>
    <w:bookmarkEnd w:id="17"/>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We sourced all predictive co-variates from U.S. Census’ “American Community Survey” (ACS) and from the Center for Disease Control’s associated “Social Vulnerability Index” (SVI), which has four thematic domains [1</w:t>
      </w:r>
      <w:r w:rsidDel="00000000" w:rsidR="00000000" w:rsidRPr="00000000">
        <w:rPr>
          <w:rtl w:val="0"/>
        </w:rPr>
        <w:t xml:space="preserve">1</w:t>
      </w:r>
      <w:r w:rsidDel="00000000" w:rsidR="00000000" w:rsidRPr="00000000">
        <w:rPr>
          <w:color w:val="000000"/>
          <w:rtl w:val="0"/>
        </w:rPr>
        <w:t xml:space="preserve">, 1</w:t>
      </w:r>
      <w:r w:rsidDel="00000000" w:rsidR="00000000" w:rsidRPr="00000000">
        <w:rPr>
          <w:rtl w:val="0"/>
        </w:rPr>
        <w:t xml:space="preserve">2</w:t>
      </w:r>
      <w:r w:rsidDel="00000000" w:rsidR="00000000" w:rsidRPr="00000000">
        <w:rPr>
          <w:color w:val="000000"/>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We modeled SUID case counts in each census tract using maximum likelihood estimation via the {MASS} R package [3</w:t>
      </w:r>
      <w:r w:rsidDel="00000000" w:rsidR="00000000" w:rsidRPr="00000000">
        <w:rPr>
          <w:rtl w:val="0"/>
        </w:rPr>
        <w:t xml:space="preserve">3</w:t>
      </w:r>
      <w:r w:rsidDel="00000000" w:rsidR="00000000" w:rsidRPr="00000000">
        <w:rPr>
          <w:color w:val="000000"/>
          <w:rtl w:val="0"/>
        </w:rPr>
        <w:t xml:space="preserve">]. We used the negative binomial family of generalized linear models instead of the Poisson family because over-dispersion was detected. Selection of model form and predictors along with evaluation of performance is described in detail in Supplement 1. </w:t>
      </w:r>
      <w:r w:rsidDel="00000000" w:rsidR="00000000" w:rsidRPr="00000000">
        <w:rPr>
          <w:color w:val="000000"/>
          <w:rtl w:val="0"/>
        </w:rPr>
        <w:t xml:space="preserve">Briefly, </w:t>
      </w:r>
      <w:r w:rsidDel="00000000" w:rsidR="00000000" w:rsidRPr="00000000">
        <w:rPr>
          <w:rtl w:val="0"/>
        </w:rPr>
        <w:t xml:space="preserve">we started with total population as an offset variable for use in the model. Next, to consider other predictor candidates, we calculated the</w:t>
      </w:r>
      <w:r w:rsidDel="00000000" w:rsidR="00000000" w:rsidRPr="00000000">
        <w:rPr>
          <w:color w:val="000000"/>
          <w:rtl w:val="0"/>
        </w:rPr>
        <w:t xml:space="preserve"> Pearson correlation coefficient between SUID count and </w:t>
      </w:r>
      <w:r w:rsidDel="00000000" w:rsidR="00000000" w:rsidRPr="00000000">
        <w:rPr>
          <w:rtl w:val="0"/>
        </w:rPr>
        <w:t xml:space="preserve">each</w:t>
      </w:r>
      <w:r w:rsidDel="00000000" w:rsidR="00000000" w:rsidRPr="00000000">
        <w:rPr>
          <w:color w:val="000000"/>
          <w:rtl w:val="0"/>
        </w:rPr>
        <w:t xml:space="preserve"> variable in the pool used to calculate SVI [1</w:t>
      </w:r>
      <w:r w:rsidDel="00000000" w:rsidR="00000000" w:rsidRPr="00000000">
        <w:rPr>
          <w:rtl w:val="0"/>
        </w:rPr>
        <w:t xml:space="preserve">2</w:t>
      </w:r>
      <w:r w:rsidDel="00000000" w:rsidR="00000000" w:rsidRPr="00000000">
        <w:rPr>
          <w:color w:val="000000"/>
          <w:rtl w:val="0"/>
        </w:rPr>
        <w:t xml:space="preserve">].</w:t>
      </w:r>
      <w:r w:rsidDel="00000000" w:rsidR="00000000" w:rsidRPr="00000000">
        <w:rPr>
          <w:color w:val="000000"/>
          <w:rtl w:val="0"/>
        </w:rPr>
        <w:t xml:space="preserve"> One to two promising variables from each SVI thematic domain were assessed in the model using an additive step-wise fashion. The performance parameters assessed were Akaike/Bayesian Information Criteria (AIC; BIC), root mean squared error (RMSE), and Nagelkerke’s R</w:t>
      </w:r>
      <w:r w:rsidDel="00000000" w:rsidR="00000000" w:rsidRPr="00000000">
        <w:rPr>
          <w:color w:val="000000"/>
          <w:vertAlign w:val="superscript"/>
          <w:rtl w:val="0"/>
        </w:rPr>
        <w:t xml:space="preserve">2</w:t>
      </w:r>
      <w:r w:rsidDel="00000000" w:rsidR="00000000" w:rsidRPr="00000000">
        <w:rPr>
          <w:color w:val="000000"/>
          <w:rtl w:val="0"/>
        </w:rPr>
        <w:t xml:space="preserve"> using the {EasyStats} suite of R packages [3</w:t>
      </w:r>
      <w:r w:rsidDel="00000000" w:rsidR="00000000" w:rsidRPr="00000000">
        <w:rPr>
          <w:rtl w:val="0"/>
        </w:rPr>
        <w:t xml:space="preserve">4</w:t>
      </w:r>
      <w:r w:rsidDel="00000000" w:rsidR="00000000" w:rsidRPr="00000000">
        <w:rPr>
          <w:color w:val="000000"/>
          <w:rtl w:val="0"/>
        </w:rPr>
        <w:t xml:space="preserve">]. All predictor variables were log-transformed in the final model in order to reduce the influence of extreme values.</w:t>
      </w:r>
    </w:p>
    <w:p w:rsidR="00000000" w:rsidDel="00000000" w:rsidP="00000000" w:rsidRDefault="00000000" w:rsidRPr="00000000" w14:paraId="0000002D">
      <w:pPr>
        <w:pStyle w:val="Heading2"/>
        <w:rPr/>
      </w:pPr>
      <w:bookmarkStart w:colFirst="0" w:colLast="0" w:name="_heading=h.3j2qqm3" w:id="18"/>
      <w:bookmarkEnd w:id="18"/>
      <w:r w:rsidDel="00000000" w:rsidR="00000000" w:rsidRPr="00000000">
        <w:rPr>
          <w:rtl w:val="0"/>
        </w:rPr>
        <w:t xml:space="preserve">Results</w:t>
      </w:r>
    </w:p>
    <w:p w:rsidR="00000000" w:rsidDel="00000000" w:rsidP="00000000" w:rsidRDefault="00000000" w:rsidRPr="00000000" w14:paraId="0000002E">
      <w:pPr>
        <w:pStyle w:val="Heading3"/>
        <w:spacing w:line="360" w:lineRule="auto"/>
        <w:rPr>
          <w:rFonts w:ascii="Calibri" w:cs="Calibri" w:eastAsia="Calibri" w:hAnsi="Calibri"/>
        </w:rPr>
      </w:pPr>
      <w:r w:rsidDel="00000000" w:rsidR="00000000" w:rsidRPr="00000000">
        <w:rPr>
          <w:rFonts w:ascii="Calibri" w:cs="Calibri" w:eastAsia="Calibri" w:hAnsi="Calibri"/>
          <w:rtl w:val="0"/>
        </w:rPr>
        <w:t xml:space="preserve">Case Identification</w:t>
      </w:r>
    </w:p>
    <w:bookmarkStart w:colFirst="0" w:colLast="0" w:name="bookmark=id.1y810tw" w:id="19"/>
    <w:bookmarkEnd w:id="19"/>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Our SQL query identified 333 prospective cases of SUID from the medical examiner archives. Representatives from the SUID Case Registry of Cook County reviewed the cases and recommended retaining 325.</w:t>
      </w:r>
    </w:p>
    <w:p w:rsidR="00000000" w:rsidDel="00000000" w:rsidP="00000000" w:rsidRDefault="00000000" w:rsidRPr="00000000" w14:paraId="00000030">
      <w:pPr>
        <w:pStyle w:val="Heading3"/>
        <w:spacing w:line="360" w:lineRule="auto"/>
        <w:rPr>
          <w:rFonts w:ascii="Calibri" w:cs="Calibri" w:eastAsia="Calibri" w:hAnsi="Calibri"/>
        </w:rPr>
      </w:pPr>
      <w:r w:rsidDel="00000000" w:rsidR="00000000" w:rsidRPr="00000000">
        <w:rPr>
          <w:rFonts w:ascii="Calibri" w:cs="Calibri" w:eastAsia="Calibri" w:hAnsi="Calibri"/>
          <w:rtl w:val="0"/>
        </w:rPr>
        <w:t xml:space="preserve">Geospatial Aggregation</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We spatially aggregated cases into counts within 199 communities. 49% of communities (97/199) observed at least one case of SUID from 2015-2019. Table 1 shows the full distribution of case counts.</w:t>
      </w:r>
    </w:p>
    <w:bookmarkStart w:colFirst="0" w:colLast="0" w:name="bookmark=id.4i7ojhp" w:id="20"/>
    <w:bookmarkEnd w:id="20"/>
    <w:p w:rsidR="00000000" w:rsidDel="00000000" w:rsidP="00000000" w:rsidRDefault="00000000" w:rsidRPr="00000000" w14:paraId="00000032">
      <w:pPr>
        <w:spacing w:line="360" w:lineRule="auto"/>
        <w:rPr>
          <w:vertAlign w:val="superscript"/>
        </w:rPr>
      </w:pPr>
      <w:r w:rsidDel="00000000" w:rsidR="00000000" w:rsidRPr="00000000">
        <w:rPr>
          <w:b w:val="1"/>
          <w:rtl w:val="0"/>
        </w:rPr>
        <w:t xml:space="preserve">Table 1</w:t>
      </w:r>
      <w:r w:rsidDel="00000000" w:rsidR="00000000" w:rsidRPr="00000000">
        <w:rPr>
          <w:rtl w:val="0"/>
        </w:rPr>
        <w:t xml:space="preserve">. Distribution of SUID Case Counts in Census Tracts of Cook County, IL, 2015-2019</w:t>
      </w:r>
      <w:r w:rsidDel="00000000" w:rsidR="00000000" w:rsidRPr="00000000">
        <w:rPr>
          <w:rtl w:val="0"/>
        </w:rPr>
      </w:r>
    </w:p>
    <w:tbl>
      <w:tblPr>
        <w:tblStyle w:val="Table1"/>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2879"/>
        <w:gridCol w:w="2876"/>
        <w:tblGridChange w:id="0">
          <w:tblGrid>
            <w:gridCol w:w="2875"/>
            <w:gridCol w:w="2879"/>
            <w:gridCol w:w="2876"/>
          </w:tblGrid>
        </w:tblGridChange>
      </w:tblGrid>
      <w:tr>
        <w:trPr>
          <w:cantSplit w:val="0"/>
          <w:tblHeader w:val="0"/>
        </w:trPr>
        <w:tc>
          <w:tcPr/>
          <w:p w:rsidR="00000000" w:rsidDel="00000000" w:rsidP="00000000" w:rsidRDefault="00000000" w:rsidRPr="00000000" w14:paraId="00000033">
            <w:pPr>
              <w:rPr/>
            </w:pPr>
            <w:r w:rsidDel="00000000" w:rsidR="00000000" w:rsidRPr="00000000">
              <w:rPr>
                <w:rtl w:val="0"/>
              </w:rPr>
              <w:t xml:space="preserve">SUID Case Count</w:t>
            </w:r>
          </w:p>
        </w:tc>
        <w:tc>
          <w:tcPr/>
          <w:p w:rsidR="00000000" w:rsidDel="00000000" w:rsidP="00000000" w:rsidRDefault="00000000" w:rsidRPr="00000000" w14:paraId="00000034">
            <w:pPr>
              <w:rPr/>
            </w:pPr>
            <w:r w:rsidDel="00000000" w:rsidR="00000000" w:rsidRPr="00000000">
              <w:rPr>
                <w:rtl w:val="0"/>
              </w:rPr>
              <w:t xml:space="preserve">Frequency</w:t>
            </w:r>
          </w:p>
        </w:tc>
        <w:tc>
          <w:tcPr/>
          <w:p w:rsidR="00000000" w:rsidDel="00000000" w:rsidP="00000000" w:rsidRDefault="00000000" w:rsidRPr="00000000" w14:paraId="00000035">
            <w:pPr>
              <w:rPr/>
            </w:pPr>
            <w:r w:rsidDel="00000000" w:rsidR="00000000" w:rsidRPr="00000000">
              <w:rPr>
                <w:rtl w:val="0"/>
              </w:rPr>
              <w:t xml:space="preserve">Percent</w:t>
            </w:r>
          </w:p>
        </w:tc>
      </w:tr>
      <w:tr>
        <w:trPr>
          <w:cantSplit w:val="0"/>
          <w:tblHeader w:val="0"/>
        </w:trPr>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0</w:t>
            </w:r>
          </w:p>
        </w:tc>
        <w:tc>
          <w:tcPr/>
          <w:p w:rsidR="00000000" w:rsidDel="00000000" w:rsidP="00000000" w:rsidRDefault="00000000" w:rsidRPr="00000000" w14:paraId="0000003A">
            <w:pPr>
              <w:rPr/>
            </w:pPr>
            <w:r w:rsidDel="00000000" w:rsidR="00000000" w:rsidRPr="00000000">
              <w:rPr>
                <w:rtl w:val="0"/>
              </w:rPr>
              <w:t xml:space="preserve">102</w:t>
            </w:r>
          </w:p>
        </w:tc>
        <w:tc>
          <w:tcPr/>
          <w:p w:rsidR="00000000" w:rsidDel="00000000" w:rsidP="00000000" w:rsidRDefault="00000000" w:rsidRPr="00000000" w14:paraId="0000003B">
            <w:pPr>
              <w:rPr/>
            </w:pPr>
            <w:r w:rsidDel="00000000" w:rsidR="00000000" w:rsidRPr="00000000">
              <w:rPr>
                <w:rtl w:val="0"/>
              </w:rPr>
              <w:t xml:space="preserve">51.3</w:t>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1</w:t>
            </w:r>
          </w:p>
        </w:tc>
        <w:tc>
          <w:tcPr/>
          <w:p w:rsidR="00000000" w:rsidDel="00000000" w:rsidP="00000000" w:rsidRDefault="00000000" w:rsidRPr="00000000" w14:paraId="0000003D">
            <w:pPr>
              <w:rPr/>
            </w:pPr>
            <w:r w:rsidDel="00000000" w:rsidR="00000000" w:rsidRPr="00000000">
              <w:rPr>
                <w:rtl w:val="0"/>
              </w:rPr>
              <w:t xml:space="preserve">36</w:t>
            </w:r>
          </w:p>
        </w:tc>
        <w:tc>
          <w:tcPr/>
          <w:p w:rsidR="00000000" w:rsidDel="00000000" w:rsidP="00000000" w:rsidRDefault="00000000" w:rsidRPr="00000000" w14:paraId="0000003E">
            <w:pPr>
              <w:rPr/>
            </w:pPr>
            <w:r w:rsidDel="00000000" w:rsidR="00000000" w:rsidRPr="00000000">
              <w:rPr>
                <w:rtl w:val="0"/>
              </w:rPr>
              <w:t xml:space="preserve">18.1</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2</w:t>
            </w:r>
          </w:p>
        </w:tc>
        <w:tc>
          <w:tcPr/>
          <w:p w:rsidR="00000000" w:rsidDel="00000000" w:rsidP="00000000" w:rsidRDefault="00000000" w:rsidRPr="00000000" w14:paraId="00000040">
            <w:pPr>
              <w:rPr/>
            </w:pPr>
            <w:r w:rsidDel="00000000" w:rsidR="00000000" w:rsidRPr="00000000">
              <w:rPr>
                <w:rtl w:val="0"/>
              </w:rPr>
              <w:t xml:space="preserve">24</w:t>
            </w:r>
          </w:p>
        </w:tc>
        <w:tc>
          <w:tcPr/>
          <w:p w:rsidR="00000000" w:rsidDel="00000000" w:rsidP="00000000" w:rsidRDefault="00000000" w:rsidRPr="00000000" w14:paraId="00000041">
            <w:pPr>
              <w:rPr/>
            </w:pPr>
            <w:r w:rsidDel="00000000" w:rsidR="00000000" w:rsidRPr="00000000">
              <w:rPr>
                <w:rtl w:val="0"/>
              </w:rPr>
              <w:t xml:space="preserve">12.1</w:t>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3</w:t>
            </w:r>
          </w:p>
        </w:tc>
        <w:tc>
          <w:tcPr/>
          <w:p w:rsidR="00000000" w:rsidDel="00000000" w:rsidP="00000000" w:rsidRDefault="00000000" w:rsidRPr="00000000" w14:paraId="00000043">
            <w:pPr>
              <w:rPr/>
            </w:pPr>
            <w:r w:rsidDel="00000000" w:rsidR="00000000" w:rsidRPr="00000000">
              <w:rPr>
                <w:rtl w:val="0"/>
              </w:rPr>
              <w:t xml:space="preserve">8</w:t>
            </w:r>
          </w:p>
        </w:tc>
        <w:tc>
          <w:tcPr/>
          <w:p w:rsidR="00000000" w:rsidDel="00000000" w:rsidP="00000000" w:rsidRDefault="00000000" w:rsidRPr="00000000" w14:paraId="00000044">
            <w:pP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4</w:t>
            </w:r>
          </w:p>
        </w:tc>
        <w:tc>
          <w:tcPr/>
          <w:p w:rsidR="00000000" w:rsidDel="00000000" w:rsidP="00000000" w:rsidRDefault="00000000" w:rsidRPr="00000000" w14:paraId="00000046">
            <w:pPr>
              <w:rPr/>
            </w:pPr>
            <w:r w:rsidDel="00000000" w:rsidR="00000000" w:rsidRPr="00000000">
              <w:rPr>
                <w:rtl w:val="0"/>
              </w:rPr>
              <w:t xml:space="preserve">7</w:t>
            </w:r>
          </w:p>
        </w:tc>
        <w:tc>
          <w:tcPr/>
          <w:p w:rsidR="00000000" w:rsidDel="00000000" w:rsidP="00000000" w:rsidRDefault="00000000" w:rsidRPr="00000000" w14:paraId="00000047">
            <w:pPr>
              <w:rPr/>
            </w:pPr>
            <w:r w:rsidDel="00000000" w:rsidR="00000000" w:rsidRPr="00000000">
              <w:rPr>
                <w:rtl w:val="0"/>
              </w:rPr>
              <w:t xml:space="preserve">3.5</w:t>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5</w:t>
            </w:r>
          </w:p>
        </w:tc>
        <w:tc>
          <w:tcPr/>
          <w:p w:rsidR="00000000" w:rsidDel="00000000" w:rsidP="00000000" w:rsidRDefault="00000000" w:rsidRPr="00000000" w14:paraId="00000049">
            <w:pPr>
              <w:rPr/>
            </w:pPr>
            <w:r w:rsidDel="00000000" w:rsidR="00000000" w:rsidRPr="00000000">
              <w:rPr>
                <w:rtl w:val="0"/>
              </w:rPr>
              <w:t xml:space="preserve">3</w:t>
            </w:r>
          </w:p>
        </w:tc>
        <w:tc>
          <w:tcPr/>
          <w:p w:rsidR="00000000" w:rsidDel="00000000" w:rsidP="00000000" w:rsidRDefault="00000000" w:rsidRPr="00000000" w14:paraId="0000004A">
            <w:pPr>
              <w:rPr/>
            </w:pPr>
            <w:r w:rsidDel="00000000" w:rsidR="00000000" w:rsidRPr="00000000">
              <w:rPr>
                <w:rtl w:val="0"/>
              </w:rPr>
              <w:t xml:space="preserve">1.5</w:t>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6</w:t>
            </w:r>
          </w:p>
        </w:tc>
        <w:tc>
          <w:tcPr/>
          <w:p w:rsidR="00000000" w:rsidDel="00000000" w:rsidP="00000000" w:rsidRDefault="00000000" w:rsidRPr="00000000" w14:paraId="0000004C">
            <w:pPr>
              <w:rPr/>
            </w:pPr>
            <w:r w:rsidDel="00000000" w:rsidR="00000000" w:rsidRPr="00000000">
              <w:rPr>
                <w:rtl w:val="0"/>
              </w:rPr>
              <w:t xml:space="preserve">4</w:t>
            </w:r>
          </w:p>
        </w:tc>
        <w:tc>
          <w:tcPr/>
          <w:p w:rsidR="00000000" w:rsidDel="00000000" w:rsidP="00000000" w:rsidRDefault="00000000" w:rsidRPr="00000000" w14:paraId="0000004D">
            <w:pPr>
              <w:rPr/>
            </w:pPr>
            <w:r w:rsidDel="00000000" w:rsidR="00000000" w:rsidRPr="00000000">
              <w:rPr>
                <w:rtl w:val="0"/>
              </w:rPr>
              <w:t xml:space="preserve">2.0</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7</w:t>
            </w:r>
          </w:p>
        </w:tc>
        <w:tc>
          <w:tcPr/>
          <w:p w:rsidR="00000000" w:rsidDel="00000000" w:rsidP="00000000" w:rsidRDefault="00000000" w:rsidRPr="00000000" w14:paraId="0000004F">
            <w:pPr>
              <w:rPr/>
            </w:pPr>
            <w:r w:rsidDel="00000000" w:rsidR="00000000" w:rsidRPr="00000000">
              <w:rPr>
                <w:rtl w:val="0"/>
              </w:rPr>
              <w:t xml:space="preserve">5</w:t>
            </w:r>
          </w:p>
        </w:tc>
        <w:tc>
          <w:tcPr/>
          <w:p w:rsidR="00000000" w:rsidDel="00000000" w:rsidP="00000000" w:rsidRDefault="00000000" w:rsidRPr="00000000" w14:paraId="00000050">
            <w:pPr>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51">
            <w:pPr>
              <w:rPr/>
            </w:pPr>
            <w:r w:rsidDel="00000000" w:rsidR="00000000" w:rsidRPr="00000000">
              <w:rPr>
                <w:rtl w:val="0"/>
              </w:rPr>
              <w:t xml:space="preserve">8</w:t>
            </w:r>
          </w:p>
        </w:tc>
        <w:tc>
          <w:tcPr/>
          <w:p w:rsidR="00000000" w:rsidDel="00000000" w:rsidP="00000000" w:rsidRDefault="00000000" w:rsidRPr="00000000" w14:paraId="00000052">
            <w:pPr>
              <w:rPr/>
            </w:pPr>
            <w:r w:rsidDel="00000000" w:rsidR="00000000" w:rsidRPr="00000000">
              <w:rPr>
                <w:rtl w:val="0"/>
              </w:rPr>
              <w:t xml:space="preserve">1</w:t>
            </w:r>
          </w:p>
        </w:tc>
        <w:tc>
          <w:tcPr/>
          <w:p w:rsidR="00000000" w:rsidDel="00000000" w:rsidP="00000000" w:rsidRDefault="00000000" w:rsidRPr="00000000" w14:paraId="00000053">
            <w:pPr>
              <w:rPr>
                <w:sz w:val="18"/>
                <w:szCs w:val="18"/>
              </w:rPr>
            </w:pPr>
            <w:r w:rsidDel="00000000" w:rsidR="00000000" w:rsidRPr="00000000">
              <w:rPr>
                <w:rtl w:val="0"/>
              </w:rPr>
              <w:t xml:space="preserve">0.5</w:t>
            </w:r>
            <w:r w:rsidDel="00000000" w:rsidR="00000000" w:rsidRPr="00000000">
              <w:rPr>
                <w:rtl w:val="0"/>
              </w:rPr>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9</w:t>
            </w:r>
          </w:p>
        </w:tc>
        <w:tc>
          <w:tcPr/>
          <w:p w:rsidR="00000000" w:rsidDel="00000000" w:rsidP="00000000" w:rsidRDefault="00000000" w:rsidRPr="00000000" w14:paraId="00000055">
            <w:pPr>
              <w:rPr/>
            </w:pPr>
            <w:r w:rsidDel="00000000" w:rsidR="00000000" w:rsidRPr="00000000">
              <w:rPr>
                <w:rtl w:val="0"/>
              </w:rPr>
              <w:t xml:space="preserve">2</w:t>
            </w:r>
          </w:p>
        </w:tc>
        <w:tc>
          <w:tcPr/>
          <w:p w:rsidR="00000000" w:rsidDel="00000000" w:rsidP="00000000" w:rsidRDefault="00000000" w:rsidRPr="00000000" w14:paraId="00000056">
            <w:pPr>
              <w:rPr/>
            </w:pPr>
            <w:r w:rsidDel="00000000" w:rsidR="00000000" w:rsidRPr="00000000">
              <w:rPr>
                <w:rtl w:val="0"/>
              </w:rPr>
              <w:t xml:space="preserve">1.0</w:t>
            </w:r>
          </w:p>
        </w:tc>
      </w:tr>
      <w:tr>
        <w:trPr>
          <w:cantSplit w:val="0"/>
          <w:tblHeader w:val="0"/>
        </w:trPr>
        <w:tc>
          <w:tcPr>
            <w:tcBorders>
              <w:top w:color="000000" w:space="0" w:sz="0" w:val="nil"/>
            </w:tcBorders>
          </w:tcPr>
          <w:p w:rsidR="00000000" w:rsidDel="00000000" w:rsidP="00000000" w:rsidRDefault="00000000" w:rsidRPr="00000000" w14:paraId="00000057">
            <w:pPr>
              <w:rPr/>
            </w:pPr>
            <w:r w:rsidDel="00000000" w:rsidR="00000000" w:rsidRPr="00000000">
              <w:rPr>
                <w:rtl w:val="0"/>
              </w:rPr>
              <w:t xml:space="preserve">10</w:t>
            </w:r>
          </w:p>
        </w:tc>
        <w:tc>
          <w:tcPr>
            <w:tcBorders>
              <w:top w:color="000000" w:space="0" w:sz="0" w:val="nil"/>
            </w:tcBorders>
          </w:tcPr>
          <w:p w:rsidR="00000000" w:rsidDel="00000000" w:rsidP="00000000" w:rsidRDefault="00000000" w:rsidRPr="00000000" w14:paraId="00000058">
            <w:pPr>
              <w:rPr/>
            </w:pPr>
            <w:r w:rsidDel="00000000" w:rsidR="00000000" w:rsidRPr="00000000">
              <w:rPr>
                <w:rtl w:val="0"/>
              </w:rPr>
              <w:t xml:space="preserve">3</w:t>
            </w:r>
          </w:p>
        </w:tc>
        <w:tc>
          <w:tcPr>
            <w:tcBorders>
              <w:top w:color="000000" w:space="0" w:sz="0" w:val="nil"/>
            </w:tcBorders>
          </w:tcPr>
          <w:p w:rsidR="00000000" w:rsidDel="00000000" w:rsidP="00000000" w:rsidRDefault="00000000" w:rsidRPr="00000000" w14:paraId="00000059">
            <w:pPr>
              <w:rPr/>
            </w:pPr>
            <w:r w:rsidDel="00000000" w:rsidR="00000000" w:rsidRPr="00000000">
              <w:rPr>
                <w:rtl w:val="0"/>
              </w:rPr>
              <w:t xml:space="preserve">1.5</w:t>
            </w:r>
          </w:p>
        </w:tc>
      </w:tr>
      <w:tr>
        <w:trPr>
          <w:cantSplit w:val="0"/>
          <w:tblHeader w:val="0"/>
        </w:trPr>
        <w:tc>
          <w:tcPr>
            <w:tcBorders>
              <w:top w:color="000000" w:space="0" w:sz="0" w:val="nil"/>
            </w:tcBorders>
          </w:tcPr>
          <w:p w:rsidR="00000000" w:rsidDel="00000000" w:rsidP="00000000" w:rsidRDefault="00000000" w:rsidRPr="00000000" w14:paraId="0000005A">
            <w:pPr>
              <w:rPr/>
            </w:pPr>
            <w:r w:rsidDel="00000000" w:rsidR="00000000" w:rsidRPr="00000000">
              <w:rPr>
                <w:rtl w:val="0"/>
              </w:rPr>
              <w:t xml:space="preserve">11</w:t>
            </w:r>
          </w:p>
        </w:tc>
        <w:tc>
          <w:tcPr>
            <w:tcBorders>
              <w:top w:color="000000" w:space="0" w:sz="0" w:val="nil"/>
            </w:tcBorders>
          </w:tcPr>
          <w:p w:rsidR="00000000" w:rsidDel="00000000" w:rsidP="00000000" w:rsidRDefault="00000000" w:rsidRPr="00000000" w14:paraId="0000005B">
            <w:pPr>
              <w:rPr/>
            </w:pPr>
            <w:r w:rsidDel="00000000" w:rsidR="00000000" w:rsidRPr="00000000">
              <w:rPr>
                <w:rtl w:val="0"/>
              </w:rPr>
              <w:t xml:space="preserve">1</w:t>
            </w:r>
          </w:p>
        </w:tc>
        <w:tc>
          <w:tcPr>
            <w:tcBorders>
              <w:top w:color="000000" w:space="0" w:sz="0" w:val="nil"/>
            </w:tcBorders>
          </w:tcPr>
          <w:p w:rsidR="00000000" w:rsidDel="00000000" w:rsidP="00000000" w:rsidRDefault="00000000" w:rsidRPr="00000000" w14:paraId="0000005C">
            <w:pPr>
              <w:rPr/>
            </w:pPr>
            <w:r w:rsidDel="00000000" w:rsidR="00000000" w:rsidRPr="00000000">
              <w:rPr>
                <w:rtl w:val="0"/>
              </w:rPr>
              <w:t xml:space="preserve">0.5</w:t>
            </w:r>
          </w:p>
        </w:tc>
      </w:tr>
      <w:tr>
        <w:trPr>
          <w:cantSplit w:val="0"/>
          <w:tblHeader w:val="0"/>
        </w:trPr>
        <w:tc>
          <w:tcPr>
            <w:tcBorders>
              <w:top w:color="000000" w:space="0" w:sz="0" w:val="nil"/>
            </w:tcBorders>
          </w:tcPr>
          <w:p w:rsidR="00000000" w:rsidDel="00000000" w:rsidP="00000000" w:rsidRDefault="00000000" w:rsidRPr="00000000" w14:paraId="0000005D">
            <w:pPr>
              <w:rPr/>
            </w:pPr>
            <w:r w:rsidDel="00000000" w:rsidR="00000000" w:rsidRPr="00000000">
              <w:rPr>
                <w:rtl w:val="0"/>
              </w:rPr>
              <w:t xml:space="preserve">12</w:t>
            </w:r>
          </w:p>
        </w:tc>
        <w:tc>
          <w:tcPr>
            <w:tcBorders>
              <w:top w:color="000000" w:space="0" w:sz="0" w:val="nil"/>
            </w:tcBorders>
          </w:tcPr>
          <w:p w:rsidR="00000000" w:rsidDel="00000000" w:rsidP="00000000" w:rsidRDefault="00000000" w:rsidRPr="00000000" w14:paraId="0000005E">
            <w:pPr>
              <w:rPr/>
            </w:pPr>
            <w:r w:rsidDel="00000000" w:rsidR="00000000" w:rsidRPr="00000000">
              <w:rPr>
                <w:rtl w:val="0"/>
              </w:rPr>
              <w:t xml:space="preserve">0</w:t>
            </w:r>
          </w:p>
        </w:tc>
        <w:tc>
          <w:tcPr>
            <w:tcBorders>
              <w:top w:color="000000" w:space="0" w:sz="0" w:val="nil"/>
            </w:tcBorders>
          </w:tcPr>
          <w:p w:rsidR="00000000" w:rsidDel="00000000" w:rsidP="00000000" w:rsidRDefault="00000000" w:rsidRPr="00000000" w14:paraId="0000005F">
            <w:pPr>
              <w:rPr/>
            </w:pPr>
            <w:r w:rsidDel="00000000" w:rsidR="00000000" w:rsidRPr="00000000">
              <w:rPr>
                <w:rtl w:val="0"/>
              </w:rPr>
              <w:t xml:space="preserve">0.0</w:t>
            </w:r>
          </w:p>
        </w:tc>
      </w:tr>
      <w:tr>
        <w:trPr>
          <w:cantSplit w:val="0"/>
          <w:tblHeader w:val="0"/>
        </w:trPr>
        <w:tc>
          <w:tcPr>
            <w:tcBorders>
              <w:top w:color="000000" w:space="0" w:sz="0" w:val="nil"/>
            </w:tcBorders>
          </w:tcPr>
          <w:p w:rsidR="00000000" w:rsidDel="00000000" w:rsidP="00000000" w:rsidRDefault="00000000" w:rsidRPr="00000000" w14:paraId="00000060">
            <w:pPr>
              <w:rPr/>
            </w:pPr>
            <w:r w:rsidDel="00000000" w:rsidR="00000000" w:rsidRPr="00000000">
              <w:rPr>
                <w:rtl w:val="0"/>
              </w:rPr>
              <w:t xml:space="preserve">13</w:t>
            </w:r>
          </w:p>
        </w:tc>
        <w:tc>
          <w:tcPr>
            <w:tcBorders>
              <w:top w:color="000000" w:space="0" w:sz="0" w:val="nil"/>
            </w:tcBorders>
          </w:tcPr>
          <w:p w:rsidR="00000000" w:rsidDel="00000000" w:rsidP="00000000" w:rsidRDefault="00000000" w:rsidRPr="00000000" w14:paraId="00000061">
            <w:pPr>
              <w:rPr/>
            </w:pPr>
            <w:r w:rsidDel="00000000" w:rsidR="00000000" w:rsidRPr="00000000">
              <w:rPr>
                <w:rtl w:val="0"/>
              </w:rPr>
              <w:t xml:space="preserve">0</w:t>
            </w:r>
          </w:p>
        </w:tc>
        <w:tc>
          <w:tcPr>
            <w:tcBorders>
              <w:top w:color="000000" w:space="0" w:sz="0" w:val="nil"/>
            </w:tcBorders>
          </w:tcPr>
          <w:p w:rsidR="00000000" w:rsidDel="00000000" w:rsidP="00000000" w:rsidRDefault="00000000" w:rsidRPr="00000000" w14:paraId="00000062">
            <w:pPr>
              <w:rPr/>
            </w:pPr>
            <w:r w:rsidDel="00000000" w:rsidR="00000000" w:rsidRPr="00000000">
              <w:rPr>
                <w:rtl w:val="0"/>
              </w:rPr>
              <w:t xml:space="preserve">0.0</w:t>
            </w:r>
          </w:p>
        </w:tc>
      </w:tr>
      <w:tr>
        <w:trPr>
          <w:cantSplit w:val="0"/>
          <w:tblHeader w:val="0"/>
        </w:trPr>
        <w:tc>
          <w:tcPr>
            <w:tcBorders>
              <w:top w:color="000000" w:space="0" w:sz="0" w:val="nil"/>
            </w:tcBorders>
          </w:tcPr>
          <w:p w:rsidR="00000000" w:rsidDel="00000000" w:rsidP="00000000" w:rsidRDefault="00000000" w:rsidRPr="00000000" w14:paraId="00000063">
            <w:pPr>
              <w:rPr/>
            </w:pPr>
            <w:r w:rsidDel="00000000" w:rsidR="00000000" w:rsidRPr="00000000">
              <w:rPr>
                <w:rtl w:val="0"/>
              </w:rPr>
              <w:t xml:space="preserve">14</w:t>
            </w:r>
          </w:p>
        </w:tc>
        <w:tc>
          <w:tcPr>
            <w:tcBorders>
              <w:top w:color="000000" w:space="0" w:sz="0" w:val="nil"/>
            </w:tcBorders>
          </w:tcPr>
          <w:p w:rsidR="00000000" w:rsidDel="00000000" w:rsidP="00000000" w:rsidRDefault="00000000" w:rsidRPr="00000000" w14:paraId="00000064">
            <w:pPr>
              <w:rPr/>
            </w:pPr>
            <w:r w:rsidDel="00000000" w:rsidR="00000000" w:rsidRPr="00000000">
              <w:rPr>
                <w:rtl w:val="0"/>
              </w:rPr>
              <w:t xml:space="preserve">1</w:t>
            </w:r>
          </w:p>
        </w:tc>
        <w:tc>
          <w:tcPr>
            <w:tcBorders>
              <w:top w:color="000000" w:space="0" w:sz="0" w:val="nil"/>
            </w:tcBorders>
          </w:tcPr>
          <w:p w:rsidR="00000000" w:rsidDel="00000000" w:rsidP="00000000" w:rsidRDefault="00000000" w:rsidRPr="00000000" w14:paraId="00000065">
            <w:pPr>
              <w:rPr/>
            </w:pPr>
            <w:r w:rsidDel="00000000" w:rsidR="00000000" w:rsidRPr="00000000">
              <w:rPr>
                <w:rtl w:val="0"/>
              </w:rPr>
              <w:t xml:space="preserve">0.5</w:t>
            </w:r>
          </w:p>
        </w:tc>
      </w:tr>
      <w:tr>
        <w:trPr>
          <w:cantSplit w:val="0"/>
          <w:tblHeader w:val="0"/>
        </w:trPr>
        <w:tc>
          <w:tcPr>
            <w:tcBorders>
              <w:top w:color="000000" w:space="0" w:sz="0" w:val="nil"/>
            </w:tcBorders>
          </w:tcPr>
          <w:p w:rsidR="00000000" w:rsidDel="00000000" w:rsidP="00000000" w:rsidRDefault="00000000" w:rsidRPr="00000000" w14:paraId="00000066">
            <w:pPr>
              <w:rPr/>
            </w:pPr>
            <w:r w:rsidDel="00000000" w:rsidR="00000000" w:rsidRPr="00000000">
              <w:rPr>
                <w:rtl w:val="0"/>
              </w:rPr>
              <w:t xml:space="preserve">15</w:t>
            </w:r>
          </w:p>
        </w:tc>
        <w:tc>
          <w:tcPr>
            <w:tcBorders>
              <w:top w:color="000000" w:space="0" w:sz="0" w:val="nil"/>
            </w:tcBorders>
          </w:tcPr>
          <w:p w:rsidR="00000000" w:rsidDel="00000000" w:rsidP="00000000" w:rsidRDefault="00000000" w:rsidRPr="00000000" w14:paraId="00000067">
            <w:pPr>
              <w:rPr/>
            </w:pPr>
            <w:r w:rsidDel="00000000" w:rsidR="00000000" w:rsidRPr="00000000">
              <w:rPr>
                <w:rtl w:val="0"/>
              </w:rPr>
              <w:t xml:space="preserve">0</w:t>
            </w:r>
          </w:p>
        </w:tc>
        <w:tc>
          <w:tcPr>
            <w:tcBorders>
              <w:top w:color="000000" w:space="0" w:sz="0" w:val="nil"/>
            </w:tcBorders>
          </w:tcPr>
          <w:p w:rsidR="00000000" w:rsidDel="00000000" w:rsidP="00000000" w:rsidRDefault="00000000" w:rsidRPr="00000000" w14:paraId="00000068">
            <w:pPr>
              <w:rPr/>
            </w:pPr>
            <w:r w:rsidDel="00000000" w:rsidR="00000000" w:rsidRPr="00000000">
              <w:rPr>
                <w:rtl w:val="0"/>
              </w:rPr>
              <w:t xml:space="preserve">0.0</w:t>
            </w:r>
          </w:p>
        </w:tc>
      </w:tr>
      <w:tr>
        <w:trPr>
          <w:cantSplit w:val="0"/>
          <w:tblHeader w:val="0"/>
        </w:trPr>
        <w:tc>
          <w:tcPr>
            <w:tcBorders>
              <w:top w:color="000000" w:space="0" w:sz="0" w:val="nil"/>
            </w:tcBorders>
          </w:tcPr>
          <w:p w:rsidR="00000000" w:rsidDel="00000000" w:rsidP="00000000" w:rsidRDefault="00000000" w:rsidRPr="00000000" w14:paraId="00000069">
            <w:pPr>
              <w:rPr/>
            </w:pPr>
            <w:r w:rsidDel="00000000" w:rsidR="00000000" w:rsidRPr="00000000">
              <w:rPr>
                <w:rtl w:val="0"/>
              </w:rPr>
              <w:t xml:space="preserve">16</w:t>
            </w:r>
          </w:p>
        </w:tc>
        <w:tc>
          <w:tcPr>
            <w:tcBorders>
              <w:top w:color="000000" w:space="0" w:sz="0" w:val="nil"/>
            </w:tcBorders>
          </w:tcPr>
          <w:p w:rsidR="00000000" w:rsidDel="00000000" w:rsidP="00000000" w:rsidRDefault="00000000" w:rsidRPr="00000000" w14:paraId="0000006A">
            <w:pPr>
              <w:rPr/>
            </w:pPr>
            <w:r w:rsidDel="00000000" w:rsidR="00000000" w:rsidRPr="00000000">
              <w:rPr>
                <w:rtl w:val="0"/>
              </w:rPr>
              <w:t xml:space="preserve">0</w:t>
            </w:r>
          </w:p>
        </w:tc>
        <w:tc>
          <w:tcPr>
            <w:tcBorders>
              <w:top w:color="000000" w:space="0" w:sz="0" w:val="nil"/>
            </w:tcBorders>
          </w:tcPr>
          <w:p w:rsidR="00000000" w:rsidDel="00000000" w:rsidP="00000000" w:rsidRDefault="00000000" w:rsidRPr="00000000" w14:paraId="0000006B">
            <w:pPr>
              <w:rPr/>
            </w:pPr>
            <w:r w:rsidDel="00000000" w:rsidR="00000000" w:rsidRPr="00000000">
              <w:rPr>
                <w:rtl w:val="0"/>
              </w:rPr>
              <w:t xml:space="preserve">0.0</w:t>
            </w:r>
          </w:p>
        </w:tc>
      </w:tr>
      <w:tr>
        <w:trPr>
          <w:cantSplit w:val="0"/>
          <w:tblHeader w:val="0"/>
        </w:trPr>
        <w:tc>
          <w:tcPr>
            <w:tcBorders>
              <w:top w:color="000000" w:space="0" w:sz="0" w:val="nil"/>
            </w:tcBorders>
          </w:tcPr>
          <w:p w:rsidR="00000000" w:rsidDel="00000000" w:rsidP="00000000" w:rsidRDefault="00000000" w:rsidRPr="00000000" w14:paraId="0000006C">
            <w:pPr>
              <w:rPr/>
            </w:pPr>
            <w:r w:rsidDel="00000000" w:rsidR="00000000" w:rsidRPr="00000000">
              <w:rPr>
                <w:rtl w:val="0"/>
              </w:rPr>
              <w:t xml:space="preserve">17</w:t>
            </w:r>
          </w:p>
        </w:tc>
        <w:tc>
          <w:tcPr>
            <w:tcBorders>
              <w:top w:color="000000" w:space="0" w:sz="0" w:val="nil"/>
            </w:tcBorders>
          </w:tcPr>
          <w:p w:rsidR="00000000" w:rsidDel="00000000" w:rsidP="00000000" w:rsidRDefault="00000000" w:rsidRPr="00000000" w14:paraId="0000006D">
            <w:pPr>
              <w:rPr/>
            </w:pPr>
            <w:r w:rsidDel="00000000" w:rsidR="00000000" w:rsidRPr="00000000">
              <w:rPr>
                <w:rtl w:val="0"/>
              </w:rPr>
              <w:t xml:space="preserve">2</w:t>
            </w:r>
          </w:p>
        </w:tc>
        <w:tc>
          <w:tcPr>
            <w:tcBorders>
              <w:top w:color="000000" w:space="0" w:sz="0" w:val="nil"/>
            </w:tcBorders>
          </w:tcPr>
          <w:p w:rsidR="00000000" w:rsidDel="00000000" w:rsidP="00000000" w:rsidRDefault="00000000" w:rsidRPr="00000000" w14:paraId="0000006E">
            <w:pPr>
              <w:rPr/>
            </w:pPr>
            <w:r w:rsidDel="00000000" w:rsidR="00000000" w:rsidRPr="00000000">
              <w:rPr>
                <w:rtl w:val="0"/>
              </w:rPr>
              <w:t xml:space="preserve">1.0</w:t>
            </w:r>
          </w:p>
        </w:tc>
      </w:tr>
    </w:tbl>
    <w:p w:rsidR="00000000" w:rsidDel="00000000" w:rsidP="00000000" w:rsidRDefault="00000000" w:rsidRPr="00000000" w14:paraId="0000006F">
      <w:pPr>
        <w:pStyle w:val="Heading3"/>
        <w:spacing w:line="360" w:lineRule="auto"/>
        <w:rPr>
          <w:rFonts w:ascii="Calibri" w:cs="Calibri" w:eastAsia="Calibri" w:hAnsi="Calibri"/>
        </w:rPr>
      </w:pPr>
      <w:r w:rsidDel="00000000" w:rsidR="00000000" w:rsidRPr="00000000">
        <w:rPr>
          <w:rFonts w:ascii="Calibri" w:cs="Calibri" w:eastAsia="Calibri" w:hAnsi="Calibri"/>
          <w:rtl w:val="0"/>
        </w:rPr>
        <w:t xml:space="preserve">Mapping SUID Case Counts</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40" w:line="360" w:lineRule="auto"/>
        <w:rPr/>
      </w:pPr>
      <w:r w:rsidDel="00000000" w:rsidR="00000000" w:rsidRPr="00000000">
        <w:rPr>
          <w:color w:val="000000"/>
          <w:rtl w:val="0"/>
        </w:rPr>
        <w:t xml:space="preserve">We generated an interactive map of SUID case counts (Figure 2). Broadly speaking, the map showed subjective clusters of cases on the West and South Sides of Chicago as well as the South Suburbs of Cook County. The top </w:t>
      </w:r>
      <w:r w:rsidDel="00000000" w:rsidR="00000000" w:rsidRPr="00000000">
        <w:rPr>
          <w:rtl w:val="0"/>
        </w:rPr>
        <w:t xml:space="preserve">ten</w:t>
      </w:r>
      <w:r w:rsidDel="00000000" w:rsidR="00000000" w:rsidRPr="00000000">
        <w:rPr>
          <w:color w:val="000000"/>
          <w:rtl w:val="0"/>
        </w:rPr>
        <w:t xml:space="preserve"> communities with the largest case counts were all located in Chicago city limits: Austin (17), Englewood (17), West Englewood (14), West Pullman (11), and Humboldt Park (10), New City (10), Roseland (10), North Lawndale (9), South Shore (9</w:t>
      </w:r>
      <w:r w:rsidDel="00000000" w:rsidR="00000000" w:rsidRPr="00000000">
        <w:rPr>
          <w:rtl w:val="0"/>
        </w:rPr>
        <w:t xml:space="preserve">), and the Near North Side (8)</w:t>
      </w:r>
      <w:r w:rsidDel="00000000" w:rsidR="00000000" w:rsidRPr="00000000">
        <w:rPr>
          <w:color w:val="000000"/>
          <w:rtl w:val="0"/>
        </w:rPr>
        <w:t xml:space="preserve">. The community outside of city limits with the largest case count was Chicago Heights (7).</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40" w:line="360" w:lineRule="auto"/>
        <w:rPr/>
      </w:pPr>
      <w:r w:rsidDel="00000000" w:rsidR="00000000" w:rsidRPr="00000000">
        <w:rPr/>
        <w:drawing>
          <wp:inline distB="114300" distT="114300" distL="114300" distR="114300">
            <wp:extent cx="5486400" cy="47498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864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40" w:line="360" w:lineRule="auto"/>
        <w:rPr/>
      </w:pPr>
      <w:r w:rsidDel="00000000" w:rsidR="00000000" w:rsidRPr="00000000">
        <w:rPr>
          <w:b w:val="1"/>
          <w:rtl w:val="0"/>
        </w:rPr>
        <w:t xml:space="preserve">Figure 2.</w:t>
      </w:r>
      <w:r w:rsidDel="00000000" w:rsidR="00000000" w:rsidRPr="00000000">
        <w:rPr>
          <w:rtl w:val="0"/>
        </w:rPr>
        <w:t xml:space="preserve"> Overview of SUID Case Counts, 2015-2019, Communities of Cook County, IL.</w:t>
      </w:r>
    </w:p>
    <w:p w:rsidR="00000000" w:rsidDel="00000000" w:rsidP="00000000" w:rsidRDefault="00000000" w:rsidRPr="00000000" w14:paraId="00000073">
      <w:pPr>
        <w:pStyle w:val="Heading3"/>
        <w:spacing w:line="360" w:lineRule="auto"/>
        <w:rPr>
          <w:rFonts w:ascii="Calibri" w:cs="Calibri" w:eastAsia="Calibri" w:hAnsi="Calibri"/>
        </w:rPr>
      </w:pPr>
      <w:r w:rsidDel="00000000" w:rsidR="00000000" w:rsidRPr="00000000">
        <w:rPr>
          <w:rFonts w:ascii="Calibri" w:cs="Calibri" w:eastAsia="Calibri" w:hAnsi="Calibri"/>
          <w:rtl w:val="0"/>
        </w:rPr>
        <w:t xml:space="preserve">Comparing Tracts With and Without SUID</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Table 2</w:t>
      </w:r>
      <w:r w:rsidDel="00000000" w:rsidR="00000000" w:rsidRPr="00000000">
        <w:rPr>
          <w:color w:val="0000ff"/>
          <w:rtl w:val="0"/>
        </w:rPr>
        <w:t xml:space="preserve"> </w:t>
      </w:r>
      <w:r w:rsidDel="00000000" w:rsidR="00000000" w:rsidRPr="00000000">
        <w:rPr>
          <w:color w:val="000000"/>
          <w:rtl w:val="0"/>
        </w:rPr>
        <w:t xml:space="preserve">compares demographics of communities with at least one case of SUID versus those without. There were no meaningful differences in age or sex composition, however, communities with SUID present exhibited lower composition of Non-Hispanic White residents at 17% (IQR 4-49) vs. 60% (IQR 31-76) (Figure </w:t>
      </w:r>
      <w:r w:rsidDel="00000000" w:rsidR="00000000" w:rsidRPr="00000000">
        <w:rPr>
          <w:rtl w:val="0"/>
        </w:rPr>
        <w:t xml:space="preserve">3</w:t>
      </w:r>
      <w:r w:rsidDel="00000000" w:rsidR="00000000" w:rsidRPr="00000000">
        <w:rPr>
          <w:color w:val="000000"/>
          <w:rtl w:val="0"/>
        </w:rPr>
        <w:t xml:space="preserve">) and higher composition of Non-Hispanic Black residents at 32% (IQR 6-79) vs. 3% (IQR 2-10) (Figure </w:t>
      </w:r>
      <w:r w:rsidDel="00000000" w:rsidR="00000000" w:rsidRPr="00000000">
        <w:rPr>
          <w:rtl w:val="0"/>
        </w:rPr>
        <w:t xml:space="preserve">4</w:t>
      </w:r>
      <w:r w:rsidDel="00000000" w:rsidR="00000000" w:rsidRPr="00000000">
        <w:rPr>
          <w:color w:val="000000"/>
          <w:rtl w:val="0"/>
        </w:rPr>
        <w:t xml:space="preserve">), although the interquartile ranges for these estimates overlapped. Variables algorithmically selected for use in the predictive model also showed meaningful differences.</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40" w:line="360" w:lineRule="auto"/>
        <w:rPr/>
      </w:pPr>
      <w:r w:rsidDel="00000000" w:rsidR="00000000" w:rsidRPr="00000000">
        <w:rPr/>
        <w:drawing>
          <wp:inline distB="114300" distT="114300" distL="114300" distR="114300">
            <wp:extent cx="5486400" cy="35306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864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40" w:line="360" w:lineRule="auto"/>
        <w:rPr/>
      </w:pPr>
      <w:r w:rsidDel="00000000" w:rsidR="00000000" w:rsidRPr="00000000">
        <w:rPr>
          <w:b w:val="1"/>
          <w:rtl w:val="0"/>
        </w:rPr>
        <w:t xml:space="preserve">Figure 3.</w:t>
      </w:r>
      <w:r w:rsidDel="00000000" w:rsidR="00000000" w:rsidRPr="00000000">
        <w:rPr>
          <w:rtl w:val="0"/>
        </w:rPr>
        <w:t xml:space="preserve"> Comparing White Racial Composition in Communities of Cook County, IL by Presence of SUID.</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40" w:line="360" w:lineRule="auto"/>
        <w:rPr/>
      </w:pPr>
      <w:r w:rsidDel="00000000" w:rsidR="00000000" w:rsidRPr="00000000">
        <w:rPr/>
        <w:drawing>
          <wp:inline distB="114300" distT="114300" distL="114300" distR="114300">
            <wp:extent cx="5486400" cy="35306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864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40" w:line="360" w:lineRule="auto"/>
        <w:rPr/>
      </w:pPr>
      <w:r w:rsidDel="00000000" w:rsidR="00000000" w:rsidRPr="00000000">
        <w:rPr>
          <w:b w:val="1"/>
          <w:rtl w:val="0"/>
        </w:rPr>
        <w:t xml:space="preserve">Figure 4. </w:t>
      </w:r>
      <w:r w:rsidDel="00000000" w:rsidR="00000000" w:rsidRPr="00000000">
        <w:rPr>
          <w:rtl w:val="0"/>
        </w:rPr>
        <w:t xml:space="preserve">Comparing Black Racial Composition in Communities of Cook County, IL by Presence of SUID.</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b w:val="1"/>
          <w:color w:val="000000"/>
          <w:rtl w:val="0"/>
        </w:rPr>
        <w:t xml:space="preserve">Table 2</w:t>
      </w:r>
      <w:r w:rsidDel="00000000" w:rsidR="00000000" w:rsidRPr="00000000">
        <w:rPr>
          <w:color w:val="000000"/>
          <w:rtl w:val="0"/>
        </w:rPr>
        <w:t xml:space="preserve">. Comparing Communities of Cook County, IL by Presence of SUID (2015-2019)</w:t>
      </w:r>
    </w:p>
    <w:tbl>
      <w:tblPr>
        <w:tblStyle w:val="Table2"/>
        <w:tblW w:w="8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2430"/>
        <w:gridCol w:w="1800"/>
        <w:gridCol w:w="2325"/>
        <w:tblGridChange w:id="0">
          <w:tblGrid>
            <w:gridCol w:w="2070"/>
            <w:gridCol w:w="2430"/>
            <w:gridCol w:w="1800"/>
            <w:gridCol w:w="2325"/>
          </w:tblGrid>
        </w:tblGridChange>
      </w:tblGrid>
      <w:tr>
        <w:trPr>
          <w:cantSplit w:val="0"/>
          <w:tblHeader w:val="0"/>
        </w:trPr>
        <w:tc>
          <w:tcPr/>
          <w:p w:rsidR="00000000" w:rsidDel="00000000" w:rsidP="00000000" w:rsidRDefault="00000000" w:rsidRPr="00000000" w14:paraId="0000007A">
            <w:pPr>
              <w:rPr/>
            </w:pPr>
            <w:r w:rsidDel="00000000" w:rsidR="00000000" w:rsidRPr="00000000">
              <w:rPr>
                <w:rtl w:val="0"/>
              </w:rPr>
            </w:r>
          </w:p>
        </w:tc>
        <w:tc>
          <w:tcPr>
            <w:tcBorders>
              <w:right w:color="000000" w:space="0" w:sz="0" w:val="nil"/>
            </w:tcBorders>
          </w:tcPr>
          <w:p w:rsidR="00000000" w:rsidDel="00000000" w:rsidP="00000000" w:rsidRDefault="00000000" w:rsidRPr="00000000" w14:paraId="0000007B">
            <w:pPr>
              <w:rPr/>
            </w:pPr>
            <w:r w:rsidDel="00000000" w:rsidR="00000000" w:rsidRPr="00000000">
              <w:rPr>
                <w:rtl w:val="0"/>
              </w:rPr>
              <w:t xml:space="preserve">Variable</w:t>
            </w:r>
          </w:p>
        </w:tc>
        <w:tc>
          <w:tcPr/>
          <w:p w:rsidR="00000000" w:rsidDel="00000000" w:rsidP="00000000" w:rsidRDefault="00000000" w:rsidRPr="00000000" w14:paraId="0000007C">
            <w:pPr>
              <w:rPr/>
            </w:pPr>
            <w:r w:rsidDel="00000000" w:rsidR="00000000" w:rsidRPr="00000000">
              <w:rPr>
                <w:rtl w:val="0"/>
              </w:rPr>
              <w:t xml:space="preserve">No SUID</w:t>
            </w:r>
            <w:r w:rsidDel="00000000" w:rsidR="00000000" w:rsidRPr="00000000">
              <w:rPr>
                <w:vertAlign w:val="superscript"/>
                <w:rtl w:val="0"/>
              </w:rPr>
              <w:t xml:space="preserve">a</w:t>
            </w:r>
            <w:r w:rsidDel="00000000" w:rsidR="00000000" w:rsidRPr="00000000">
              <w:rPr>
                <w:rtl w:val="0"/>
              </w:rPr>
            </w:r>
          </w:p>
        </w:tc>
        <w:tc>
          <w:tcPr/>
          <w:p w:rsidR="00000000" w:rsidDel="00000000" w:rsidP="00000000" w:rsidRDefault="00000000" w:rsidRPr="00000000" w14:paraId="0000007D">
            <w:pPr>
              <w:rPr/>
            </w:pPr>
            <w:r w:rsidDel="00000000" w:rsidR="00000000" w:rsidRPr="00000000">
              <w:rPr>
                <w:rtl w:val="0"/>
              </w:rPr>
              <w:t xml:space="preserve">SUID Present</w:t>
            </w:r>
            <w:r w:rsidDel="00000000" w:rsidR="00000000" w:rsidRPr="00000000">
              <w:rPr>
                <w:vertAlign w:val="superscript"/>
                <w:rtl w:val="0"/>
              </w:rPr>
              <w:t xml:space="preserve">a</w:t>
            </w:r>
            <w:r w:rsidDel="00000000" w:rsidR="00000000" w:rsidRPr="00000000">
              <w:rPr>
                <w:rtl w:val="0"/>
              </w:rPr>
            </w:r>
          </w:p>
        </w:tc>
      </w:tr>
      <w:tr>
        <w:trPr>
          <w:cantSplit w:val="0"/>
          <w:tblHeader w:val="0"/>
        </w:trPr>
        <w:tc>
          <w:tcPr/>
          <w:p w:rsidR="00000000" w:rsidDel="00000000" w:rsidP="00000000" w:rsidRDefault="00000000" w:rsidRPr="00000000" w14:paraId="0000007E">
            <w:pPr>
              <w:rPr/>
            </w:pPr>
            <w:r w:rsidDel="00000000" w:rsidR="00000000" w:rsidRPr="00000000">
              <w:rPr>
                <w:rtl w:val="0"/>
              </w:rPr>
            </w:r>
          </w:p>
        </w:tc>
        <w:tc>
          <w:tcPr>
            <w:tcBorders>
              <w:right w:color="000000" w:space="0" w:sz="0" w:val="nil"/>
            </w:tcBorders>
          </w:tcPr>
          <w:p w:rsidR="00000000" w:rsidDel="00000000" w:rsidP="00000000" w:rsidRDefault="00000000" w:rsidRPr="00000000" w14:paraId="0000007F">
            <w:pPr>
              <w:rPr/>
            </w:pPr>
            <w:r w:rsidDel="00000000" w:rsidR="00000000" w:rsidRPr="00000000">
              <w:rPr>
                <w:rtl w:val="0"/>
              </w:rPr>
            </w:r>
          </w:p>
        </w:tc>
        <w:tc>
          <w:tcPr/>
          <w:p w:rsidR="00000000" w:rsidDel="00000000" w:rsidP="00000000" w:rsidRDefault="00000000" w:rsidRPr="00000000" w14:paraId="00000080">
            <w:pPr>
              <w:rPr/>
            </w:pPr>
            <w:r w:rsidDel="00000000" w:rsidR="00000000" w:rsidRPr="00000000">
              <w:rPr>
                <w:rtl w:val="0"/>
              </w:rPr>
              <w:t xml:space="preserve">n = 102</w:t>
            </w:r>
          </w:p>
        </w:tc>
        <w:tc>
          <w:tcPr/>
          <w:p w:rsidR="00000000" w:rsidDel="00000000" w:rsidP="00000000" w:rsidRDefault="00000000" w:rsidRPr="00000000" w14:paraId="00000081">
            <w:pPr>
              <w:rPr/>
            </w:pPr>
            <w:r w:rsidDel="00000000" w:rsidR="00000000" w:rsidRPr="00000000">
              <w:rPr>
                <w:rtl w:val="0"/>
              </w:rPr>
              <w:t xml:space="preserve">n = 97</w:t>
            </w:r>
          </w:p>
        </w:tc>
      </w:tr>
      <w:tr>
        <w:trPr>
          <w:cantSplit w:val="0"/>
          <w:tblHeader w:val="0"/>
        </w:trPr>
        <w:tc>
          <w:tcPr>
            <w:tcBorders>
              <w:top w:color="000000" w:space="0" w:sz="0" w:val="nil"/>
            </w:tcBorders>
          </w:tcPr>
          <w:p w:rsidR="00000000" w:rsidDel="00000000" w:rsidP="00000000" w:rsidRDefault="00000000" w:rsidRPr="00000000" w14:paraId="00000082">
            <w:pPr>
              <w:rPr/>
            </w:pPr>
            <w:r w:rsidDel="00000000" w:rsidR="00000000" w:rsidRPr="00000000">
              <w:rPr>
                <w:rtl w:val="0"/>
              </w:rPr>
            </w:r>
          </w:p>
        </w:tc>
        <w:tc>
          <w:tcPr>
            <w:tcBorders>
              <w:top w:color="000000" w:space="0" w:sz="0" w:val="nil"/>
              <w:right w:color="000000" w:space="0" w:sz="0" w:val="nil"/>
            </w:tcBorders>
          </w:tcPr>
          <w:p w:rsidR="00000000" w:rsidDel="00000000" w:rsidP="00000000" w:rsidRDefault="00000000" w:rsidRPr="00000000" w14:paraId="00000083">
            <w:pPr>
              <w:rPr/>
            </w:pPr>
            <w:r w:rsidDel="00000000" w:rsidR="00000000" w:rsidRPr="00000000">
              <w:rPr>
                <w:rtl w:val="0"/>
              </w:rPr>
            </w:r>
          </w:p>
        </w:tc>
        <w:tc>
          <w:tcPr>
            <w:tcBorders>
              <w:top w:color="000000" w:space="0" w:sz="0" w:val="nil"/>
            </w:tcBorders>
          </w:tcPr>
          <w:p w:rsidR="00000000" w:rsidDel="00000000" w:rsidP="00000000" w:rsidRDefault="00000000" w:rsidRPr="00000000" w14:paraId="00000084">
            <w:pPr>
              <w:rPr/>
            </w:pPr>
            <w:r w:rsidDel="00000000" w:rsidR="00000000" w:rsidRPr="00000000">
              <w:rPr>
                <w:rtl w:val="0"/>
              </w:rPr>
            </w:r>
          </w:p>
        </w:tc>
        <w:tc>
          <w:tcPr>
            <w:tcBorders>
              <w:top w:color="000000" w:space="0" w:sz="0" w:val="nil"/>
            </w:tcBorders>
          </w:tcPr>
          <w:p w:rsidR="00000000" w:rsidDel="00000000" w:rsidP="00000000" w:rsidRDefault="00000000" w:rsidRPr="00000000" w14:paraId="00000085">
            <w:pPr>
              <w:rPr/>
            </w:pPr>
            <w:r w:rsidDel="00000000" w:rsidR="00000000" w:rsidRPr="00000000">
              <w:rPr>
                <w:rtl w:val="0"/>
              </w:rPr>
            </w:r>
          </w:p>
        </w:tc>
      </w:tr>
      <w:tr>
        <w:trPr>
          <w:cantSplit w:val="0"/>
          <w:tblHeader w:val="0"/>
        </w:trPr>
        <w:tc>
          <w:tcPr/>
          <w:p w:rsidR="00000000" w:rsidDel="00000000" w:rsidP="00000000" w:rsidRDefault="00000000" w:rsidRPr="00000000" w14:paraId="00000086">
            <w:pPr>
              <w:rPr>
                <w:b w:val="1"/>
              </w:rPr>
            </w:pPr>
            <w:r w:rsidDel="00000000" w:rsidR="00000000" w:rsidRPr="00000000">
              <w:rPr>
                <w:b w:val="1"/>
                <w:rtl w:val="0"/>
              </w:rPr>
              <w:t xml:space="preserve">Age</w:t>
            </w:r>
          </w:p>
        </w:tc>
        <w:tc>
          <w:tcPr>
            <w:tcBorders>
              <w:right w:color="000000" w:space="0" w:sz="0" w:val="nil"/>
            </w:tcBorders>
          </w:tcPr>
          <w:p w:rsidR="00000000" w:rsidDel="00000000" w:rsidP="00000000" w:rsidRDefault="00000000" w:rsidRPr="00000000" w14:paraId="00000087">
            <w:pPr>
              <w:rPr/>
            </w:pPr>
            <w:r w:rsidDel="00000000" w:rsidR="00000000" w:rsidRPr="00000000">
              <w:rPr>
                <w:rtl w:val="0"/>
              </w:rPr>
            </w:r>
          </w:p>
        </w:tc>
        <w:tc>
          <w:tcPr/>
          <w:p w:rsidR="00000000" w:rsidDel="00000000" w:rsidP="00000000" w:rsidRDefault="00000000" w:rsidRPr="00000000" w14:paraId="00000088">
            <w:pPr>
              <w:rPr/>
            </w:pPr>
            <w:r w:rsidDel="00000000" w:rsidR="00000000" w:rsidRPr="00000000">
              <w:rPr>
                <w:rtl w:val="0"/>
              </w:rPr>
            </w:r>
          </w:p>
        </w:tc>
        <w:tc>
          <w:tcPr/>
          <w:p w:rsidR="00000000" w:rsidDel="00000000" w:rsidP="00000000" w:rsidRDefault="00000000" w:rsidRPr="00000000" w14:paraId="00000089">
            <w:pPr>
              <w:rPr/>
            </w:pPr>
            <w:r w:rsidDel="00000000" w:rsidR="00000000" w:rsidRPr="00000000">
              <w:rPr>
                <w:rtl w:val="0"/>
              </w:rPr>
            </w:r>
          </w:p>
        </w:tc>
      </w:tr>
      <w:tr>
        <w:trPr>
          <w:cantSplit w:val="0"/>
          <w:tblHeader w:val="0"/>
        </w:trPr>
        <w:tc>
          <w:tcPr/>
          <w:p w:rsidR="00000000" w:rsidDel="00000000" w:rsidP="00000000" w:rsidRDefault="00000000" w:rsidRPr="00000000" w14:paraId="0000008A">
            <w:pPr>
              <w:rPr/>
            </w:pPr>
            <w:r w:rsidDel="00000000" w:rsidR="00000000" w:rsidRPr="00000000">
              <w:rPr>
                <w:rtl w:val="0"/>
              </w:rPr>
            </w:r>
          </w:p>
        </w:tc>
        <w:tc>
          <w:tcPr>
            <w:tcBorders>
              <w:right w:color="000000" w:space="0" w:sz="0" w:val="nil"/>
            </w:tcBorders>
          </w:tcPr>
          <w:p w:rsidR="00000000" w:rsidDel="00000000" w:rsidP="00000000" w:rsidRDefault="00000000" w:rsidRPr="00000000" w14:paraId="0000008B">
            <w:pPr>
              <w:rPr/>
            </w:pPr>
            <w:r w:rsidDel="00000000" w:rsidR="00000000" w:rsidRPr="00000000">
              <w:rPr>
                <w:rtl w:val="0"/>
              </w:rPr>
              <w:t xml:space="preserve">Median Age (years)</w:t>
            </w:r>
          </w:p>
        </w:tc>
        <w:tc>
          <w:tcPr/>
          <w:p w:rsidR="00000000" w:rsidDel="00000000" w:rsidP="00000000" w:rsidRDefault="00000000" w:rsidRPr="00000000" w14:paraId="0000008C">
            <w:pPr>
              <w:rPr/>
            </w:pPr>
            <w:r w:rsidDel="00000000" w:rsidR="00000000" w:rsidRPr="00000000">
              <w:rPr>
                <w:rtl w:val="0"/>
              </w:rPr>
              <w:t xml:space="preserve">40 (36, 43)</w:t>
            </w:r>
          </w:p>
        </w:tc>
        <w:tc>
          <w:tcPr/>
          <w:p w:rsidR="00000000" w:rsidDel="00000000" w:rsidP="00000000" w:rsidRDefault="00000000" w:rsidRPr="00000000" w14:paraId="0000008D">
            <w:pPr>
              <w:rPr/>
            </w:pPr>
            <w:r w:rsidDel="00000000" w:rsidR="00000000" w:rsidRPr="00000000">
              <w:rPr>
                <w:rtl w:val="0"/>
              </w:rPr>
              <w:t xml:space="preserve">37 (34, 40)</w:t>
            </w:r>
          </w:p>
        </w:tc>
      </w:tr>
      <w:tr>
        <w:trPr>
          <w:cantSplit w:val="0"/>
          <w:tblHeader w:val="0"/>
        </w:trPr>
        <w:tc>
          <w:tcPr/>
          <w:p w:rsidR="00000000" w:rsidDel="00000000" w:rsidP="00000000" w:rsidRDefault="00000000" w:rsidRPr="00000000" w14:paraId="0000008E">
            <w:pPr>
              <w:rPr/>
            </w:pPr>
            <w:r w:rsidDel="00000000" w:rsidR="00000000" w:rsidRPr="00000000">
              <w:rPr>
                <w:b w:val="1"/>
                <w:rtl w:val="0"/>
              </w:rPr>
              <w:t xml:space="preserve">Sex</w:t>
            </w:r>
            <w:r w:rsidDel="00000000" w:rsidR="00000000" w:rsidRPr="00000000">
              <w:rPr>
                <w:rtl w:val="0"/>
              </w:rPr>
            </w:r>
          </w:p>
        </w:tc>
        <w:tc>
          <w:tcPr>
            <w:tcBorders>
              <w:right w:color="000000" w:space="0" w:sz="0" w:val="nil"/>
            </w:tcBorders>
          </w:tcPr>
          <w:p w:rsidR="00000000" w:rsidDel="00000000" w:rsidP="00000000" w:rsidRDefault="00000000" w:rsidRPr="00000000" w14:paraId="0000008F">
            <w:pPr>
              <w:rPr/>
            </w:pPr>
            <w:r w:rsidDel="00000000" w:rsidR="00000000" w:rsidRPr="00000000">
              <w:rPr>
                <w:rtl w:val="0"/>
              </w:rPr>
            </w:r>
          </w:p>
        </w:tc>
        <w:tc>
          <w:tcPr/>
          <w:p w:rsidR="00000000" w:rsidDel="00000000" w:rsidP="00000000" w:rsidRDefault="00000000" w:rsidRPr="00000000" w14:paraId="00000090">
            <w:pPr>
              <w:rPr/>
            </w:pPr>
            <w:r w:rsidDel="00000000" w:rsidR="00000000" w:rsidRPr="00000000">
              <w:rPr>
                <w:rtl w:val="0"/>
              </w:rPr>
            </w:r>
          </w:p>
        </w:tc>
        <w:tc>
          <w:tcPr/>
          <w:p w:rsidR="00000000" w:rsidDel="00000000" w:rsidP="00000000" w:rsidRDefault="00000000" w:rsidRPr="00000000" w14:paraId="00000091">
            <w:pPr>
              <w:rPr/>
            </w:pPr>
            <w:r w:rsidDel="00000000" w:rsidR="00000000" w:rsidRPr="00000000">
              <w:rPr>
                <w:rtl w:val="0"/>
              </w:rPr>
            </w:r>
          </w:p>
        </w:tc>
      </w:tr>
      <w:tr>
        <w:trPr>
          <w:cantSplit w:val="0"/>
          <w:tblHeader w:val="0"/>
        </w:trPr>
        <w:tc>
          <w:tcPr/>
          <w:p w:rsidR="00000000" w:rsidDel="00000000" w:rsidP="00000000" w:rsidRDefault="00000000" w:rsidRPr="00000000" w14:paraId="00000092">
            <w:pPr>
              <w:rPr/>
            </w:pPr>
            <w:r w:rsidDel="00000000" w:rsidR="00000000" w:rsidRPr="00000000">
              <w:rPr>
                <w:rtl w:val="0"/>
              </w:rPr>
            </w:r>
          </w:p>
        </w:tc>
        <w:tc>
          <w:tcPr>
            <w:tcBorders>
              <w:right w:color="000000" w:space="0" w:sz="0" w:val="nil"/>
            </w:tcBorders>
          </w:tcPr>
          <w:p w:rsidR="00000000" w:rsidDel="00000000" w:rsidP="00000000" w:rsidRDefault="00000000" w:rsidRPr="00000000" w14:paraId="00000093">
            <w:pPr>
              <w:rPr/>
            </w:pPr>
            <w:r w:rsidDel="00000000" w:rsidR="00000000" w:rsidRPr="00000000">
              <w:rPr>
                <w:rtl w:val="0"/>
              </w:rPr>
              <w:t xml:space="preserve">Sex Ratio (males per 100 females)</w:t>
            </w:r>
          </w:p>
        </w:tc>
        <w:tc>
          <w:tcPr/>
          <w:p w:rsidR="00000000" w:rsidDel="00000000" w:rsidP="00000000" w:rsidRDefault="00000000" w:rsidRPr="00000000" w14:paraId="00000094">
            <w:pPr>
              <w:rPr/>
            </w:pPr>
            <w:r w:rsidDel="00000000" w:rsidR="00000000" w:rsidRPr="00000000">
              <w:rPr>
                <w:rtl w:val="0"/>
              </w:rPr>
              <w:t xml:space="preserve">96 (91, 101)</w:t>
            </w:r>
          </w:p>
        </w:tc>
        <w:tc>
          <w:tcPr/>
          <w:p w:rsidR="00000000" w:rsidDel="00000000" w:rsidP="00000000" w:rsidRDefault="00000000" w:rsidRPr="00000000" w14:paraId="00000095">
            <w:pPr>
              <w:rPr/>
            </w:pPr>
            <w:r w:rsidDel="00000000" w:rsidR="00000000" w:rsidRPr="00000000">
              <w:rPr>
                <w:rtl w:val="0"/>
              </w:rPr>
              <w:t xml:space="preserve">91 (84, 97)</w:t>
            </w:r>
          </w:p>
        </w:tc>
      </w:tr>
      <w:tr>
        <w:trPr>
          <w:cantSplit w:val="0"/>
          <w:tblHeader w:val="0"/>
        </w:trPr>
        <w:tc>
          <w:tcPr/>
          <w:p w:rsidR="00000000" w:rsidDel="00000000" w:rsidP="00000000" w:rsidRDefault="00000000" w:rsidRPr="00000000" w14:paraId="00000096">
            <w:pPr>
              <w:rPr/>
            </w:pPr>
            <w:r w:rsidDel="00000000" w:rsidR="00000000" w:rsidRPr="00000000">
              <w:rPr>
                <w:b w:val="1"/>
                <w:rtl w:val="0"/>
              </w:rPr>
              <w:t xml:space="preserve">Race/Ethnicity</w:t>
            </w:r>
            <w:r w:rsidDel="00000000" w:rsidR="00000000" w:rsidRPr="00000000">
              <w:rPr>
                <w:rtl w:val="0"/>
              </w:rPr>
            </w:r>
          </w:p>
        </w:tc>
        <w:tc>
          <w:tcPr>
            <w:tcBorders>
              <w:right w:color="000000" w:space="0" w:sz="0" w:val="nil"/>
            </w:tcBorders>
          </w:tcPr>
          <w:p w:rsidR="00000000" w:rsidDel="00000000" w:rsidP="00000000" w:rsidRDefault="00000000" w:rsidRPr="00000000" w14:paraId="00000097">
            <w:pPr>
              <w:rPr/>
            </w:pPr>
            <w:r w:rsidDel="00000000" w:rsidR="00000000" w:rsidRPr="00000000">
              <w:rPr>
                <w:rtl w:val="0"/>
              </w:rPr>
            </w:r>
          </w:p>
        </w:tc>
        <w:tc>
          <w:tcPr/>
          <w:p w:rsidR="00000000" w:rsidDel="00000000" w:rsidP="00000000" w:rsidRDefault="00000000" w:rsidRPr="00000000" w14:paraId="00000098">
            <w:pPr>
              <w:rPr/>
            </w:pPr>
            <w:r w:rsidDel="00000000" w:rsidR="00000000" w:rsidRPr="00000000">
              <w:rPr>
                <w:rtl w:val="0"/>
              </w:rPr>
            </w:r>
          </w:p>
        </w:tc>
        <w:tc>
          <w:tcPr/>
          <w:p w:rsidR="00000000" w:rsidDel="00000000" w:rsidP="00000000" w:rsidRDefault="00000000" w:rsidRPr="00000000" w14:paraId="00000099">
            <w:pPr>
              <w:rPr/>
            </w:pPr>
            <w:r w:rsidDel="00000000" w:rsidR="00000000" w:rsidRPr="00000000">
              <w:rPr>
                <w:rtl w:val="0"/>
              </w:rPr>
            </w:r>
          </w:p>
        </w:tc>
      </w:tr>
      <w:tr>
        <w:trPr>
          <w:cantSplit w:val="0"/>
          <w:tblHeader w:val="0"/>
        </w:trPr>
        <w:tc>
          <w:tcPr/>
          <w:p w:rsidR="00000000" w:rsidDel="00000000" w:rsidP="00000000" w:rsidRDefault="00000000" w:rsidRPr="00000000" w14:paraId="0000009A">
            <w:pPr>
              <w:rPr>
                <w:b w:val="1"/>
              </w:rPr>
            </w:pPr>
            <w:r w:rsidDel="00000000" w:rsidR="00000000" w:rsidRPr="00000000">
              <w:rPr>
                <w:rtl w:val="0"/>
              </w:rPr>
            </w:r>
          </w:p>
        </w:tc>
        <w:tc>
          <w:tcPr>
            <w:tcBorders>
              <w:right w:color="000000" w:space="0" w:sz="0" w:val="nil"/>
            </w:tcBorders>
          </w:tcPr>
          <w:p w:rsidR="00000000" w:rsidDel="00000000" w:rsidP="00000000" w:rsidRDefault="00000000" w:rsidRPr="00000000" w14:paraId="0000009B">
            <w:pPr>
              <w:rPr/>
            </w:pPr>
            <w:r w:rsidDel="00000000" w:rsidR="00000000" w:rsidRPr="00000000">
              <w:rPr>
                <w:rtl w:val="0"/>
              </w:rPr>
              <w:t xml:space="preserve">Non-Hispanic White, Alone (%)</w:t>
            </w:r>
          </w:p>
        </w:tc>
        <w:tc>
          <w:tcPr/>
          <w:p w:rsidR="00000000" w:rsidDel="00000000" w:rsidP="00000000" w:rsidRDefault="00000000" w:rsidRPr="00000000" w14:paraId="0000009C">
            <w:pPr>
              <w:rPr/>
            </w:pPr>
            <w:r w:rsidDel="00000000" w:rsidR="00000000" w:rsidRPr="00000000">
              <w:rPr>
                <w:rtl w:val="0"/>
              </w:rPr>
              <w:t xml:space="preserve">60 (31, 76)</w:t>
            </w:r>
          </w:p>
        </w:tc>
        <w:tc>
          <w:tcPr/>
          <w:p w:rsidR="00000000" w:rsidDel="00000000" w:rsidP="00000000" w:rsidRDefault="00000000" w:rsidRPr="00000000" w14:paraId="0000009D">
            <w:pPr>
              <w:rPr/>
            </w:pPr>
            <w:r w:rsidDel="00000000" w:rsidR="00000000" w:rsidRPr="00000000">
              <w:rPr>
                <w:rtl w:val="0"/>
              </w:rPr>
              <w:t xml:space="preserve">17 (4, 49)</w:t>
            </w:r>
          </w:p>
        </w:tc>
      </w:tr>
      <w:tr>
        <w:trPr>
          <w:cantSplit w:val="0"/>
          <w:tblHeader w:val="0"/>
        </w:trPr>
        <w:tc>
          <w:tcPr/>
          <w:p w:rsidR="00000000" w:rsidDel="00000000" w:rsidP="00000000" w:rsidRDefault="00000000" w:rsidRPr="00000000" w14:paraId="0000009E">
            <w:pPr>
              <w:rPr/>
            </w:pPr>
            <w:r w:rsidDel="00000000" w:rsidR="00000000" w:rsidRPr="00000000">
              <w:rPr>
                <w:rtl w:val="0"/>
              </w:rPr>
            </w:r>
          </w:p>
        </w:tc>
        <w:tc>
          <w:tcPr>
            <w:tcBorders>
              <w:right w:color="000000" w:space="0" w:sz="0" w:val="nil"/>
            </w:tcBorders>
          </w:tcPr>
          <w:p w:rsidR="00000000" w:rsidDel="00000000" w:rsidP="00000000" w:rsidRDefault="00000000" w:rsidRPr="00000000" w14:paraId="0000009F">
            <w:pPr>
              <w:rPr/>
            </w:pPr>
            <w:r w:rsidDel="00000000" w:rsidR="00000000" w:rsidRPr="00000000">
              <w:rPr>
                <w:rtl w:val="0"/>
              </w:rPr>
              <w:t xml:space="preserve">Non-Hispanic Black, Alone (%)</w:t>
            </w:r>
          </w:p>
        </w:tc>
        <w:tc>
          <w:tcPr/>
          <w:p w:rsidR="00000000" w:rsidDel="00000000" w:rsidP="00000000" w:rsidRDefault="00000000" w:rsidRPr="00000000" w14:paraId="000000A0">
            <w:pPr>
              <w:rPr/>
            </w:pPr>
            <w:r w:rsidDel="00000000" w:rsidR="00000000" w:rsidRPr="00000000">
              <w:rPr>
                <w:rtl w:val="0"/>
              </w:rPr>
              <w:t xml:space="preserve">3 (2, 10)</w:t>
              <w:br w:type="textWrapping"/>
            </w:r>
          </w:p>
        </w:tc>
        <w:tc>
          <w:tcPr/>
          <w:p w:rsidR="00000000" w:rsidDel="00000000" w:rsidP="00000000" w:rsidRDefault="00000000" w:rsidRPr="00000000" w14:paraId="000000A1">
            <w:pPr>
              <w:rPr/>
            </w:pPr>
            <w:r w:rsidDel="00000000" w:rsidR="00000000" w:rsidRPr="00000000">
              <w:rPr>
                <w:rtl w:val="0"/>
              </w:rPr>
              <w:t xml:space="preserve">32 (6, 79)</w:t>
              <w:br w:type="textWrapping"/>
            </w:r>
          </w:p>
        </w:tc>
      </w:tr>
      <w:tr>
        <w:trPr>
          <w:cantSplit w:val="0"/>
          <w:tblHeader w:val="0"/>
        </w:trPr>
        <w:tc>
          <w:tcPr>
            <w:tcBorders>
              <w:top w:color="000000" w:space="0" w:sz="0" w:val="nil"/>
            </w:tcBorders>
          </w:tcPr>
          <w:p w:rsidR="00000000" w:rsidDel="00000000" w:rsidP="00000000" w:rsidRDefault="00000000" w:rsidRPr="00000000" w14:paraId="000000A2">
            <w:pPr>
              <w:rPr/>
            </w:pPr>
            <w:r w:rsidDel="00000000" w:rsidR="00000000" w:rsidRPr="00000000">
              <w:rPr>
                <w:rtl w:val="0"/>
              </w:rPr>
            </w:r>
          </w:p>
        </w:tc>
        <w:tc>
          <w:tcPr>
            <w:tcBorders>
              <w:top w:color="000000" w:space="0" w:sz="0" w:val="nil"/>
              <w:right w:color="000000" w:space="0" w:sz="0" w:val="nil"/>
            </w:tcBorders>
          </w:tcPr>
          <w:p w:rsidR="00000000" w:rsidDel="00000000" w:rsidP="00000000" w:rsidRDefault="00000000" w:rsidRPr="00000000" w14:paraId="000000A3">
            <w:pPr>
              <w:rPr/>
            </w:pPr>
            <w:r w:rsidDel="00000000" w:rsidR="00000000" w:rsidRPr="00000000">
              <w:rPr>
                <w:rtl w:val="0"/>
              </w:rPr>
              <w:t xml:space="preserve">Asian, Any (%)</w:t>
            </w:r>
          </w:p>
        </w:tc>
        <w:tc>
          <w:tcPr>
            <w:tcBorders>
              <w:top w:color="000000" w:space="0" w:sz="0" w:val="nil"/>
            </w:tcBorders>
          </w:tcPr>
          <w:p w:rsidR="00000000" w:rsidDel="00000000" w:rsidP="00000000" w:rsidRDefault="00000000" w:rsidRPr="00000000" w14:paraId="000000A4">
            <w:pPr>
              <w:rPr/>
            </w:pPr>
            <w:r w:rsidDel="00000000" w:rsidR="00000000" w:rsidRPr="00000000">
              <w:rPr>
                <w:rtl w:val="0"/>
              </w:rPr>
              <w:t xml:space="preserve">5 (2, 11)</w:t>
            </w:r>
          </w:p>
        </w:tc>
        <w:tc>
          <w:tcPr>
            <w:tcBorders>
              <w:top w:color="000000" w:space="0" w:sz="0" w:val="nil"/>
            </w:tcBorders>
          </w:tcPr>
          <w:p w:rsidR="00000000" w:rsidDel="00000000" w:rsidP="00000000" w:rsidRDefault="00000000" w:rsidRPr="00000000" w14:paraId="000000A5">
            <w:pPr>
              <w:rPr/>
            </w:pPr>
            <w:r w:rsidDel="00000000" w:rsidR="00000000" w:rsidRPr="00000000">
              <w:rPr>
                <w:rtl w:val="0"/>
              </w:rPr>
              <w:t xml:space="preserve">2 (1, 6)</w:t>
            </w:r>
          </w:p>
        </w:tc>
      </w:tr>
      <w:tr>
        <w:trPr>
          <w:cantSplit w:val="0"/>
          <w:tblHeader w:val="0"/>
        </w:trPr>
        <w:tc>
          <w:tcPr>
            <w:tcBorders>
              <w:top w:color="000000" w:space="0" w:sz="0" w:val="nil"/>
            </w:tcBorders>
          </w:tcPr>
          <w:p w:rsidR="00000000" w:rsidDel="00000000" w:rsidP="00000000" w:rsidRDefault="00000000" w:rsidRPr="00000000" w14:paraId="000000A6">
            <w:pPr>
              <w:rPr/>
            </w:pPr>
            <w:r w:rsidDel="00000000" w:rsidR="00000000" w:rsidRPr="00000000">
              <w:rPr>
                <w:rtl w:val="0"/>
              </w:rPr>
            </w:r>
          </w:p>
        </w:tc>
        <w:tc>
          <w:tcPr>
            <w:tcBorders>
              <w:top w:color="000000" w:space="0" w:sz="0" w:val="nil"/>
              <w:right w:color="000000" w:space="0" w:sz="0" w:val="nil"/>
            </w:tcBorders>
          </w:tcPr>
          <w:p w:rsidR="00000000" w:rsidDel="00000000" w:rsidP="00000000" w:rsidRDefault="00000000" w:rsidRPr="00000000" w14:paraId="000000A7">
            <w:pPr>
              <w:rPr/>
            </w:pPr>
            <w:r w:rsidDel="00000000" w:rsidR="00000000" w:rsidRPr="00000000">
              <w:rPr>
                <w:rtl w:val="0"/>
              </w:rPr>
              <w:t xml:space="preserve">American Indian and Alaska Native, Any (%)</w:t>
            </w:r>
          </w:p>
        </w:tc>
        <w:tc>
          <w:tcPr>
            <w:tcBorders>
              <w:top w:color="000000" w:space="0" w:sz="0" w:val="nil"/>
            </w:tcBorders>
          </w:tcPr>
          <w:p w:rsidR="00000000" w:rsidDel="00000000" w:rsidP="00000000" w:rsidRDefault="00000000" w:rsidRPr="00000000" w14:paraId="000000A8">
            <w:pPr>
              <w:rPr/>
            </w:pPr>
            <w:r w:rsidDel="00000000" w:rsidR="00000000" w:rsidRPr="00000000">
              <w:rPr>
                <w:rtl w:val="0"/>
              </w:rPr>
              <w:t xml:space="preserve">1 (0, 1)</w:t>
            </w:r>
          </w:p>
        </w:tc>
        <w:tc>
          <w:tcPr>
            <w:tcBorders>
              <w:top w:color="000000" w:space="0" w:sz="0" w:val="nil"/>
            </w:tcBorders>
          </w:tcPr>
          <w:p w:rsidR="00000000" w:rsidDel="00000000" w:rsidP="00000000" w:rsidRDefault="00000000" w:rsidRPr="00000000" w14:paraId="000000A9">
            <w:pPr>
              <w:rPr/>
            </w:pPr>
            <w:r w:rsidDel="00000000" w:rsidR="00000000" w:rsidRPr="00000000">
              <w:rPr>
                <w:rtl w:val="0"/>
              </w:rPr>
              <w:t xml:space="preserve">1 (0, 1)</w:t>
            </w:r>
          </w:p>
        </w:tc>
      </w:tr>
      <w:tr>
        <w:trPr>
          <w:cantSplit w:val="0"/>
          <w:tblHeader w:val="0"/>
        </w:trPr>
        <w:tc>
          <w:tcPr>
            <w:tcBorders>
              <w:top w:color="000000" w:space="0" w:sz="0" w:val="nil"/>
            </w:tcBorders>
          </w:tcPr>
          <w:p w:rsidR="00000000" w:rsidDel="00000000" w:rsidP="00000000" w:rsidRDefault="00000000" w:rsidRPr="00000000" w14:paraId="000000AA">
            <w:pPr>
              <w:rPr/>
            </w:pPr>
            <w:r w:rsidDel="00000000" w:rsidR="00000000" w:rsidRPr="00000000">
              <w:rPr>
                <w:rtl w:val="0"/>
              </w:rPr>
            </w:r>
          </w:p>
        </w:tc>
        <w:tc>
          <w:tcPr>
            <w:tcBorders>
              <w:top w:color="000000" w:space="0" w:sz="0" w:val="nil"/>
              <w:right w:color="000000" w:space="0" w:sz="0" w:val="nil"/>
            </w:tcBorders>
          </w:tcPr>
          <w:p w:rsidR="00000000" w:rsidDel="00000000" w:rsidP="00000000" w:rsidRDefault="00000000" w:rsidRPr="00000000" w14:paraId="000000AB">
            <w:pPr>
              <w:rPr/>
            </w:pPr>
            <w:r w:rsidDel="00000000" w:rsidR="00000000" w:rsidRPr="00000000">
              <w:rPr>
                <w:rtl w:val="0"/>
              </w:rPr>
              <w:t xml:space="preserve">Hispanic, Any (%)</w:t>
            </w:r>
          </w:p>
        </w:tc>
        <w:tc>
          <w:tcPr>
            <w:tcBorders>
              <w:top w:color="000000" w:space="0" w:sz="0" w:val="nil"/>
            </w:tcBorders>
          </w:tcPr>
          <w:p w:rsidR="00000000" w:rsidDel="00000000" w:rsidP="00000000" w:rsidRDefault="00000000" w:rsidRPr="00000000" w14:paraId="000000AC">
            <w:pPr>
              <w:rPr/>
            </w:pPr>
            <w:r w:rsidDel="00000000" w:rsidR="00000000" w:rsidRPr="00000000">
              <w:rPr>
                <w:rtl w:val="0"/>
              </w:rPr>
              <w:t xml:space="preserve">14 (7, 33)</w:t>
            </w:r>
          </w:p>
        </w:tc>
        <w:tc>
          <w:tcPr>
            <w:tcBorders>
              <w:top w:color="000000" w:space="0" w:sz="0" w:val="nil"/>
            </w:tcBorders>
          </w:tcPr>
          <w:p w:rsidR="00000000" w:rsidDel="00000000" w:rsidP="00000000" w:rsidRDefault="00000000" w:rsidRPr="00000000" w14:paraId="000000AD">
            <w:pPr>
              <w:rPr/>
            </w:pPr>
            <w:r w:rsidDel="00000000" w:rsidR="00000000" w:rsidRPr="00000000">
              <w:rPr>
                <w:rtl w:val="0"/>
              </w:rPr>
              <w:t xml:space="preserve">14 (4, 28)</w:t>
            </w:r>
          </w:p>
        </w:tc>
      </w:tr>
      <w:tr>
        <w:trPr>
          <w:cantSplit w:val="0"/>
          <w:tblHeader w:val="0"/>
        </w:trPr>
        <w:tc>
          <w:tcPr>
            <w:tcBorders>
              <w:top w:color="000000" w:space="0" w:sz="0" w:val="nil"/>
            </w:tcBorders>
          </w:tcPr>
          <w:p w:rsidR="00000000" w:rsidDel="00000000" w:rsidP="00000000" w:rsidRDefault="00000000" w:rsidRPr="00000000" w14:paraId="000000AE">
            <w:pPr>
              <w:rPr>
                <w:b w:val="1"/>
              </w:rPr>
            </w:pPr>
            <w:r w:rsidDel="00000000" w:rsidR="00000000" w:rsidRPr="00000000">
              <w:rPr>
                <w:b w:val="1"/>
                <w:rtl w:val="0"/>
              </w:rPr>
              <w:t xml:space="preserve">Modeling Variables</w:t>
            </w:r>
          </w:p>
        </w:tc>
        <w:tc>
          <w:tcPr>
            <w:tcBorders>
              <w:top w:color="000000" w:space="0" w:sz="0" w:val="nil"/>
              <w:right w:color="000000" w:space="0" w:sz="0" w:val="nil"/>
            </w:tcBorders>
          </w:tcPr>
          <w:p w:rsidR="00000000" w:rsidDel="00000000" w:rsidP="00000000" w:rsidRDefault="00000000" w:rsidRPr="00000000" w14:paraId="000000AF">
            <w:pPr>
              <w:rPr/>
            </w:pPr>
            <w:r w:rsidDel="00000000" w:rsidR="00000000" w:rsidRPr="00000000">
              <w:rPr>
                <w:rtl w:val="0"/>
              </w:rPr>
            </w:r>
          </w:p>
        </w:tc>
        <w:tc>
          <w:tcPr>
            <w:tcBorders>
              <w:top w:color="000000" w:space="0" w:sz="0" w:val="nil"/>
            </w:tcBorders>
          </w:tcPr>
          <w:p w:rsidR="00000000" w:rsidDel="00000000" w:rsidP="00000000" w:rsidRDefault="00000000" w:rsidRPr="00000000" w14:paraId="000000B0">
            <w:pPr>
              <w:rPr/>
            </w:pPr>
            <w:r w:rsidDel="00000000" w:rsidR="00000000" w:rsidRPr="00000000">
              <w:rPr>
                <w:rtl w:val="0"/>
              </w:rPr>
            </w:r>
          </w:p>
        </w:tc>
        <w:tc>
          <w:tcPr>
            <w:tcBorders>
              <w:top w:color="000000" w:space="0" w:sz="0" w:val="nil"/>
            </w:tcBorders>
          </w:tcPr>
          <w:p w:rsidR="00000000" w:rsidDel="00000000" w:rsidP="00000000" w:rsidRDefault="00000000" w:rsidRPr="00000000" w14:paraId="000000B1">
            <w:pPr>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B2">
            <w:pPr>
              <w:rPr/>
            </w:pPr>
            <w:r w:rsidDel="00000000" w:rsidR="00000000" w:rsidRPr="00000000">
              <w:rPr>
                <w:rtl w:val="0"/>
              </w:rPr>
            </w:r>
          </w:p>
        </w:tc>
        <w:tc>
          <w:tcPr>
            <w:tcBorders>
              <w:top w:color="000000" w:space="0" w:sz="0" w:val="nil"/>
              <w:right w:color="000000" w:space="0" w:sz="0" w:val="nil"/>
            </w:tcBorders>
          </w:tcPr>
          <w:p w:rsidR="00000000" w:rsidDel="00000000" w:rsidP="00000000" w:rsidRDefault="00000000" w:rsidRPr="00000000" w14:paraId="000000B3">
            <w:pPr>
              <w:rPr/>
            </w:pPr>
            <w:r w:rsidDel="00000000" w:rsidR="00000000" w:rsidRPr="00000000">
              <w:rPr>
                <w:rtl w:val="0"/>
              </w:rPr>
              <w:t xml:space="preserve">Total Population</w:t>
            </w:r>
          </w:p>
        </w:tc>
        <w:tc>
          <w:tcPr>
            <w:tcBorders>
              <w:top w:color="000000" w:space="0" w:sz="0" w:val="nil"/>
            </w:tcBorders>
          </w:tcPr>
          <w:p w:rsidR="00000000" w:rsidDel="00000000" w:rsidP="00000000" w:rsidRDefault="00000000" w:rsidRPr="00000000" w14:paraId="000000B4">
            <w:pPr>
              <w:rPr/>
            </w:pPr>
            <w:r w:rsidDel="00000000" w:rsidR="00000000" w:rsidRPr="00000000">
              <w:rPr>
                <w:rtl w:val="0"/>
              </w:rPr>
              <w:t xml:space="preserve">14,426 (8,446, 26,577)</w:t>
            </w:r>
          </w:p>
        </w:tc>
        <w:tc>
          <w:tcPr>
            <w:tcBorders>
              <w:top w:color="000000" w:space="0" w:sz="0" w:val="nil"/>
            </w:tcBorders>
          </w:tcPr>
          <w:p w:rsidR="00000000" w:rsidDel="00000000" w:rsidP="00000000" w:rsidRDefault="00000000" w:rsidRPr="00000000" w14:paraId="000000B5">
            <w:pPr>
              <w:rPr/>
            </w:pPr>
            <w:r w:rsidDel="00000000" w:rsidR="00000000" w:rsidRPr="00000000">
              <w:rPr>
                <w:rtl w:val="0"/>
              </w:rPr>
              <w:t xml:space="preserve">23,810 (13,811, 47,181)</w:t>
              <w:br w:type="textWrapping"/>
            </w:r>
          </w:p>
        </w:tc>
      </w:tr>
      <w:tr>
        <w:trPr>
          <w:cantSplit w:val="0"/>
          <w:tblHeader w:val="0"/>
        </w:trPr>
        <w:tc>
          <w:tcPr>
            <w:tcBorders>
              <w:top w:color="000000" w:space="0" w:sz="0" w:val="nil"/>
            </w:tcBorders>
          </w:tcPr>
          <w:p w:rsidR="00000000" w:rsidDel="00000000" w:rsidP="00000000" w:rsidRDefault="00000000" w:rsidRPr="00000000" w14:paraId="000000B6">
            <w:pPr>
              <w:rPr/>
            </w:pPr>
            <w:r w:rsidDel="00000000" w:rsidR="00000000" w:rsidRPr="00000000">
              <w:rPr>
                <w:rtl w:val="0"/>
              </w:rPr>
            </w:r>
          </w:p>
        </w:tc>
        <w:tc>
          <w:tcPr>
            <w:tcBorders>
              <w:top w:color="000000" w:space="0" w:sz="0" w:val="nil"/>
              <w:right w:color="000000" w:space="0" w:sz="0" w:val="nil"/>
            </w:tcBorders>
          </w:tcPr>
          <w:p w:rsidR="00000000" w:rsidDel="00000000" w:rsidP="00000000" w:rsidRDefault="00000000" w:rsidRPr="00000000" w14:paraId="000000B7">
            <w:pPr>
              <w:rPr/>
            </w:pPr>
            <w:r w:rsidDel="00000000" w:rsidR="00000000" w:rsidRPr="00000000">
              <w:rPr>
                <w:rtl w:val="0"/>
              </w:rPr>
              <w:t xml:space="preserve">Total People Living Below Poverty</w:t>
            </w:r>
          </w:p>
        </w:tc>
        <w:tc>
          <w:tcPr>
            <w:tcBorders>
              <w:top w:color="000000" w:space="0" w:sz="0" w:val="nil"/>
            </w:tcBorders>
          </w:tcPr>
          <w:p w:rsidR="00000000" w:rsidDel="00000000" w:rsidP="00000000" w:rsidRDefault="00000000" w:rsidRPr="00000000" w14:paraId="000000B8">
            <w:pPr>
              <w:rPr/>
            </w:pPr>
            <w:r w:rsidDel="00000000" w:rsidR="00000000" w:rsidRPr="00000000">
              <w:rPr>
                <w:rtl w:val="0"/>
              </w:rPr>
              <w:t xml:space="preserve">1,252 (578, 2,692)</w:t>
            </w:r>
          </w:p>
        </w:tc>
        <w:tc>
          <w:tcPr>
            <w:tcBorders>
              <w:top w:color="000000" w:space="0" w:sz="0" w:val="nil"/>
            </w:tcBorders>
          </w:tcPr>
          <w:p w:rsidR="00000000" w:rsidDel="00000000" w:rsidP="00000000" w:rsidRDefault="00000000" w:rsidRPr="00000000" w14:paraId="000000B9">
            <w:pPr>
              <w:rPr/>
            </w:pPr>
            <w:r w:rsidDel="00000000" w:rsidR="00000000" w:rsidRPr="00000000">
              <w:rPr>
                <w:rtl w:val="0"/>
              </w:rPr>
              <w:t xml:space="preserve">4,354 (1,873, 8,421)</w:t>
            </w:r>
          </w:p>
        </w:tc>
      </w:tr>
      <w:tr>
        <w:trPr>
          <w:cantSplit w:val="0"/>
          <w:tblHeader w:val="0"/>
        </w:trPr>
        <w:tc>
          <w:tcPr>
            <w:tcBorders>
              <w:top w:color="000000" w:space="0" w:sz="0" w:val="nil"/>
            </w:tcBorders>
          </w:tcPr>
          <w:p w:rsidR="00000000" w:rsidDel="00000000" w:rsidP="00000000" w:rsidRDefault="00000000" w:rsidRPr="00000000" w14:paraId="000000BA">
            <w:pPr>
              <w:rPr/>
            </w:pPr>
            <w:r w:rsidDel="00000000" w:rsidR="00000000" w:rsidRPr="00000000">
              <w:rPr>
                <w:rtl w:val="0"/>
              </w:rPr>
            </w:r>
          </w:p>
        </w:tc>
        <w:tc>
          <w:tcPr>
            <w:tcBorders>
              <w:top w:color="000000" w:space="0" w:sz="0" w:val="nil"/>
              <w:right w:color="000000" w:space="0" w:sz="0" w:val="nil"/>
            </w:tcBorders>
          </w:tcPr>
          <w:p w:rsidR="00000000" w:rsidDel="00000000" w:rsidP="00000000" w:rsidRDefault="00000000" w:rsidRPr="00000000" w14:paraId="000000BB">
            <w:pPr>
              <w:rPr/>
            </w:pPr>
            <w:r w:rsidDel="00000000" w:rsidR="00000000" w:rsidRPr="00000000">
              <w:rPr>
                <w:rtl w:val="0"/>
              </w:rPr>
              <w:t xml:space="preserve">Total Crowded Households</w:t>
            </w:r>
          </w:p>
        </w:tc>
        <w:tc>
          <w:tcPr>
            <w:tcBorders>
              <w:top w:color="000000" w:space="0" w:sz="0" w:val="nil"/>
            </w:tcBorders>
          </w:tcPr>
          <w:p w:rsidR="00000000" w:rsidDel="00000000" w:rsidP="00000000" w:rsidRDefault="00000000" w:rsidRPr="00000000" w14:paraId="000000BC">
            <w:pPr>
              <w:rPr/>
            </w:pPr>
            <w:r w:rsidDel="00000000" w:rsidR="00000000" w:rsidRPr="00000000">
              <w:rPr>
                <w:rtl w:val="0"/>
              </w:rPr>
              <w:t xml:space="preserve">116 (38, 330)</w:t>
            </w:r>
          </w:p>
        </w:tc>
        <w:tc>
          <w:tcPr>
            <w:tcBorders>
              <w:top w:color="000000" w:space="0" w:sz="0" w:val="nil"/>
            </w:tcBorders>
          </w:tcPr>
          <w:p w:rsidR="00000000" w:rsidDel="00000000" w:rsidP="00000000" w:rsidRDefault="00000000" w:rsidRPr="00000000" w14:paraId="000000BD">
            <w:pPr>
              <w:rPr/>
            </w:pPr>
            <w:r w:rsidDel="00000000" w:rsidR="00000000" w:rsidRPr="00000000">
              <w:rPr>
                <w:rtl w:val="0"/>
              </w:rPr>
              <w:t xml:space="preserve">284 (116, 639)</w:t>
            </w:r>
          </w:p>
        </w:tc>
      </w:tr>
    </w:tbl>
    <w:p w:rsidR="00000000" w:rsidDel="00000000" w:rsidP="00000000" w:rsidRDefault="00000000" w:rsidRPr="00000000" w14:paraId="000000BE">
      <w:pPr>
        <w:rPr>
          <w:vertAlign w:val="superscript"/>
        </w:rPr>
      </w:pPr>
      <w:r w:rsidDel="00000000" w:rsidR="00000000" w:rsidRPr="00000000">
        <w:rPr>
          <w:vertAlign w:val="superscript"/>
          <w:rtl w:val="0"/>
        </w:rPr>
        <w:t xml:space="preserve">a</w:t>
      </w:r>
      <w:r w:rsidDel="00000000" w:rsidR="00000000" w:rsidRPr="00000000">
        <w:rPr>
          <w:rtl w:val="0"/>
        </w:rPr>
        <w:t xml:space="preserve">Median (IQR)</w:t>
      </w:r>
      <w:r w:rsidDel="00000000" w:rsidR="00000000" w:rsidRPr="00000000">
        <w:rPr>
          <w:rtl w:val="0"/>
        </w:rPr>
      </w:r>
    </w:p>
    <w:p w:rsidR="00000000" w:rsidDel="00000000" w:rsidP="00000000" w:rsidRDefault="00000000" w:rsidRPr="00000000" w14:paraId="000000BF">
      <w:pPr>
        <w:pStyle w:val="Heading3"/>
        <w:spacing w:line="360" w:lineRule="auto"/>
        <w:rPr>
          <w:rFonts w:ascii="Calibri" w:cs="Calibri" w:eastAsia="Calibri" w:hAnsi="Calibri"/>
        </w:rPr>
      </w:pPr>
      <w:r w:rsidDel="00000000" w:rsidR="00000000" w:rsidRPr="00000000">
        <w:rPr>
          <w:rFonts w:ascii="Calibri" w:cs="Calibri" w:eastAsia="Calibri" w:hAnsi="Calibri"/>
          <w:rtl w:val="0"/>
        </w:rPr>
        <w:t xml:space="preserve">Modeling SUID Case Counts</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We fit a negative binomial regression model to predict SUID case counts for each community of Cook County based on total </w:t>
      </w:r>
      <w:r w:rsidDel="00000000" w:rsidR="00000000" w:rsidRPr="00000000">
        <w:rPr>
          <w:color w:val="000000"/>
          <w:rtl w:val="0"/>
        </w:rPr>
        <w:t xml:space="preserve">population</w:t>
      </w:r>
      <w:r w:rsidDel="00000000" w:rsidR="00000000" w:rsidRPr="00000000">
        <w:rPr>
          <w:color w:val="000000"/>
          <w:rtl w:val="0"/>
        </w:rPr>
        <w:t xml:space="preserve">, total people living below the poverty line, and total households with more occupants than rooms (“crowded” households; Table 3). The model was retrospectively trained on SUID case counts for 2015-2019 with predictor variables from the 2014 SVI/ACS. Figure </w:t>
      </w:r>
      <w:r w:rsidDel="00000000" w:rsidR="00000000" w:rsidRPr="00000000">
        <w:rPr>
          <w:rtl w:val="0"/>
        </w:rPr>
        <w:t xml:space="preserve">5</w:t>
      </w:r>
      <w:r w:rsidDel="00000000" w:rsidR="00000000" w:rsidRPr="00000000">
        <w:rPr>
          <w:color w:val="000000"/>
          <w:rtl w:val="0"/>
        </w:rPr>
        <w:t xml:space="preserve"> depicts goodness of fit for the model on the training data, showing that it captured mid-range counts well, but under-predicted the number of communities with zero cases, over-predicted those with one case, and under-predicted those with counts over 6. See Supplement 1 for further details on model selection and evaluation of performance.</w:t>
      </w:r>
    </w:p>
    <w:p w:rsidR="00000000" w:rsidDel="00000000" w:rsidP="00000000" w:rsidRDefault="00000000" w:rsidRPr="00000000" w14:paraId="000000C1">
      <w:pPr>
        <w:spacing w:after="140" w:line="360" w:lineRule="auto"/>
        <w:rPr/>
      </w:pPr>
      <w:r w:rsidDel="00000000" w:rsidR="00000000" w:rsidRPr="00000000">
        <w:rPr>
          <w:b w:val="1"/>
          <w:rtl w:val="0"/>
        </w:rPr>
        <w:t xml:space="preserve">Table 3</w:t>
      </w:r>
      <w:r w:rsidDel="00000000" w:rsidR="00000000" w:rsidRPr="00000000">
        <w:rPr>
          <w:rtl w:val="0"/>
        </w:rPr>
        <w:t xml:space="preserve">. Exponentiated Parameters for the Negative Binomial Regression Model Predicting SUID Case Counts in Communities of Cook County, </w:t>
      </w:r>
      <w:r w:rsidDel="00000000" w:rsidR="00000000" w:rsidRPr="00000000">
        <w:rPr>
          <w:rtl w:val="0"/>
        </w:rPr>
        <w:t xml:space="preserve">IL</w:t>
      </w:r>
      <w:r w:rsidDel="00000000" w:rsidR="00000000" w:rsidRPr="00000000">
        <w:rPr>
          <w:rtl w:val="0"/>
        </w:rPr>
        <w:t xml:space="preserve">.</w:t>
      </w:r>
    </w:p>
    <w:tbl>
      <w:tblPr>
        <w:tblStyle w:val="Table3"/>
        <w:tblW w:w="8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0"/>
        <w:gridCol w:w="990"/>
        <w:gridCol w:w="1080"/>
        <w:gridCol w:w="1440"/>
        <w:gridCol w:w="1080"/>
        <w:gridCol w:w="975"/>
        <w:tblGridChange w:id="0">
          <w:tblGrid>
            <w:gridCol w:w="3060"/>
            <w:gridCol w:w="990"/>
            <w:gridCol w:w="1080"/>
            <w:gridCol w:w="1440"/>
            <w:gridCol w:w="1080"/>
            <w:gridCol w:w="975"/>
          </w:tblGrid>
        </w:tblGridChange>
      </w:tblGrid>
      <w:tr>
        <w:trPr>
          <w:cantSplit w:val="0"/>
          <w:tblHeader w:val="0"/>
        </w:trPr>
        <w:tc>
          <w:tcPr/>
          <w:p w:rsidR="00000000" w:rsidDel="00000000" w:rsidP="00000000" w:rsidRDefault="00000000" w:rsidRPr="00000000" w14:paraId="000000C2">
            <w:pPr>
              <w:rPr/>
            </w:pPr>
            <w:r w:rsidDel="00000000" w:rsidR="00000000" w:rsidRPr="00000000">
              <w:rPr>
                <w:rtl w:val="0"/>
              </w:rPr>
              <w:t xml:space="preserve">Parameter</w:t>
            </w:r>
          </w:p>
        </w:tc>
        <w:tc>
          <w:tcPr/>
          <w:p w:rsidR="00000000" w:rsidDel="00000000" w:rsidP="00000000" w:rsidRDefault="00000000" w:rsidRPr="00000000" w14:paraId="000000C3">
            <w:pPr>
              <w:rPr/>
            </w:pPr>
            <w:r w:rsidDel="00000000" w:rsidR="00000000" w:rsidRPr="00000000">
              <w:rPr>
                <w:rtl w:val="0"/>
              </w:rPr>
              <w:t xml:space="preserve">RR</w:t>
            </w:r>
            <w:r w:rsidDel="00000000" w:rsidR="00000000" w:rsidRPr="00000000">
              <w:rPr>
                <w:vertAlign w:val="superscript"/>
                <w:rtl w:val="0"/>
              </w:rPr>
              <w:t xml:space="preserve">a</w:t>
            </w:r>
            <w:r w:rsidDel="00000000" w:rsidR="00000000" w:rsidRPr="00000000">
              <w:rPr>
                <w:rtl w:val="0"/>
              </w:rPr>
            </w:r>
          </w:p>
        </w:tc>
        <w:tc>
          <w:tcPr>
            <w:tcBorders>
              <w:right w:color="000000" w:space="0" w:sz="0" w:val="nil"/>
            </w:tcBorders>
          </w:tcPr>
          <w:p w:rsidR="00000000" w:rsidDel="00000000" w:rsidP="00000000" w:rsidRDefault="00000000" w:rsidRPr="00000000" w14:paraId="000000C4">
            <w:pPr>
              <w:rPr/>
            </w:pPr>
            <w:r w:rsidDel="00000000" w:rsidR="00000000" w:rsidRPr="00000000">
              <w:rPr>
                <w:rtl w:val="0"/>
              </w:rPr>
              <w:t xml:space="preserve">SE</w:t>
            </w:r>
          </w:p>
        </w:tc>
        <w:tc>
          <w:tcPr>
            <w:tcBorders>
              <w:right w:color="000000" w:space="0" w:sz="0" w:val="nil"/>
            </w:tcBorders>
          </w:tcPr>
          <w:p w:rsidR="00000000" w:rsidDel="00000000" w:rsidP="00000000" w:rsidRDefault="00000000" w:rsidRPr="00000000" w14:paraId="000000C5">
            <w:pPr>
              <w:rPr/>
            </w:pPr>
            <w:r w:rsidDel="00000000" w:rsidR="00000000" w:rsidRPr="00000000">
              <w:rPr>
                <w:rtl w:val="0"/>
              </w:rPr>
              <w:t xml:space="preserve">95% CI</w:t>
            </w:r>
          </w:p>
        </w:tc>
        <w:tc>
          <w:tcPr>
            <w:tcBorders>
              <w:right w:color="000000" w:space="0" w:sz="0" w:val="nil"/>
            </w:tcBorders>
          </w:tcPr>
          <w:p w:rsidR="00000000" w:rsidDel="00000000" w:rsidP="00000000" w:rsidRDefault="00000000" w:rsidRPr="00000000" w14:paraId="000000C6">
            <w:pPr>
              <w:rPr/>
            </w:pPr>
            <w:r w:rsidDel="00000000" w:rsidR="00000000" w:rsidRPr="00000000">
              <w:rPr>
                <w:rtl w:val="0"/>
              </w:rPr>
              <w:t xml:space="preserve">z-score</w:t>
            </w:r>
          </w:p>
        </w:tc>
        <w:tc>
          <w:tcPr/>
          <w:p w:rsidR="00000000" w:rsidDel="00000000" w:rsidP="00000000" w:rsidRDefault="00000000" w:rsidRPr="00000000" w14:paraId="000000C7">
            <w:pPr>
              <w:rPr/>
            </w:pPr>
            <w:r w:rsidDel="00000000" w:rsidR="00000000" w:rsidRPr="00000000">
              <w:rPr>
                <w:rtl w:val="0"/>
              </w:rPr>
              <w:t xml:space="preserve">p-value</w:t>
            </w:r>
          </w:p>
        </w:tc>
      </w:tr>
      <w:tr>
        <w:trPr>
          <w:cantSplit w:val="0"/>
          <w:tblHeader w:val="0"/>
        </w:trPr>
        <w:tc>
          <w:tcPr/>
          <w:p w:rsidR="00000000" w:rsidDel="00000000" w:rsidP="00000000" w:rsidRDefault="00000000" w:rsidRPr="00000000" w14:paraId="000000C8">
            <w:pPr>
              <w:rPr/>
            </w:pPr>
            <w:r w:rsidDel="00000000" w:rsidR="00000000" w:rsidRPr="00000000">
              <w:rPr>
                <w:rtl w:val="0"/>
              </w:rPr>
            </w:r>
          </w:p>
        </w:tc>
        <w:tc>
          <w:tcPr/>
          <w:p w:rsidR="00000000" w:rsidDel="00000000" w:rsidP="00000000" w:rsidRDefault="00000000" w:rsidRPr="00000000" w14:paraId="000000C9">
            <w:pPr>
              <w:rPr/>
            </w:pPr>
            <w:r w:rsidDel="00000000" w:rsidR="00000000" w:rsidRPr="00000000">
              <w:rPr>
                <w:rtl w:val="0"/>
              </w:rPr>
            </w:r>
          </w:p>
        </w:tc>
        <w:tc>
          <w:tcPr>
            <w:tcBorders>
              <w:right w:color="000000" w:space="0" w:sz="0" w:val="nil"/>
            </w:tcBorders>
          </w:tcPr>
          <w:p w:rsidR="00000000" w:rsidDel="00000000" w:rsidP="00000000" w:rsidRDefault="00000000" w:rsidRPr="00000000" w14:paraId="000000CA">
            <w:pPr>
              <w:rPr/>
            </w:pPr>
            <w:r w:rsidDel="00000000" w:rsidR="00000000" w:rsidRPr="00000000">
              <w:rPr>
                <w:rtl w:val="0"/>
              </w:rPr>
            </w:r>
          </w:p>
        </w:tc>
        <w:tc>
          <w:tcPr>
            <w:tcBorders>
              <w:right w:color="000000" w:space="0" w:sz="0" w:val="nil"/>
            </w:tcBorders>
          </w:tcPr>
          <w:p w:rsidR="00000000" w:rsidDel="00000000" w:rsidP="00000000" w:rsidRDefault="00000000" w:rsidRPr="00000000" w14:paraId="000000CB">
            <w:pPr>
              <w:rPr/>
            </w:pPr>
            <w:r w:rsidDel="00000000" w:rsidR="00000000" w:rsidRPr="00000000">
              <w:rPr>
                <w:rtl w:val="0"/>
              </w:rPr>
            </w:r>
          </w:p>
        </w:tc>
        <w:tc>
          <w:tcPr>
            <w:tcBorders>
              <w:right w:color="000000" w:space="0" w:sz="0" w:val="nil"/>
            </w:tcBorders>
          </w:tcPr>
          <w:p w:rsidR="00000000" w:rsidDel="00000000" w:rsidP="00000000" w:rsidRDefault="00000000" w:rsidRPr="00000000" w14:paraId="000000CC">
            <w:pPr>
              <w:rPr/>
            </w:pPr>
            <w:r w:rsidDel="00000000" w:rsidR="00000000" w:rsidRPr="00000000">
              <w:rPr>
                <w:rtl w:val="0"/>
              </w:rPr>
            </w:r>
          </w:p>
        </w:tc>
        <w:tc>
          <w:tcPr/>
          <w:p w:rsidR="00000000" w:rsidDel="00000000" w:rsidP="00000000" w:rsidRDefault="00000000" w:rsidRPr="00000000" w14:paraId="000000CD">
            <w:pPr>
              <w:rPr/>
            </w:pPr>
            <w:r w:rsidDel="00000000" w:rsidR="00000000" w:rsidRPr="00000000">
              <w:rPr>
                <w:rtl w:val="0"/>
              </w:rPr>
            </w:r>
          </w:p>
        </w:tc>
      </w:tr>
      <w:tr>
        <w:trPr>
          <w:cantSplit w:val="0"/>
          <w:tblHeader w:val="0"/>
        </w:trPr>
        <w:tc>
          <w:tcPr/>
          <w:p w:rsidR="00000000" w:rsidDel="00000000" w:rsidP="00000000" w:rsidRDefault="00000000" w:rsidRPr="00000000" w14:paraId="000000CE">
            <w:pPr>
              <w:rPr/>
            </w:pPr>
            <w:r w:rsidDel="00000000" w:rsidR="00000000" w:rsidRPr="00000000">
              <w:rPr>
                <w:rtl w:val="0"/>
              </w:rPr>
              <w:t xml:space="preserve">Intercept</w:t>
            </w:r>
          </w:p>
        </w:tc>
        <w:tc>
          <w:tcPr/>
          <w:p w:rsidR="00000000" w:rsidDel="00000000" w:rsidP="00000000" w:rsidRDefault="00000000" w:rsidRPr="00000000" w14:paraId="000000CF">
            <w:pPr>
              <w:rPr>
                <w:color w:val="333333"/>
              </w:rPr>
            </w:pPr>
            <w:r w:rsidDel="00000000" w:rsidR="00000000" w:rsidRPr="00000000">
              <w:rPr>
                <w:color w:val="333333"/>
                <w:rtl w:val="0"/>
              </w:rPr>
              <w:t xml:space="preserve">0.00134</w:t>
            </w:r>
          </w:p>
        </w:tc>
        <w:tc>
          <w:tcPr>
            <w:tcBorders>
              <w:right w:color="000000" w:space="0" w:sz="0" w:val="nil"/>
            </w:tcBorders>
          </w:tcPr>
          <w:p w:rsidR="00000000" w:rsidDel="00000000" w:rsidP="00000000" w:rsidRDefault="00000000" w:rsidRPr="00000000" w14:paraId="000000D0">
            <w:pPr>
              <w:rPr/>
            </w:pPr>
            <w:r w:rsidDel="00000000" w:rsidR="00000000" w:rsidRPr="00000000">
              <w:rPr>
                <w:rtl w:val="0"/>
              </w:rPr>
              <w:t xml:space="preserve">0.00165</w:t>
            </w:r>
          </w:p>
        </w:tc>
        <w:tc>
          <w:tcPr>
            <w:tcBorders>
              <w:right w:color="000000" w:space="0" w:sz="0" w:val="nil"/>
            </w:tcBorders>
          </w:tcPr>
          <w:p w:rsidR="00000000" w:rsidDel="00000000" w:rsidP="00000000" w:rsidRDefault="00000000" w:rsidRPr="00000000" w14:paraId="000000D1">
            <w:pPr>
              <w:rPr/>
            </w:pPr>
            <w:r w:rsidDel="00000000" w:rsidR="00000000" w:rsidRPr="00000000">
              <w:rPr>
                <w:rtl w:val="0"/>
              </w:rPr>
              <w:t xml:space="preserve">(1.12e-04, 0.01)</w:t>
            </w:r>
          </w:p>
        </w:tc>
        <w:tc>
          <w:tcPr>
            <w:tcBorders>
              <w:right w:color="000000" w:space="0" w:sz="0" w:val="nil"/>
            </w:tcBorders>
          </w:tcPr>
          <w:p w:rsidR="00000000" w:rsidDel="00000000" w:rsidP="00000000" w:rsidRDefault="00000000" w:rsidRPr="00000000" w14:paraId="000000D2">
            <w:pPr>
              <w:rPr/>
            </w:pPr>
            <w:r w:rsidDel="00000000" w:rsidR="00000000" w:rsidRPr="00000000">
              <w:rPr>
                <w:rtl w:val="0"/>
              </w:rPr>
              <w:t xml:space="preserve">-4.30</w:t>
            </w:r>
          </w:p>
        </w:tc>
        <w:tc>
          <w:tcPr/>
          <w:p w:rsidR="00000000" w:rsidDel="00000000" w:rsidP="00000000" w:rsidRDefault="00000000" w:rsidRPr="00000000" w14:paraId="000000D3">
            <w:pPr>
              <w:rPr>
                <w:color w:val="333333"/>
              </w:rPr>
            </w:pPr>
            <w:r w:rsidDel="00000000" w:rsidR="00000000" w:rsidRPr="00000000">
              <w:rPr>
                <w:color w:val="333333"/>
                <w:rtl w:val="0"/>
              </w:rPr>
              <w:t xml:space="preserve">&lt; .001</w:t>
            </w:r>
          </w:p>
        </w:tc>
      </w:tr>
      <w:tr>
        <w:trPr>
          <w:cantSplit w:val="0"/>
          <w:tblHeader w:val="0"/>
        </w:trPr>
        <w:tc>
          <w:tcPr>
            <w:tcBorders>
              <w:top w:color="000000" w:space="0" w:sz="0" w:val="nil"/>
            </w:tcBorders>
          </w:tcPr>
          <w:p w:rsidR="00000000" w:rsidDel="00000000" w:rsidP="00000000" w:rsidRDefault="00000000" w:rsidRPr="00000000" w14:paraId="000000D4">
            <w:pPr>
              <w:rPr/>
            </w:pPr>
            <w:r w:rsidDel="00000000" w:rsidR="00000000" w:rsidRPr="00000000">
              <w:rPr>
                <w:rtl w:val="0"/>
              </w:rPr>
              <w:t xml:space="preserve">log(Total Crowded Households)</w:t>
            </w:r>
          </w:p>
        </w:tc>
        <w:tc>
          <w:tcPr>
            <w:tcBorders>
              <w:top w:color="000000" w:space="0" w:sz="0" w:val="nil"/>
            </w:tcBorders>
          </w:tcPr>
          <w:p w:rsidR="00000000" w:rsidDel="00000000" w:rsidP="00000000" w:rsidRDefault="00000000" w:rsidRPr="00000000" w14:paraId="000000D5">
            <w:pPr>
              <w:rPr>
                <w:color w:val="333333"/>
              </w:rPr>
            </w:pPr>
            <w:r w:rsidDel="00000000" w:rsidR="00000000" w:rsidRPr="00000000">
              <w:rPr>
                <w:color w:val="333333"/>
                <w:rtl w:val="0"/>
              </w:rPr>
              <w:t xml:space="preserve">0.68792</w:t>
            </w:r>
          </w:p>
        </w:tc>
        <w:tc>
          <w:tcPr>
            <w:tcBorders>
              <w:top w:color="000000" w:space="0" w:sz="0" w:val="nil"/>
              <w:right w:color="000000" w:space="0" w:sz="0" w:val="nil"/>
            </w:tcBorders>
          </w:tcPr>
          <w:p w:rsidR="00000000" w:rsidDel="00000000" w:rsidP="00000000" w:rsidRDefault="00000000" w:rsidRPr="00000000" w14:paraId="000000D6">
            <w:pPr>
              <w:rPr>
                <w:color w:val="333333"/>
              </w:rPr>
            </w:pPr>
            <w:r w:rsidDel="00000000" w:rsidR="00000000" w:rsidRPr="00000000">
              <w:rPr>
                <w:color w:val="333333"/>
                <w:rtl w:val="0"/>
              </w:rPr>
              <w:t xml:space="preserve">0.07917</w:t>
            </w:r>
          </w:p>
        </w:tc>
        <w:tc>
          <w:tcPr>
            <w:tcBorders>
              <w:top w:color="000000" w:space="0" w:sz="0" w:val="nil"/>
              <w:right w:color="000000" w:space="0" w:sz="0" w:val="nil"/>
            </w:tcBorders>
          </w:tcPr>
          <w:p w:rsidR="00000000" w:rsidDel="00000000" w:rsidP="00000000" w:rsidRDefault="00000000" w:rsidRPr="00000000" w14:paraId="000000D7">
            <w:pPr>
              <w:rPr/>
            </w:pPr>
            <w:r w:rsidDel="00000000" w:rsidR="00000000" w:rsidRPr="00000000">
              <w:rPr>
                <w:rtl w:val="0"/>
              </w:rPr>
              <w:t xml:space="preserve">(0.55, 0.87)</w:t>
            </w:r>
          </w:p>
        </w:tc>
        <w:tc>
          <w:tcPr>
            <w:tcBorders>
              <w:top w:color="000000" w:space="0" w:sz="0" w:val="nil"/>
              <w:right w:color="000000" w:space="0" w:sz="0" w:val="nil"/>
            </w:tcBorders>
          </w:tcPr>
          <w:p w:rsidR="00000000" w:rsidDel="00000000" w:rsidP="00000000" w:rsidRDefault="00000000" w:rsidRPr="00000000" w14:paraId="000000D8">
            <w:pPr>
              <w:rPr/>
            </w:pPr>
            <w:r w:rsidDel="00000000" w:rsidR="00000000" w:rsidRPr="00000000">
              <w:rPr>
                <w:rtl w:val="0"/>
              </w:rPr>
              <w:t xml:space="preserve">-2.59</w:t>
            </w:r>
          </w:p>
        </w:tc>
        <w:tc>
          <w:tcPr>
            <w:tcBorders>
              <w:top w:color="000000" w:space="0" w:sz="0" w:val="nil"/>
            </w:tcBorders>
          </w:tcPr>
          <w:p w:rsidR="00000000" w:rsidDel="00000000" w:rsidP="00000000" w:rsidRDefault="00000000" w:rsidRPr="00000000" w14:paraId="000000D9">
            <w:pPr>
              <w:rPr>
                <w:color w:val="333333"/>
              </w:rPr>
            </w:pPr>
            <w:r w:rsidDel="00000000" w:rsidR="00000000" w:rsidRPr="00000000">
              <w:rPr>
                <w:color w:val="333333"/>
                <w:rtl w:val="0"/>
              </w:rPr>
              <w:t xml:space="preserve">0.001</w:t>
            </w:r>
          </w:p>
        </w:tc>
      </w:tr>
      <w:tr>
        <w:trPr>
          <w:cantSplit w:val="0"/>
          <w:tblHeader w:val="0"/>
        </w:trPr>
        <w:tc>
          <w:tcPr/>
          <w:p w:rsidR="00000000" w:rsidDel="00000000" w:rsidP="00000000" w:rsidRDefault="00000000" w:rsidRPr="00000000" w14:paraId="000000DA">
            <w:pPr>
              <w:rPr/>
            </w:pPr>
            <w:r w:rsidDel="00000000" w:rsidR="00000000" w:rsidRPr="00000000">
              <w:rPr>
                <w:rtl w:val="0"/>
              </w:rPr>
              <w:t xml:space="preserve">log(Total People Living Below Poverty)</w:t>
            </w:r>
          </w:p>
        </w:tc>
        <w:tc>
          <w:tcPr/>
          <w:p w:rsidR="00000000" w:rsidDel="00000000" w:rsidP="00000000" w:rsidRDefault="00000000" w:rsidRPr="00000000" w14:paraId="000000DB">
            <w:pPr>
              <w:rPr>
                <w:color w:val="333333"/>
              </w:rPr>
            </w:pPr>
            <w:r w:rsidDel="00000000" w:rsidR="00000000" w:rsidRPr="00000000">
              <w:rPr>
                <w:color w:val="333333"/>
                <w:rtl w:val="0"/>
              </w:rPr>
              <w:t xml:space="preserve">6.06547</w:t>
            </w:r>
          </w:p>
        </w:tc>
        <w:tc>
          <w:tcPr>
            <w:tcBorders>
              <w:right w:color="000000" w:space="0" w:sz="0" w:val="nil"/>
            </w:tcBorders>
          </w:tcPr>
          <w:p w:rsidR="00000000" w:rsidDel="00000000" w:rsidP="00000000" w:rsidRDefault="00000000" w:rsidRPr="00000000" w14:paraId="000000DC">
            <w:pPr>
              <w:rPr>
                <w:color w:val="333333"/>
              </w:rPr>
            </w:pPr>
            <w:r w:rsidDel="00000000" w:rsidR="00000000" w:rsidRPr="00000000">
              <w:rPr>
                <w:color w:val="333333"/>
                <w:rtl w:val="0"/>
              </w:rPr>
              <w:t xml:space="preserve">1.01710</w:t>
            </w:r>
          </w:p>
        </w:tc>
        <w:tc>
          <w:tcPr>
            <w:tcBorders>
              <w:right w:color="000000" w:space="0" w:sz="0" w:val="nil"/>
            </w:tcBorders>
          </w:tcPr>
          <w:p w:rsidR="00000000" w:rsidDel="00000000" w:rsidP="00000000" w:rsidRDefault="00000000" w:rsidRPr="00000000" w14:paraId="000000DD">
            <w:pPr>
              <w:rPr/>
            </w:pPr>
            <w:r w:rsidDel="00000000" w:rsidR="00000000" w:rsidRPr="00000000">
              <w:rPr>
                <w:rtl w:val="0"/>
              </w:rPr>
              <w:t xml:space="preserve">(4.42, 8.44)</w:t>
            </w:r>
          </w:p>
        </w:tc>
        <w:tc>
          <w:tcPr>
            <w:tcBorders>
              <w:right w:color="000000" w:space="0" w:sz="0" w:val="nil"/>
            </w:tcBorders>
          </w:tcPr>
          <w:p w:rsidR="00000000" w:rsidDel="00000000" w:rsidP="00000000" w:rsidRDefault="00000000" w:rsidRPr="00000000" w14:paraId="000000DE">
            <w:pPr>
              <w:rPr>
                <w:color w:val="333333"/>
              </w:rPr>
            </w:pPr>
            <w:r w:rsidDel="00000000" w:rsidR="00000000" w:rsidRPr="00000000">
              <w:rPr>
                <w:color w:val="333333"/>
                <w:rtl w:val="0"/>
              </w:rPr>
              <w:t xml:space="preserve">8.58</w:t>
            </w:r>
          </w:p>
        </w:tc>
        <w:tc>
          <w:tcPr/>
          <w:p w:rsidR="00000000" w:rsidDel="00000000" w:rsidP="00000000" w:rsidRDefault="00000000" w:rsidRPr="00000000" w14:paraId="000000DF">
            <w:pPr>
              <w:rPr/>
            </w:pPr>
            <w:r w:rsidDel="00000000" w:rsidR="00000000" w:rsidRPr="00000000">
              <w:rPr>
                <w:rtl w:val="0"/>
              </w:rPr>
              <w:t xml:space="preserve">&lt; .001</w:t>
            </w:r>
          </w:p>
        </w:tc>
      </w:tr>
      <w:tr>
        <w:trPr>
          <w:cantSplit w:val="0"/>
          <w:tblHeader w:val="0"/>
        </w:trPr>
        <w:tc>
          <w:tcPr/>
          <w:p w:rsidR="00000000" w:rsidDel="00000000" w:rsidP="00000000" w:rsidRDefault="00000000" w:rsidRPr="00000000" w14:paraId="000000E0">
            <w:pPr>
              <w:rPr/>
            </w:pPr>
            <w:r w:rsidDel="00000000" w:rsidR="00000000" w:rsidRPr="00000000">
              <w:rPr>
                <w:rtl w:val="0"/>
              </w:rPr>
              <w:t xml:space="preserve">log(Total Population)</w:t>
            </w:r>
          </w:p>
        </w:tc>
        <w:tc>
          <w:tcPr/>
          <w:p w:rsidR="00000000" w:rsidDel="00000000" w:rsidP="00000000" w:rsidRDefault="00000000" w:rsidRPr="00000000" w14:paraId="000000E1">
            <w:pPr>
              <w:rPr>
                <w:color w:val="333333"/>
              </w:rPr>
            </w:pPr>
            <w:r w:rsidDel="00000000" w:rsidR="00000000" w:rsidRPr="00000000">
              <w:rPr>
                <w:color w:val="333333"/>
                <w:rtl w:val="0"/>
              </w:rPr>
              <w:t xml:space="preserve">0.55181</w:t>
            </w:r>
          </w:p>
        </w:tc>
        <w:tc>
          <w:tcPr>
            <w:tcBorders>
              <w:right w:color="000000" w:space="0" w:sz="0" w:val="nil"/>
            </w:tcBorders>
          </w:tcPr>
          <w:p w:rsidR="00000000" w:rsidDel="00000000" w:rsidP="00000000" w:rsidRDefault="00000000" w:rsidRPr="00000000" w14:paraId="000000E2">
            <w:pPr>
              <w:rPr>
                <w:color w:val="333333"/>
              </w:rPr>
            </w:pPr>
            <w:r w:rsidDel="00000000" w:rsidR="00000000" w:rsidRPr="00000000">
              <w:rPr>
                <w:color w:val="333333"/>
                <w:rtl w:val="0"/>
              </w:rPr>
              <w:t xml:space="preserve">0.09339</w:t>
            </w:r>
          </w:p>
        </w:tc>
        <w:tc>
          <w:tcPr>
            <w:tcBorders>
              <w:right w:color="000000" w:space="0" w:sz="0" w:val="nil"/>
            </w:tcBorders>
          </w:tcPr>
          <w:p w:rsidR="00000000" w:rsidDel="00000000" w:rsidP="00000000" w:rsidRDefault="00000000" w:rsidRPr="00000000" w14:paraId="000000E3">
            <w:pPr>
              <w:rPr/>
            </w:pPr>
            <w:r w:rsidDel="00000000" w:rsidR="00000000" w:rsidRPr="00000000">
              <w:rPr>
                <w:rtl w:val="0"/>
              </w:rPr>
              <w:t xml:space="preserve">(0.40, 0.77)</w:t>
            </w:r>
          </w:p>
        </w:tc>
        <w:tc>
          <w:tcPr>
            <w:tcBorders>
              <w:right w:color="000000" w:space="0" w:sz="0" w:val="nil"/>
            </w:tcBorders>
          </w:tcPr>
          <w:p w:rsidR="00000000" w:rsidDel="00000000" w:rsidP="00000000" w:rsidRDefault="00000000" w:rsidRPr="00000000" w14:paraId="000000E4">
            <w:pPr>
              <w:rPr/>
            </w:pPr>
            <w:r w:rsidDel="00000000" w:rsidR="00000000" w:rsidRPr="00000000">
              <w:rPr>
                <w:rtl w:val="0"/>
              </w:rPr>
              <w:t xml:space="preserve">-2.80</w:t>
            </w:r>
          </w:p>
        </w:tc>
        <w:tc>
          <w:tcPr/>
          <w:p w:rsidR="00000000" w:rsidDel="00000000" w:rsidP="00000000" w:rsidRDefault="00000000" w:rsidRPr="00000000" w14:paraId="000000E5">
            <w:pPr>
              <w:rPr/>
            </w:pPr>
            <w:r w:rsidDel="00000000" w:rsidR="00000000" w:rsidRPr="00000000">
              <w:rPr>
                <w:rtl w:val="0"/>
              </w:rPr>
              <w:t xml:space="preserve">&lt; .001</w:t>
            </w:r>
          </w:p>
        </w:tc>
      </w:tr>
    </w:tbl>
    <w:p w:rsidR="00000000" w:rsidDel="00000000" w:rsidP="00000000" w:rsidRDefault="00000000" w:rsidRPr="00000000" w14:paraId="000000E6">
      <w:pPr>
        <w:rPr>
          <w:vertAlign w:val="superscript"/>
        </w:rPr>
      </w:pPr>
      <w:r w:rsidDel="00000000" w:rsidR="00000000" w:rsidRPr="00000000">
        <w:rPr>
          <w:vertAlign w:val="superscript"/>
          <w:rtl w:val="0"/>
        </w:rPr>
        <w:t xml:space="preserve">a</w:t>
      </w:r>
      <w:r w:rsidDel="00000000" w:rsidR="00000000" w:rsidRPr="00000000">
        <w:rPr>
          <w:rtl w:val="0"/>
        </w:rPr>
        <w:t xml:space="preserve">RR = Risk Ratio, interpreted as the magnitude by which you would multiply the risk with a unit increase of 1 for each covariate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40" w:line="360" w:lineRule="auto"/>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40" w:line="360" w:lineRule="auto"/>
        <w:rPr/>
      </w:pPr>
      <w:r w:rsidDel="00000000" w:rsidR="00000000" w:rsidRPr="00000000">
        <w:rPr/>
        <w:drawing>
          <wp:inline distB="114300" distT="114300" distL="114300" distR="114300">
            <wp:extent cx="5486400" cy="34671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864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40" w:line="360" w:lineRule="auto"/>
        <w:rPr>
          <w:i w:val="1"/>
        </w:rPr>
      </w:pPr>
      <w:r w:rsidDel="00000000" w:rsidR="00000000" w:rsidRPr="00000000">
        <w:rPr>
          <w:b w:val="1"/>
          <w:rtl w:val="0"/>
        </w:rPr>
        <w:t xml:space="preserve">Figure 5.</w:t>
      </w:r>
      <w:r w:rsidDel="00000000" w:rsidR="00000000" w:rsidRPr="00000000">
        <w:rPr>
          <w:rtl w:val="0"/>
        </w:rPr>
        <w:t xml:space="preserve"> Rootogram Depicting Goodness of Fit for the Negative Binomial Regression Model Predicting SUID Case Counts in Communities of Cook County, IL. </w:t>
      </w:r>
      <w:r w:rsidDel="00000000" w:rsidR="00000000" w:rsidRPr="00000000">
        <w:rPr>
          <w:i w:val="1"/>
          <w:rtl w:val="0"/>
        </w:rPr>
        <w:t xml:space="preserve">Observed case counts are the bars “hanging” from predicted case counts pinned at the dots. For aggregate under-predictions, the bar will hang below zero, for aggregate over-predictions, the bar will hang above zero.</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The median difference between predicted and observed case counts in the training data was 0.24 (IQR -0.57, 0.60). All five communities with the highest observed case counts (Austin, Englewood, </w:t>
      </w:r>
      <w:r w:rsidDel="00000000" w:rsidR="00000000" w:rsidRPr="00000000">
        <w:rPr>
          <w:rtl w:val="0"/>
        </w:rPr>
        <w:t xml:space="preserve">Humboldt Park,</w:t>
      </w:r>
      <w:r w:rsidDel="00000000" w:rsidR="00000000" w:rsidRPr="00000000">
        <w:rPr>
          <w:color w:val="000000"/>
          <w:rtl w:val="0"/>
        </w:rPr>
        <w:t xml:space="preserve"> West Englewood, and West Pullman) were also among the communities with the most significant individual under-predictions (ranging from 4.05 to 7.61 less than that observed). On the other end of the spectrum, the five communities with the most significant individual over-predictions were </w:t>
      </w:r>
      <w:r w:rsidDel="00000000" w:rsidR="00000000" w:rsidRPr="00000000">
        <w:rPr>
          <w:rtl w:val="0"/>
        </w:rPr>
        <w:t xml:space="preserve">Chicago Lawn, </w:t>
      </w:r>
      <w:r w:rsidDel="00000000" w:rsidR="00000000" w:rsidRPr="00000000">
        <w:rPr>
          <w:color w:val="000000"/>
          <w:rtl w:val="0"/>
        </w:rPr>
        <w:t xml:space="preserve">Douglas, Grand Boulevard, Kenwood, and Rogers Park</w:t>
      </w:r>
      <w:r w:rsidDel="00000000" w:rsidR="00000000" w:rsidRPr="00000000">
        <w:rPr>
          <w:rtl w:val="0"/>
        </w:rPr>
        <w:t xml:space="preserve"> </w:t>
      </w:r>
      <w:r w:rsidDel="00000000" w:rsidR="00000000" w:rsidRPr="00000000">
        <w:rPr>
          <w:color w:val="000000"/>
          <w:rtl w:val="0"/>
        </w:rPr>
        <w:t xml:space="preserve">(ranging from 2.94 to 4.77 more than that observed; Data Available in Supplement 2).</w:t>
      </w:r>
    </w:p>
    <w:p w:rsidR="00000000" w:rsidDel="00000000" w:rsidP="00000000" w:rsidRDefault="00000000" w:rsidRPr="00000000" w14:paraId="000000EB">
      <w:pPr>
        <w:pStyle w:val="Heading3"/>
        <w:spacing w:line="360" w:lineRule="auto"/>
        <w:rPr>
          <w:rFonts w:ascii="Calibri" w:cs="Calibri" w:eastAsia="Calibri" w:hAnsi="Calibri"/>
        </w:rPr>
      </w:pPr>
      <w:r w:rsidDel="00000000" w:rsidR="00000000" w:rsidRPr="00000000">
        <w:rPr>
          <w:rFonts w:ascii="Calibri" w:cs="Calibri" w:eastAsia="Calibri" w:hAnsi="Calibri"/>
          <w:rtl w:val="0"/>
        </w:rPr>
        <w:t xml:space="preserve">Prospective Model Predictions</w:t>
      </w:r>
    </w:p>
    <w:bookmarkStart w:colFirst="0" w:colLast="0" w:name="bookmark=id.2xcytpi" w:id="21"/>
    <w:bookmarkEnd w:id="21"/>
    <w:bookmarkStart w:colFirst="0" w:colLast="0" w:name="bookmark=id.1ci93xb" w:id="22"/>
    <w:bookmarkEnd w:id="22"/>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140" w:line="360" w:lineRule="auto"/>
        <w:rPr/>
      </w:pPr>
      <w:r w:rsidDel="00000000" w:rsidR="00000000" w:rsidRPr="00000000">
        <w:rPr>
          <w:color w:val="000000"/>
          <w:rtl w:val="0"/>
        </w:rPr>
        <w:t xml:space="preserve">We applied predictor variables from the 2020 SVI/ACS to our trained model to predict case counts for 2021-2025. </w:t>
      </w:r>
      <w:r w:rsidDel="00000000" w:rsidR="00000000" w:rsidRPr="00000000">
        <w:rPr>
          <w:rtl w:val="0"/>
        </w:rPr>
        <w:t xml:space="preserve">Most</w:t>
      </w:r>
      <w:r w:rsidDel="00000000" w:rsidR="00000000" w:rsidRPr="00000000">
        <w:rPr>
          <w:color w:val="000000"/>
          <w:rtl w:val="0"/>
        </w:rPr>
        <w:t xml:space="preserve"> of the the top </w:t>
      </w:r>
      <w:r w:rsidDel="00000000" w:rsidR="00000000" w:rsidRPr="00000000">
        <w:rPr>
          <w:rtl w:val="0"/>
        </w:rPr>
        <w:t xml:space="preserve">ten</w:t>
      </w:r>
      <w:r w:rsidDel="00000000" w:rsidR="00000000" w:rsidRPr="00000000">
        <w:rPr>
          <w:color w:val="000000"/>
          <w:rtl w:val="0"/>
        </w:rPr>
        <w:t xml:space="preserve"> communities predicted to have the highest case counts </w:t>
      </w:r>
      <w:r w:rsidDel="00000000" w:rsidR="00000000" w:rsidRPr="00000000">
        <w:rPr>
          <w:rtl w:val="0"/>
        </w:rPr>
        <w:t xml:space="preserve">for 2021-2025 were the same as those observed in the top ten for 2015-2019  except for Auburn Gresham, Chicago Lawn, and South Lawndale with predicted changes of +5, +8, and +3 respectively (Table 10). Figure 6 depicts these communities in spatial relation to each other.</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140" w:line="360" w:lineRule="auto"/>
        <w:rPr/>
      </w:pPr>
      <w:r w:rsidDel="00000000" w:rsidR="00000000" w:rsidRPr="00000000">
        <w:rPr>
          <w:rtl w:val="0"/>
        </w:rPr>
      </w:r>
    </w:p>
    <w:p w:rsidR="00000000" w:rsidDel="00000000" w:rsidP="00000000" w:rsidRDefault="00000000" w:rsidRPr="00000000" w14:paraId="000000EE">
      <w:pPr>
        <w:spacing w:after="140" w:line="360" w:lineRule="auto"/>
        <w:rPr/>
      </w:pPr>
      <w:r w:rsidDel="00000000" w:rsidR="00000000" w:rsidRPr="00000000">
        <w:rPr>
          <w:b w:val="1"/>
          <w:rtl w:val="0"/>
        </w:rPr>
        <w:t xml:space="preserve">Table 4</w:t>
      </w:r>
      <w:r w:rsidDel="00000000" w:rsidR="00000000" w:rsidRPr="00000000">
        <w:rPr>
          <w:rtl w:val="0"/>
        </w:rPr>
        <w:t xml:space="preserve">. Top 10 Predicted Case Counts, Communities of Cook County, IL, 2021-2025</w:t>
      </w:r>
    </w:p>
    <w:tbl>
      <w:tblPr>
        <w:tblStyle w:val="Table4"/>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2115"/>
        <w:tblGridChange w:id="0">
          <w:tblGrid>
            <w:gridCol w:w="1440"/>
            <w:gridCol w:w="1440"/>
            <w:gridCol w:w="1440"/>
            <w:gridCol w:w="1440"/>
            <w:gridCol w:w="1440"/>
            <w:gridCol w:w="211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2021-2025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2015-2019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Predicted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Predicted Change</w:t>
            </w:r>
            <w:r w:rsidDel="00000000" w:rsidR="00000000" w:rsidRPr="00000000">
              <w:rPr>
                <w:vertAlign w:val="superscript"/>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Predicted</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Observed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Residual</w:t>
            </w:r>
            <w:r w:rsidDel="00000000" w:rsidR="00000000" w:rsidRPr="00000000">
              <w:rPr>
                <w:vertAlign w:val="superscript"/>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Austin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Englewood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Auburn Gresham</w:t>
            </w:r>
            <w:r w:rsidDel="00000000" w:rsidR="00000000" w:rsidRPr="00000000">
              <w:rPr>
                <w:vertAlign w:val="superscript"/>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Chicago Lawn</w:t>
            </w:r>
            <w:r w:rsidDel="00000000" w:rsidR="00000000" w:rsidRPr="00000000">
              <w:rPr>
                <w:vertAlign w:val="superscript"/>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South Shore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Humboldt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North Lawndale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South Lawndale</w:t>
            </w:r>
            <w:r w:rsidDel="00000000" w:rsidR="00000000" w:rsidRPr="00000000">
              <w:rPr>
                <w:vertAlign w:val="superscript"/>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West Englewood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bl>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0" w:line="360" w:lineRule="auto"/>
        <w:rPr/>
      </w:pPr>
      <w:r w:rsidDel="00000000" w:rsidR="00000000" w:rsidRPr="00000000">
        <w:rPr>
          <w:vertAlign w:val="superscript"/>
          <w:rtl w:val="0"/>
        </w:rPr>
        <w:t xml:space="preserve">a</w:t>
      </w:r>
      <w:r w:rsidDel="00000000" w:rsidR="00000000" w:rsidRPr="00000000">
        <w:rPr>
          <w:rtl w:val="0"/>
        </w:rPr>
        <w:t xml:space="preserve">(Prediction from 2021 to 2025) - (Observation from 2015 to 2019)</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0" w:line="360" w:lineRule="auto"/>
        <w:rPr/>
      </w:pPr>
      <w:r w:rsidDel="00000000" w:rsidR="00000000" w:rsidRPr="00000000">
        <w:rPr>
          <w:vertAlign w:val="superscript"/>
          <w:rtl w:val="0"/>
        </w:rPr>
        <w:t xml:space="preserve">b</w:t>
      </w:r>
      <w:r w:rsidDel="00000000" w:rsidR="00000000" w:rsidRPr="00000000">
        <w:rPr>
          <w:rtl w:val="0"/>
        </w:rPr>
        <w:t xml:space="preserve">(Prediction from 2015 to 2019) - (Observation from 2015 to 2019)</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140" w:line="360" w:lineRule="auto"/>
        <w:rPr/>
      </w:pPr>
      <w:r w:rsidDel="00000000" w:rsidR="00000000" w:rsidRPr="00000000">
        <w:rPr>
          <w:vertAlign w:val="superscript"/>
          <w:rtl w:val="0"/>
        </w:rPr>
        <w:t xml:space="preserve">c</w:t>
      </w:r>
      <w:r w:rsidDel="00000000" w:rsidR="00000000" w:rsidRPr="00000000">
        <w:rPr>
          <w:rtl w:val="0"/>
        </w:rPr>
        <w:t xml:space="preserve">New to the Top 10 (Not in the Top 10 for Observed Case Counts from 2015 to 2019)</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140" w:line="360" w:lineRule="auto"/>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140" w:line="360" w:lineRule="auto"/>
        <w:rPr/>
      </w:pPr>
      <w:r w:rsidDel="00000000" w:rsidR="00000000" w:rsidRPr="00000000">
        <w:rPr/>
        <w:drawing>
          <wp:inline distB="114300" distT="114300" distL="114300" distR="114300">
            <wp:extent cx="5486400" cy="49530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4864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140" w:line="360" w:lineRule="auto"/>
        <w:rPr/>
      </w:pPr>
      <w:r w:rsidDel="00000000" w:rsidR="00000000" w:rsidRPr="00000000">
        <w:rPr>
          <w:b w:val="1"/>
          <w:rtl w:val="0"/>
        </w:rPr>
        <w:t xml:space="preserve">Figure 6</w:t>
      </w:r>
      <w:r w:rsidDel="00000000" w:rsidR="00000000" w:rsidRPr="00000000">
        <w:rPr>
          <w:rtl w:val="0"/>
        </w:rPr>
        <w:t xml:space="preserve">. Top 10 Predicted Case Counts, 2021-2025, Communities of Cook County, IL. Labels = Community Name, Predicted Case Count, Predicted Change from 2015-2019.</w:t>
      </w:r>
    </w:p>
    <w:p w:rsidR="00000000" w:rsidDel="00000000" w:rsidP="00000000" w:rsidRDefault="00000000" w:rsidRPr="00000000" w14:paraId="00000146">
      <w:pPr>
        <w:pStyle w:val="Heading2"/>
        <w:rPr/>
      </w:pPr>
      <w:bookmarkStart w:colFirst="0" w:colLast="0" w:name="_heading=h.3whwml4" w:id="23"/>
      <w:bookmarkEnd w:id="23"/>
      <w:r w:rsidDel="00000000" w:rsidR="00000000" w:rsidRPr="00000000">
        <w:rPr>
          <w:rtl w:val="0"/>
        </w:rPr>
        <w:t xml:space="preserve">Discussion</w:t>
      </w:r>
    </w:p>
    <w:p w:rsidR="00000000" w:rsidDel="00000000" w:rsidP="00000000" w:rsidRDefault="00000000" w:rsidRPr="00000000" w14:paraId="00000147">
      <w:pPr>
        <w:pStyle w:val="Heading3"/>
        <w:spacing w:line="360" w:lineRule="auto"/>
        <w:rPr>
          <w:rFonts w:ascii="Calibri" w:cs="Calibri" w:eastAsia="Calibri" w:hAnsi="Calibri"/>
        </w:rPr>
      </w:pPr>
      <w:r w:rsidDel="00000000" w:rsidR="00000000" w:rsidRPr="00000000">
        <w:rPr>
          <w:rFonts w:ascii="Calibri" w:cs="Calibri" w:eastAsia="Calibri" w:hAnsi="Calibri"/>
          <w:rtl w:val="0"/>
        </w:rPr>
        <w:t xml:space="preserve">Principal Results</w:t>
      </w:r>
    </w:p>
    <w:bookmarkStart w:colFirst="0" w:colLast="0" w:name="bookmark=id.2bn6wsx" w:id="24"/>
    <w:bookmarkEnd w:id="24"/>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Our process for querying data from the Cook County Medical Examiner was able to identify cases of SUID from 2015-2019 with a high degree of fidelity to those identified by the county’s official registry. We aggregated these cases to the “community” level and found that those containing a case of SUID during the study period also had subjectively higher proportions of Black residents and lower proportions of White residents. We built a negative binomial regression model to predict SUID Case Counts and achieved moderate accuracy, especially within the mid-range of case counts. As an aide for deciding where to target preventive services, we mapped communities most affected by SUID. Our results suggested intervention programs should focus prevention efforts on North and West Sides of Chicago and in the South Suburbs of Cook County. T</w:t>
      </w:r>
      <w:r w:rsidDel="00000000" w:rsidR="00000000" w:rsidRPr="00000000">
        <w:rPr>
          <w:rtl w:val="0"/>
        </w:rPr>
        <w:t xml:space="preserve">he top ten communities predicted to have the highest case counts were also in these general areas. Chicago Lawn was predicted to emerge with the largest predicted increase of +8 cases.</w:t>
      </w:r>
      <w:r w:rsidDel="00000000" w:rsidR="00000000" w:rsidRPr="00000000">
        <w:rPr>
          <w:color w:val="000000"/>
          <w:rtl w:val="0"/>
        </w:rPr>
        <w:t xml:space="preserve"> Other institutions in other regions can adapt this analytic workflow to determine priority areas for their own jurisdictions.</w:t>
      </w:r>
    </w:p>
    <w:p w:rsidR="00000000" w:rsidDel="00000000" w:rsidP="00000000" w:rsidRDefault="00000000" w:rsidRPr="00000000" w14:paraId="00000149">
      <w:pPr>
        <w:pStyle w:val="Heading3"/>
        <w:spacing w:line="360" w:lineRule="auto"/>
        <w:rPr>
          <w:rFonts w:ascii="Calibri" w:cs="Calibri" w:eastAsia="Calibri" w:hAnsi="Calibri"/>
        </w:rPr>
      </w:pPr>
      <w:r w:rsidDel="00000000" w:rsidR="00000000" w:rsidRPr="00000000">
        <w:rPr>
          <w:rFonts w:ascii="Calibri" w:cs="Calibri" w:eastAsia="Calibri" w:hAnsi="Calibri"/>
          <w:rtl w:val="0"/>
        </w:rPr>
        <w:t xml:space="preserve">Implications</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We suggest our analytic outputs be used in different ways based on their temporal context. Within the model training period of 2014-2019, </w:t>
      </w:r>
      <w:r w:rsidDel="00000000" w:rsidR="00000000" w:rsidRPr="00000000">
        <w:rPr>
          <w:rtl w:val="0"/>
        </w:rPr>
        <w:t xml:space="preserve">residuals between</w:t>
      </w:r>
      <w:r w:rsidDel="00000000" w:rsidR="00000000" w:rsidRPr="00000000">
        <w:rPr>
          <w:color w:val="000000"/>
          <w:rtl w:val="0"/>
        </w:rPr>
        <w:t xml:space="preserve"> retrospective predictions and observations represent promising routes of inquiry for expanding understanding of community-level ecological factors affecting SUID incidence. For example, public health practitioners might consider intensive qualitative inquiry in the communities most under-predicted (like Austin and Englewood) to identify new risk factors and in communities most over-predicted (like Douglas and Grand Boulevard) to identify new protective factors unaccounted for by the model. After the model training period in 2020-2025, our prospective predictions represent opportunities to anticipate shifting dynamics in the communities most affected by SUID.</w:t>
      </w:r>
    </w:p>
    <w:bookmarkStart w:colFirst="0" w:colLast="0" w:name="bookmark=id.qsh70q" w:id="25"/>
    <w:bookmarkEnd w:id="25"/>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Regardless of temporal context, all results from this study can be used to guide a targeted, local approach to SUID prevention. Turman and Swigonski [3</w:t>
      </w:r>
      <w:r w:rsidDel="00000000" w:rsidR="00000000" w:rsidRPr="00000000">
        <w:rPr>
          <w:rtl w:val="0"/>
        </w:rPr>
        <w:t xml:space="preserve">5</w:t>
      </w:r>
      <w:r w:rsidDel="00000000" w:rsidR="00000000" w:rsidRPr="00000000">
        <w:rPr>
          <w:color w:val="000000"/>
          <w:rtl w:val="0"/>
        </w:rPr>
        <w:t xml:space="preserve">] proposed one framework for such an approach. Both high-level goals of their framework hinged on identifying specific zip codes with the highest infant mortality rates in Central Indiana. The first goal focused on developing infrastructure in those zip codes to support healthy pregnancies </w:t>
      </w:r>
      <w:r w:rsidDel="00000000" w:rsidR="00000000" w:rsidRPr="00000000">
        <w:rPr>
          <w:rtl w:val="0"/>
        </w:rPr>
        <w:t xml:space="preserve">and</w:t>
      </w:r>
      <w:r w:rsidDel="00000000" w:rsidR="00000000" w:rsidRPr="00000000">
        <w:rPr>
          <w:color w:val="000000"/>
          <w:rtl w:val="0"/>
        </w:rPr>
        <w:t xml:space="preserve"> infants. For example, they </w:t>
      </w:r>
      <w:r w:rsidDel="00000000" w:rsidR="00000000" w:rsidRPr="00000000">
        <w:rPr>
          <w:rtl w:val="0"/>
        </w:rPr>
        <w:t xml:space="preserve">increased the capacity</w:t>
      </w:r>
      <w:r w:rsidDel="00000000" w:rsidR="00000000" w:rsidRPr="00000000">
        <w:rPr>
          <w:color w:val="000000"/>
          <w:rtl w:val="0"/>
        </w:rPr>
        <w:t xml:space="preserve"> of local early childhood education programs, which both provided childcare for mothers seeking employment and served as vehicles for education on safe sleep practices. The second goal focused on training women from those zip codes as grass roots maternal child health leaders. Leaders developed narrative storytelling about their experiences with infant loss and were connected with local lawmakers to advocate for revised State policies. Special attention was paid toward recruiting women leaders from marginalized, minority populations. This framework is just as applicable to Cook County as to Central Indiana. Many of the key institutional partners like a local Fetal Infant Mortality Review Board are already in place and could use the maps and predictions from this study to identify targeted communities most at risk.</w:t>
      </w:r>
    </w:p>
    <w:p w:rsidR="00000000" w:rsidDel="00000000" w:rsidP="00000000" w:rsidRDefault="00000000" w:rsidRPr="00000000" w14:paraId="0000014C">
      <w:pPr>
        <w:pStyle w:val="Heading3"/>
        <w:spacing w:line="360" w:lineRule="auto"/>
        <w:rPr>
          <w:rFonts w:ascii="Calibri" w:cs="Calibri" w:eastAsia="Calibri" w:hAnsi="Calibri"/>
        </w:rPr>
      </w:pPr>
      <w:r w:rsidDel="00000000" w:rsidR="00000000" w:rsidRPr="00000000">
        <w:rPr>
          <w:rFonts w:ascii="Calibri" w:cs="Calibri" w:eastAsia="Calibri" w:hAnsi="Calibri"/>
          <w:rtl w:val="0"/>
        </w:rPr>
        <w:t xml:space="preserve">Comparison with Prior Work</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Our findings are consistent with the broader body of research on demographics related to infant mortality. Several other studies have also identified correlation between infant mortality and community-level factors like alcohol/drug use, education, employment, immigration, insurance, involvement of child protective services, poverty, racism, and racial segregation [5, 7, 3</w:t>
      </w:r>
      <w:r w:rsidDel="00000000" w:rsidR="00000000" w:rsidRPr="00000000">
        <w:rPr>
          <w:rtl w:val="0"/>
        </w:rPr>
        <w:t xml:space="preserve">6</w:t>
      </w:r>
      <w:r w:rsidDel="00000000" w:rsidR="00000000" w:rsidRPr="00000000">
        <w:rPr>
          <w:color w:val="000000"/>
          <w:rtl w:val="0"/>
        </w:rPr>
        <w:t xml:space="preserve">–3</w:t>
      </w:r>
      <w:r w:rsidDel="00000000" w:rsidR="00000000" w:rsidRPr="00000000">
        <w:rPr>
          <w:rtl w:val="0"/>
        </w:rPr>
        <w:t xml:space="preserve">9</w:t>
      </w:r>
      <w:r w:rsidDel="00000000" w:rsidR="00000000" w:rsidRPr="00000000">
        <w:rPr>
          <w:color w:val="000000"/>
          <w:rtl w:val="0"/>
        </w:rPr>
        <w:t xml:space="preserve">]. Some studies have posited direct causal relationships between these factors and infant mortality, but the evidence is still equivocal. Both Hearst et al. [3</w:t>
      </w:r>
      <w:r w:rsidDel="00000000" w:rsidR="00000000" w:rsidRPr="00000000">
        <w:rPr>
          <w:rtl w:val="0"/>
        </w:rPr>
        <w:t xml:space="preserve">9</w:t>
      </w:r>
      <w:r w:rsidDel="00000000" w:rsidR="00000000" w:rsidRPr="00000000">
        <w:rPr>
          <w:color w:val="000000"/>
          <w:rtl w:val="0"/>
        </w:rPr>
        <w:t xml:space="preserve">] and Johnson et al. [</w:t>
      </w:r>
      <w:r w:rsidDel="00000000" w:rsidR="00000000" w:rsidRPr="00000000">
        <w:rPr>
          <w:rtl w:val="0"/>
        </w:rPr>
        <w:t xml:space="preserve">38</w:t>
      </w:r>
      <w:r w:rsidDel="00000000" w:rsidR="00000000" w:rsidRPr="00000000">
        <w:rPr>
          <w:color w:val="000000"/>
          <w:rtl w:val="0"/>
        </w:rPr>
        <w:t xml:space="preserve">] used propensity score matching as a means of isolating such causal effects, the former for residential segregation on Black infant mortality and the latter for neighborhood poverty on American Indian infant mortality. Both were unable to detect an influence, but emphasized that their inability to detect effects may have been due to limitations in size of sampling pools to achieve adequate counterfactual comparisons. Our study does not attempt to identify causal effects and instead focuses on helping local health departments to target precise regions of their jurisdictions for intervention.</w:t>
      </w:r>
    </w:p>
    <w:bookmarkStart w:colFirst="0" w:colLast="0" w:name="bookmark=id.3as4poj" w:id="26"/>
    <w:bookmarkEnd w:id="26"/>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Our study advances geospatial research on SUID in three major ways. First, we added finer detail to the available Chicago-based maps by using census tracts and “communities” as areal units, with the added benefit that these can be linked to census-derived demographics. Second, we added interactive capability to our maps for greater utility to practitioners wanting to explore the data first-hand. Third, to our knowledge this is the first study to have made prospective predictions on spatial incidence of SUID, helping to anticipate changing dynamics in regions of interest. In comparison, Briker et al. [4] performed a different, but complementary analysis of Cook County data, visualizing SUID incidence in 2015-2016 by kernel density estimation (KDE). Relative to our method of displaying counts per “community” areal unit, KDE has the advantage of smoothing out random variation observed in the data to make clusters more apparent. With this method, these authors also found strong clusters of SUID on the West and South Sides of Chicago. The comparative disadvantages of this technique </w:t>
      </w:r>
      <w:r w:rsidDel="00000000" w:rsidR="00000000" w:rsidRPr="00000000">
        <w:rPr>
          <w:rtl w:val="0"/>
        </w:rPr>
        <w:t xml:space="preserve">are that the</w:t>
      </w:r>
      <w:r w:rsidDel="00000000" w:rsidR="00000000" w:rsidRPr="00000000">
        <w:rPr>
          <w:color w:val="000000"/>
          <w:rtl w:val="0"/>
        </w:rPr>
        <w:t xml:space="preserve"> visualized kernels do not have one-to-one matches with real-world administrative boundaries and the units of intensity are less interpretable than counts. Also, because the map in Briker et al. was not interactive, it was more difficult to ascertain specific high-risk communities. In another study, Drake et al. [5] used KDE to visualize SUID incidence in Harris County, TX and this approach had the same advantages and disadvantages as described above. Fee and Tarrell [6] used analogous techniques to those used in our study by visualizing incidence in administrative areal units of Douglas County, NE. These authors also were able to correlate incidence with other variables, although their variables were more relevant to individual-level risk (e.g. prenatal care and tobacco use) rather than the population-level approach used in our study. In an older seminal study, Grimson et al. [9] focused on demonstrating statistical methods for identifying geospatial clusters. Their work is relevant to our study because the authors used SUID incidence as their example use-case, but our study was not focused on identifying statistically significant clusters and was more finely detailed on a smaller geographic scale.</w:t>
      </w:r>
    </w:p>
    <w:p w:rsidR="00000000" w:rsidDel="00000000" w:rsidP="00000000" w:rsidRDefault="00000000" w:rsidRPr="00000000" w14:paraId="0000014F">
      <w:pPr>
        <w:pStyle w:val="Heading3"/>
        <w:spacing w:line="360" w:lineRule="auto"/>
        <w:rPr>
          <w:rFonts w:ascii="Calibri" w:cs="Calibri" w:eastAsia="Calibri" w:hAnsi="Calibri"/>
        </w:rPr>
      </w:pPr>
      <w:r w:rsidDel="00000000" w:rsidR="00000000" w:rsidRPr="00000000">
        <w:rPr>
          <w:rFonts w:ascii="Calibri" w:cs="Calibri" w:eastAsia="Calibri" w:hAnsi="Calibri"/>
          <w:rtl w:val="0"/>
        </w:rPr>
        <w:t xml:space="preserve">Limitations</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Our study has limitations. First, a Durbin-Watson test of our model for autocorrelated residuals rejected the null hypothesis, suggesting that observations were not independent from each other. This was at least partially due to the interconnected nature of census tracts in physical space. Indeed, a Moran I test also rejected the null hypothesis, suggesting presence of spatial autocorrelation. Second, our model did not account for measurement error in our </w:t>
      </w:r>
      <w:r w:rsidDel="00000000" w:rsidR="00000000" w:rsidRPr="00000000">
        <w:rPr>
          <w:rtl w:val="0"/>
        </w:rPr>
        <w:t xml:space="preserve">covariates</w:t>
      </w:r>
      <w:r w:rsidDel="00000000" w:rsidR="00000000" w:rsidRPr="00000000">
        <w:rPr>
          <w:color w:val="000000"/>
          <w:rtl w:val="0"/>
        </w:rPr>
        <w:t xml:space="preserve">, which are estimated by the ACS using sub-samples of the population. Failure to account for the margins of error and for spatial autocorrelation risked introducing systematic bias into our model predictions [</w:t>
      </w:r>
      <w:r w:rsidDel="00000000" w:rsidR="00000000" w:rsidRPr="00000000">
        <w:rPr>
          <w:rtl w:val="0"/>
        </w:rPr>
        <w:t xml:space="preserve">40</w:t>
      </w:r>
      <w:r w:rsidDel="00000000" w:rsidR="00000000" w:rsidRPr="00000000">
        <w:rPr>
          <w:color w:val="000000"/>
          <w:rtl w:val="0"/>
        </w:rPr>
        <w:t xml:space="preserve">]. This was likely compounded by aggregating estimates for census tracts into the “community” areal unit. Trade-offs to this approach are described in the Methods section.</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One means of addressing these first two limitations would be to implement a hierarchical Bayesian model of spatial measurement error [4</w:t>
      </w:r>
      <w:r w:rsidDel="00000000" w:rsidR="00000000" w:rsidRPr="00000000">
        <w:rPr>
          <w:rtl w:val="0"/>
        </w:rPr>
        <w:t xml:space="preserve">1</w:t>
      </w:r>
      <w:r w:rsidDel="00000000" w:rsidR="00000000" w:rsidRPr="00000000">
        <w:rPr>
          <w:color w:val="000000"/>
          <w:rtl w:val="0"/>
        </w:rPr>
        <w:t xml:space="preserve">]. We attempted to do so using the {geostan} R package [4</w:t>
      </w:r>
      <w:r w:rsidDel="00000000" w:rsidR="00000000" w:rsidRPr="00000000">
        <w:rPr>
          <w:rtl w:val="0"/>
        </w:rPr>
        <w:t xml:space="preserve">2</w:t>
      </w:r>
      <w:r w:rsidDel="00000000" w:rsidR="00000000" w:rsidRPr="00000000">
        <w:rPr>
          <w:color w:val="000000"/>
          <w:rtl w:val="0"/>
        </w:rPr>
        <w:t xml:space="preserve">], but preliminary attempts yielded warnings from the software that sampling chains did not converge–-significantly raising the risk of inaccurate parameter estimates. An additional limitation, which may have contributed to non-convergence, was that we did not have access to estimates of the true denominator for incidence of SUID (the count of live-births in each areal unit during the study period). The model implemented in {geostan} requires an “offset” denominator variable, so we used population counts of </w:t>
      </w:r>
      <w:r w:rsidDel="00000000" w:rsidR="00000000" w:rsidRPr="00000000">
        <w:rPr>
          <w:color w:val="000000"/>
          <w:rtl w:val="0"/>
        </w:rPr>
        <w:t xml:space="preserve">children under 5 as proxy, </w:t>
      </w:r>
      <w:r w:rsidDel="00000000" w:rsidR="00000000" w:rsidRPr="00000000">
        <w:rPr>
          <w:color w:val="000000"/>
          <w:rtl w:val="0"/>
        </w:rPr>
        <w:t xml:space="preserve">but this may have contributed additional imprecision that hampered the sampling algorithm’s ability to converge.</w:t>
      </w:r>
    </w:p>
    <w:bookmarkStart w:colFirst="0" w:colLast="0" w:name="bookmark=id.1pxezwc" w:id="27"/>
    <w:bookmarkEnd w:id="27"/>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A final limitation was that not enough time had passed to empirically assess our model’s </w:t>
      </w:r>
      <w:r w:rsidDel="00000000" w:rsidR="00000000" w:rsidRPr="00000000">
        <w:rPr>
          <w:color w:val="000000"/>
          <w:rtl w:val="0"/>
        </w:rPr>
        <w:t xml:space="preserve">prospective</w:t>
      </w:r>
      <w:r w:rsidDel="00000000" w:rsidR="00000000" w:rsidRPr="00000000">
        <w:rPr>
          <w:color w:val="000000"/>
          <w:rtl w:val="0"/>
        </w:rPr>
        <w:t xml:space="preserve"> predictions. Decision-makers at local health departments might be more confident in the model’s performance if they could see how it fared at predicting outside of the training dataset. We suggest mitigating this limitation by comparing prospective predictions with retrospective observations, both of which together make a more compelling argument for risk than either piece of information alone.</w:t>
      </w:r>
    </w:p>
    <w:p w:rsidR="00000000" w:rsidDel="00000000" w:rsidP="00000000" w:rsidRDefault="00000000" w:rsidRPr="00000000" w14:paraId="00000153">
      <w:pPr>
        <w:pStyle w:val="Heading3"/>
        <w:spacing w:line="360" w:lineRule="auto"/>
        <w:rPr>
          <w:rFonts w:ascii="Calibri" w:cs="Calibri" w:eastAsia="Calibri" w:hAnsi="Calibri"/>
        </w:rPr>
      </w:pPr>
      <w:r w:rsidDel="00000000" w:rsidR="00000000" w:rsidRPr="00000000">
        <w:rPr>
          <w:rFonts w:ascii="Calibri" w:cs="Calibri" w:eastAsia="Calibri" w:hAnsi="Calibri"/>
          <w:rtl w:val="0"/>
        </w:rPr>
        <w:t xml:space="preserve">Conclusions</w:t>
      </w:r>
    </w:p>
    <w:bookmarkStart w:colFirst="0" w:colLast="0" w:name="bookmark=id.49x2ik5" w:id="28"/>
    <w:bookmarkEnd w:id="28"/>
    <w:bookmarkStart w:colFirst="0" w:colLast="0" w:name="bookmark=id.2p2csry" w:id="29"/>
    <w:bookmarkEnd w:id="29"/>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Cook County, IL is still beset by racial and socioeconomic disparities in SUID outcomes. Our process for compiling and analyzing cases will allow intervention programs to more quickly address such disparities with efforts targeted to regions of the county most in need of prevention services.</w:t>
      </w:r>
    </w:p>
    <w:p w:rsidR="00000000" w:rsidDel="00000000" w:rsidP="00000000" w:rsidRDefault="00000000" w:rsidRPr="00000000" w14:paraId="00000155">
      <w:pPr>
        <w:rPr/>
      </w:pPr>
      <w:r w:rsidDel="00000000" w:rsidR="00000000" w:rsidRPr="00000000">
        <w:rPr>
          <w:rtl w:val="0"/>
        </w:rPr>
      </w:r>
    </w:p>
    <w:bookmarkStart w:colFirst="0" w:colLast="0" w:name="bookmark=id.147n2zr" w:id="30"/>
    <w:bookmarkEnd w:id="30"/>
    <w:p w:rsidR="00000000" w:rsidDel="00000000" w:rsidP="00000000" w:rsidRDefault="00000000" w:rsidRPr="00000000" w14:paraId="00000156">
      <w:pPr>
        <w:pStyle w:val="Heading2"/>
        <w:rPr/>
      </w:pPr>
      <w:bookmarkStart w:colFirst="0" w:colLast="0" w:name="_heading=h.3o7alnk" w:id="31"/>
      <w:bookmarkEnd w:id="31"/>
      <w:r w:rsidDel="00000000" w:rsidR="00000000" w:rsidRPr="00000000">
        <w:rPr>
          <w:rtl w:val="0"/>
        </w:rPr>
        <w:t xml:space="preserve">Acknowledgements</w:t>
      </w:r>
    </w:p>
    <w:p w:rsidR="00000000" w:rsidDel="00000000" w:rsidP="00000000" w:rsidRDefault="00000000" w:rsidRPr="00000000" w14:paraId="00000157">
      <w:pPr>
        <w:pStyle w:val="Heading3"/>
        <w:rPr/>
      </w:pPr>
      <w:r w:rsidDel="00000000" w:rsidR="00000000" w:rsidRPr="00000000">
        <w:rPr>
          <w:rtl w:val="0"/>
        </w:rPr>
        <w:t xml:space="preserve">Authors’ Contributions</w:t>
      </w:r>
    </w:p>
    <w:p w:rsidR="00000000" w:rsidDel="00000000" w:rsidP="00000000" w:rsidRDefault="00000000" w:rsidRPr="00000000" w14:paraId="00000158">
      <w:pPr>
        <w:rPr/>
      </w:pPr>
      <w:r w:rsidDel="00000000" w:rsidR="00000000" w:rsidRPr="00000000">
        <w:rPr>
          <w:rtl w:val="0"/>
        </w:rPr>
        <w:t xml:space="preserve">DR contributed to conceptualization, primary analysis, original draft preparation, and review/editing. HZ contributed to data curation, analysis, and review/editing. WT contributed to conceptualization, supervision, and review/editing.</w:t>
      </w:r>
    </w:p>
    <w:p w:rsidR="00000000" w:rsidDel="00000000" w:rsidP="00000000" w:rsidRDefault="00000000" w:rsidRPr="00000000" w14:paraId="00000159">
      <w:pPr>
        <w:pStyle w:val="Heading3"/>
        <w:rPr/>
      </w:pPr>
      <w:r w:rsidDel="00000000" w:rsidR="00000000" w:rsidRPr="00000000">
        <w:rPr>
          <w:rtl w:val="0"/>
        </w:rPr>
        <w:t xml:space="preserve">Funding Information</w:t>
      </w:r>
    </w:p>
    <w:p w:rsidR="00000000" w:rsidDel="00000000" w:rsidP="00000000" w:rsidRDefault="00000000" w:rsidRPr="00000000" w14:paraId="0000015A">
      <w:pPr>
        <w:rPr/>
      </w:pPr>
      <w:r w:rsidDel="00000000" w:rsidR="00000000" w:rsidRPr="00000000">
        <w:rPr>
          <w:rtl w:val="0"/>
        </w:rPr>
        <w:t xml:space="preserve">This work was supported by a grant to Cook County Health from the US Department of Justice's Office for Victims of Crime: Reducing Child Fatalities and Recurring Child Injuries Caused by Crime Victimization. Award #2019-V3-GX-K004.</w:t>
      </w:r>
    </w:p>
    <w:p w:rsidR="00000000" w:rsidDel="00000000" w:rsidP="00000000" w:rsidRDefault="00000000" w:rsidRPr="00000000" w14:paraId="0000015B">
      <w:pPr>
        <w:pStyle w:val="Heading3"/>
        <w:rPr/>
      </w:pPr>
      <w:r w:rsidDel="00000000" w:rsidR="00000000" w:rsidRPr="00000000">
        <w:rPr>
          <w:rtl w:val="0"/>
        </w:rPr>
        <w:t xml:space="preserve">Financial Disclosure </w:t>
      </w:r>
    </w:p>
    <w:p w:rsidR="00000000" w:rsidDel="00000000" w:rsidP="00000000" w:rsidRDefault="00000000" w:rsidRPr="00000000" w14:paraId="0000015C">
      <w:pPr>
        <w:rPr/>
      </w:pPr>
      <w:r w:rsidDel="00000000" w:rsidR="00000000" w:rsidRPr="00000000">
        <w:rPr>
          <w:rtl w:val="0"/>
        </w:rPr>
        <w:t xml:space="preserve">The authors have no disclosures to make.</w:t>
      </w:r>
    </w:p>
    <w:p w:rsidR="00000000" w:rsidDel="00000000" w:rsidP="00000000" w:rsidRDefault="00000000" w:rsidRPr="00000000" w14:paraId="0000015D">
      <w:pPr>
        <w:pStyle w:val="Heading3"/>
        <w:rPr/>
      </w:pPr>
      <w:r w:rsidDel="00000000" w:rsidR="00000000" w:rsidRPr="00000000">
        <w:rPr>
          <w:rtl w:val="0"/>
        </w:rPr>
        <w:t xml:space="preserve">Other Acknowledgments</w:t>
      </w:r>
    </w:p>
    <w:p w:rsidR="00000000" w:rsidDel="00000000" w:rsidP="00000000" w:rsidRDefault="00000000" w:rsidRPr="00000000" w14:paraId="0000015E">
      <w:pPr>
        <w:rPr/>
      </w:pPr>
      <w:r w:rsidDel="00000000" w:rsidR="00000000" w:rsidRPr="00000000">
        <w:rPr>
          <w:rtl w:val="0"/>
        </w:rPr>
        <w:t xml:space="preserve">Thank you to Kyran Quinlan and his team at the SUID Case Registry for Cook County for reviewing cases identified by our querying method.  Thank you to Joseph Feinglass, Phil Fontanarosa, and Sijia Wei for early feedback on this manuscript.</w:t>
      </w:r>
    </w:p>
    <w:p w:rsidR="00000000" w:rsidDel="00000000" w:rsidP="00000000" w:rsidRDefault="00000000" w:rsidRPr="00000000" w14:paraId="0000015F">
      <w:pPr>
        <w:rPr/>
      </w:pPr>
      <w:r w:rsidDel="00000000" w:rsidR="00000000" w:rsidRPr="00000000">
        <w:rPr>
          <w:rtl w:val="0"/>
        </w:rPr>
      </w:r>
    </w:p>
    <w:bookmarkStart w:colFirst="0" w:colLast="0" w:name="bookmark=id.23ckvvd" w:id="32"/>
    <w:bookmarkEnd w:id="32"/>
    <w:p w:rsidR="00000000" w:rsidDel="00000000" w:rsidP="00000000" w:rsidRDefault="00000000" w:rsidRPr="00000000" w14:paraId="00000160">
      <w:pPr>
        <w:pStyle w:val="Heading2"/>
        <w:rPr/>
      </w:pPr>
      <w:r w:rsidDel="00000000" w:rsidR="00000000" w:rsidRPr="00000000">
        <w:rPr>
          <w:rtl w:val="0"/>
        </w:rPr>
        <w:t xml:space="preserve">Conflicts of Interest</w:t>
      </w:r>
    </w:p>
    <w:p w:rsidR="00000000" w:rsidDel="00000000" w:rsidP="00000000" w:rsidRDefault="00000000" w:rsidRPr="00000000" w14:paraId="00000161">
      <w:pPr>
        <w:rPr/>
      </w:pPr>
      <w:r w:rsidDel="00000000" w:rsidR="00000000" w:rsidRPr="00000000">
        <w:rPr>
          <w:rtl w:val="0"/>
        </w:rPr>
        <w:t xml:space="preserve">None Declared</w:t>
      </w:r>
    </w:p>
    <w:p w:rsidR="00000000" w:rsidDel="00000000" w:rsidP="00000000" w:rsidRDefault="00000000" w:rsidRPr="00000000" w14:paraId="00000162">
      <w:pPr>
        <w:rPr/>
      </w:pPr>
      <w:r w:rsidDel="00000000" w:rsidR="00000000" w:rsidRPr="00000000">
        <w:rPr>
          <w:rtl w:val="0"/>
        </w:rPr>
      </w:r>
    </w:p>
    <w:bookmarkStart w:colFirst="0" w:colLast="0" w:name="bookmark=id.32hioqz" w:id="33"/>
    <w:bookmarkEnd w:id="33"/>
    <w:p w:rsidR="00000000" w:rsidDel="00000000" w:rsidP="00000000" w:rsidRDefault="00000000" w:rsidRPr="00000000" w14:paraId="00000163">
      <w:pPr>
        <w:pStyle w:val="Heading2"/>
        <w:rPr/>
      </w:pPr>
      <w:bookmarkStart w:colFirst="0" w:colLast="0" w:name="_heading=h.ihv636" w:id="34"/>
      <w:bookmarkEnd w:id="34"/>
      <w:r w:rsidDel="00000000" w:rsidR="00000000" w:rsidRPr="00000000">
        <w:rPr>
          <w:rtl w:val="0"/>
        </w:rPr>
        <w:t xml:space="preserve">Abbreviations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ACS: American Community Survey</w:t>
      </w:r>
    </w:p>
    <w:p w:rsidR="00000000" w:rsidDel="00000000" w:rsidP="00000000" w:rsidRDefault="00000000" w:rsidRPr="00000000" w14:paraId="00000166">
      <w:pPr>
        <w:rPr/>
      </w:pPr>
      <w:r w:rsidDel="00000000" w:rsidR="00000000" w:rsidRPr="00000000">
        <w:rPr>
          <w:rtl w:val="0"/>
        </w:rPr>
        <w:t xml:space="preserve">AIC:  Akaike information criteria</w:t>
      </w:r>
    </w:p>
    <w:p w:rsidR="00000000" w:rsidDel="00000000" w:rsidP="00000000" w:rsidRDefault="00000000" w:rsidRPr="00000000" w14:paraId="00000167">
      <w:pPr>
        <w:rPr/>
      </w:pPr>
      <w:r w:rsidDel="00000000" w:rsidR="00000000" w:rsidRPr="00000000">
        <w:rPr>
          <w:rtl w:val="0"/>
        </w:rPr>
        <w:t xml:space="preserve">BIC:  Bayesian information criteria</w:t>
      </w:r>
    </w:p>
    <w:p w:rsidR="00000000" w:rsidDel="00000000" w:rsidP="00000000" w:rsidRDefault="00000000" w:rsidRPr="00000000" w14:paraId="00000168">
      <w:pPr>
        <w:rPr/>
      </w:pPr>
      <w:r w:rsidDel="00000000" w:rsidR="00000000" w:rsidRPr="00000000">
        <w:rPr>
          <w:rtl w:val="0"/>
        </w:rPr>
        <w:t xml:space="preserve">CI: confidence interval</w:t>
      </w:r>
    </w:p>
    <w:p w:rsidR="00000000" w:rsidDel="00000000" w:rsidP="00000000" w:rsidRDefault="00000000" w:rsidRPr="00000000" w14:paraId="00000169">
      <w:pPr>
        <w:rPr/>
      </w:pPr>
      <w:r w:rsidDel="00000000" w:rsidR="00000000" w:rsidRPr="00000000">
        <w:rPr>
          <w:rtl w:val="0"/>
        </w:rPr>
        <w:t xml:space="preserve">IQR: interquartile range</w:t>
      </w:r>
    </w:p>
    <w:p w:rsidR="00000000" w:rsidDel="00000000" w:rsidP="00000000" w:rsidRDefault="00000000" w:rsidRPr="00000000" w14:paraId="0000016A">
      <w:pPr>
        <w:rPr/>
      </w:pPr>
      <w:r w:rsidDel="00000000" w:rsidR="00000000" w:rsidRPr="00000000">
        <w:rPr>
          <w:rtl w:val="0"/>
        </w:rPr>
        <w:t xml:space="preserve">IRR: incidence rate ratio</w:t>
      </w:r>
    </w:p>
    <w:p w:rsidR="00000000" w:rsidDel="00000000" w:rsidP="00000000" w:rsidRDefault="00000000" w:rsidRPr="00000000" w14:paraId="0000016B">
      <w:pPr>
        <w:rPr/>
      </w:pPr>
      <w:r w:rsidDel="00000000" w:rsidR="00000000" w:rsidRPr="00000000">
        <w:rPr>
          <w:rtl w:val="0"/>
        </w:rPr>
        <w:t xml:space="preserve">KDE: kernel density estimation</w:t>
      </w:r>
    </w:p>
    <w:p w:rsidR="00000000" w:rsidDel="00000000" w:rsidP="00000000" w:rsidRDefault="00000000" w:rsidRPr="00000000" w14:paraId="0000016C">
      <w:pPr>
        <w:rPr/>
      </w:pPr>
      <w:r w:rsidDel="00000000" w:rsidR="00000000" w:rsidRPr="00000000">
        <w:rPr>
          <w:rtl w:val="0"/>
        </w:rPr>
        <w:t xml:space="preserve">RMSE: root mean squared error</w:t>
      </w:r>
    </w:p>
    <w:p w:rsidR="00000000" w:rsidDel="00000000" w:rsidP="00000000" w:rsidRDefault="00000000" w:rsidRPr="00000000" w14:paraId="0000016D">
      <w:pPr>
        <w:rPr/>
      </w:pPr>
      <w:r w:rsidDel="00000000" w:rsidR="00000000" w:rsidRPr="00000000">
        <w:rPr>
          <w:rtl w:val="0"/>
        </w:rPr>
        <w:t xml:space="preserve">SE: standard error</w:t>
      </w:r>
    </w:p>
    <w:p w:rsidR="00000000" w:rsidDel="00000000" w:rsidP="00000000" w:rsidRDefault="00000000" w:rsidRPr="00000000" w14:paraId="0000016E">
      <w:pPr>
        <w:rPr/>
      </w:pPr>
      <w:r w:rsidDel="00000000" w:rsidR="00000000" w:rsidRPr="00000000">
        <w:rPr>
          <w:rtl w:val="0"/>
        </w:rPr>
        <w:t xml:space="preserve">SQL: structured query language</w:t>
      </w:r>
    </w:p>
    <w:p w:rsidR="00000000" w:rsidDel="00000000" w:rsidP="00000000" w:rsidRDefault="00000000" w:rsidRPr="00000000" w14:paraId="0000016F">
      <w:pPr>
        <w:rPr/>
      </w:pPr>
      <w:r w:rsidDel="00000000" w:rsidR="00000000" w:rsidRPr="00000000">
        <w:rPr>
          <w:rtl w:val="0"/>
        </w:rPr>
        <w:t xml:space="preserve">SUID: sudden unexpected infant death</w:t>
      </w:r>
    </w:p>
    <w:p w:rsidR="00000000" w:rsidDel="00000000" w:rsidP="00000000" w:rsidRDefault="00000000" w:rsidRPr="00000000" w14:paraId="00000170">
      <w:pPr>
        <w:rPr/>
      </w:pPr>
      <w:r w:rsidDel="00000000" w:rsidR="00000000" w:rsidRPr="00000000">
        <w:rPr>
          <w:rtl w:val="0"/>
        </w:rPr>
        <w:t xml:space="preserve">SVI: Social Vulnerability Index</w:t>
      </w:r>
    </w:p>
    <w:p w:rsidR="00000000" w:rsidDel="00000000" w:rsidP="00000000" w:rsidRDefault="00000000" w:rsidRPr="00000000" w14:paraId="00000171">
      <w:pPr>
        <w:pStyle w:val="Heading2"/>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bookmarkStart w:colFirst="0" w:colLast="0" w:name="bookmark=id.41mghml" w:id="35"/>
    <w:bookmarkEnd w:id="35"/>
    <w:p w:rsidR="00000000" w:rsidDel="00000000" w:rsidP="00000000" w:rsidRDefault="00000000" w:rsidRPr="00000000" w14:paraId="00000174">
      <w:pPr>
        <w:pStyle w:val="Heading2"/>
        <w:rPr/>
      </w:pPr>
      <w:bookmarkStart w:colFirst="0" w:colLast="0" w:name="_heading=h.1hmsyys" w:id="36"/>
      <w:bookmarkEnd w:id="36"/>
      <w:r w:rsidDel="00000000" w:rsidR="00000000" w:rsidRPr="00000000">
        <w:rPr>
          <w:rtl w:val="0"/>
        </w:rPr>
        <w:t xml:space="preserve">References</w:t>
      </w:r>
    </w:p>
    <w:p w:rsidR="00000000" w:rsidDel="00000000" w:rsidP="00000000" w:rsidRDefault="00000000" w:rsidRPr="00000000" w14:paraId="00000175">
      <w:pPr>
        <w:rPr/>
      </w:pPr>
      <w:r w:rsidDel="00000000" w:rsidR="00000000" w:rsidRPr="00000000">
        <w:rPr>
          <w:rtl w:val="0"/>
        </w:rPr>
      </w:r>
    </w:p>
    <w:bookmarkStart w:colFirst="0" w:colLast="0" w:name="bookmark=id.vx1227" w:id="37"/>
    <w:bookmarkEnd w:id="37"/>
    <w:bookmarkStart w:colFirst="0" w:colLast="0" w:name="bookmark=id.2grqrue" w:id="38"/>
    <w:bookmarkEnd w:id="38"/>
    <w:p w:rsidR="00000000" w:rsidDel="00000000" w:rsidP="00000000" w:rsidRDefault="00000000" w:rsidRPr="00000000" w14:paraId="00000176">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Common SIDS and SUID Terms And Definitions | Safe to Sleep®, </w:t>
      </w:r>
      <w:hyperlink r:id="rId14">
        <w:r w:rsidDel="00000000" w:rsidR="00000000" w:rsidRPr="00000000">
          <w:rPr>
            <w:color w:val="0000ff"/>
            <w:u w:val="single"/>
            <w:rtl w:val="0"/>
          </w:rPr>
          <w:t xml:space="preserve">https://safetosleep.nichd.nih.gov/safesleepbasics/SIDS/Common</w:t>
        </w:r>
      </w:hyperlink>
      <w:r w:rsidDel="00000000" w:rsidR="00000000" w:rsidRPr="00000000">
        <w:rPr>
          <w:color w:val="000000"/>
          <w:rtl w:val="0"/>
        </w:rPr>
        <w:t xml:space="preserve"> (accessed 25 October 2022).</w:t>
      </w:r>
      <w:r w:rsidDel="00000000" w:rsidR="00000000" w:rsidRPr="00000000">
        <w:rPr>
          <w:rtl w:val="0"/>
        </w:rPr>
      </w:r>
    </w:p>
    <w:bookmarkStart w:colFirst="0" w:colLast="0" w:name="bookmark=id.3fwokq0" w:id="39"/>
    <w:bookmarkEnd w:id="39"/>
    <w:p w:rsidR="00000000" w:rsidDel="00000000" w:rsidP="00000000" w:rsidRDefault="00000000" w:rsidRPr="00000000" w14:paraId="00000177">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Goldstein RD, Lederman RI, Lichtenthal WG, et al. </w:t>
      </w:r>
      <w:hyperlink r:id="rId15">
        <w:r w:rsidDel="00000000" w:rsidR="00000000" w:rsidRPr="00000000">
          <w:rPr>
            <w:color w:val="0000ff"/>
            <w:u w:val="single"/>
            <w:rtl w:val="0"/>
          </w:rPr>
          <w:t xml:space="preserve">The Grief of Mothers After the Sudden Unexpected Death of Their Infants</w:t>
        </w:r>
      </w:hyperlink>
      <w:r w:rsidDel="00000000" w:rsidR="00000000" w:rsidRPr="00000000">
        <w:rPr>
          <w:color w:val="000000"/>
          <w:rtl w:val="0"/>
        </w:rPr>
        <w:t xml:space="preserve">. Pediatrics 2018; 141: e20173651. </w:t>
      </w:r>
      <w:r w:rsidDel="00000000" w:rsidR="00000000" w:rsidRPr="00000000">
        <w:rPr>
          <w:color w:val="212121"/>
          <w:rtl w:val="0"/>
        </w:rPr>
        <w:t xml:space="preserve">PMID: 29712764. DOI: 10.1542/peds.2017-3651.</w:t>
      </w:r>
      <w:r w:rsidDel="00000000" w:rsidR="00000000" w:rsidRPr="00000000">
        <w:rPr>
          <w:rtl w:val="0"/>
        </w:rPr>
      </w:r>
    </w:p>
    <w:bookmarkStart w:colFirst="0" w:colLast="0" w:name="bookmark=id.1v1yuxt" w:id="40"/>
    <w:bookmarkEnd w:id="40"/>
    <w:p w:rsidR="00000000" w:rsidDel="00000000" w:rsidP="00000000" w:rsidRDefault="00000000" w:rsidRPr="00000000" w14:paraId="00000178">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GBD Compare. Institute for Health Metrics and Evaluation, </w:t>
      </w:r>
      <w:hyperlink r:id="rId16">
        <w:r w:rsidDel="00000000" w:rsidR="00000000" w:rsidRPr="00000000">
          <w:rPr>
            <w:color w:val="0000ff"/>
            <w:u w:val="single"/>
            <w:rtl w:val="0"/>
          </w:rPr>
          <w:t xml:space="preserve">http://vizhub.healthdata.org/gbd-compare</w:t>
        </w:r>
      </w:hyperlink>
      <w:r w:rsidDel="00000000" w:rsidR="00000000" w:rsidRPr="00000000">
        <w:rPr>
          <w:color w:val="000000"/>
          <w:rtl w:val="0"/>
        </w:rPr>
        <w:t xml:space="preserve"> (accessed 19 November 2021).</w:t>
      </w:r>
      <w:r w:rsidDel="00000000" w:rsidR="00000000" w:rsidRPr="00000000">
        <w:rPr>
          <w:rtl w:val="0"/>
        </w:rPr>
      </w:r>
    </w:p>
    <w:bookmarkStart w:colFirst="0" w:colLast="0" w:name="bookmark=id.4f1mdlm" w:id="41"/>
    <w:bookmarkEnd w:id="41"/>
    <w:p w:rsidR="00000000" w:rsidDel="00000000" w:rsidP="00000000" w:rsidRDefault="00000000" w:rsidRPr="00000000" w14:paraId="00000179">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Briker A, McLone S, Mason M, et al. </w:t>
      </w:r>
      <w:hyperlink r:id="rId17">
        <w:r w:rsidDel="00000000" w:rsidR="00000000" w:rsidRPr="00000000">
          <w:rPr>
            <w:color w:val="0000ff"/>
            <w:u w:val="single"/>
            <w:rtl w:val="0"/>
          </w:rPr>
          <w:t xml:space="preserve">Modifiable sleep-related risk factors in infant deaths in Cook County, Illinois</w:t>
        </w:r>
      </w:hyperlink>
      <w:r w:rsidDel="00000000" w:rsidR="00000000" w:rsidRPr="00000000">
        <w:rPr>
          <w:color w:val="000000"/>
          <w:rtl w:val="0"/>
        </w:rPr>
        <w:t xml:space="preserve">. Injury Epidemiology 2019; 6: 24. PMID: 31333990. DOI: 10.1186/s40621-019-0203-1.</w:t>
      </w:r>
      <w:r w:rsidDel="00000000" w:rsidR="00000000" w:rsidRPr="00000000">
        <w:rPr>
          <w:rtl w:val="0"/>
        </w:rPr>
      </w:r>
    </w:p>
    <w:bookmarkStart w:colFirst="0" w:colLast="0" w:name="bookmark=id.2u6wntf" w:id="42"/>
    <w:bookmarkEnd w:id="42"/>
    <w:p w:rsidR="00000000" w:rsidDel="00000000" w:rsidP="00000000" w:rsidRDefault="00000000" w:rsidRPr="00000000" w14:paraId="0000017A">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Drake SA, Wolf DA, Yang Y, et al. </w:t>
      </w:r>
      <w:hyperlink r:id="rId18">
        <w:r w:rsidDel="00000000" w:rsidR="00000000" w:rsidRPr="00000000">
          <w:rPr>
            <w:color w:val="0000ff"/>
            <w:u w:val="single"/>
            <w:rtl w:val="0"/>
          </w:rPr>
          <w:t xml:space="preserve">A Descriptive and Geospatial Analysis of Environmental Factors Attributing to Sudden Unexpected Infant Death</w:t>
        </w:r>
      </w:hyperlink>
      <w:r w:rsidDel="00000000" w:rsidR="00000000" w:rsidRPr="00000000">
        <w:rPr>
          <w:color w:val="000000"/>
          <w:rtl w:val="0"/>
        </w:rPr>
        <w:t xml:space="preserve">. Am J Forensic Med Pathol 2019; 40: 108–116. PMID: 30570520. DOI: 10.1097/PAF.0000000000000455.</w:t>
      </w:r>
      <w:r w:rsidDel="00000000" w:rsidR="00000000" w:rsidRPr="00000000">
        <w:rPr>
          <w:rtl w:val="0"/>
        </w:rPr>
      </w:r>
    </w:p>
    <w:bookmarkStart w:colFirst="0" w:colLast="0" w:name="bookmark=id.19c6y18" w:id="43"/>
    <w:bookmarkEnd w:id="43"/>
    <w:p w:rsidR="00000000" w:rsidDel="00000000" w:rsidP="00000000" w:rsidRDefault="00000000" w:rsidRPr="00000000" w14:paraId="0000017B">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Fee CE, Tarrell A. Geographical Analysis of Sudden Infant Death Syndrome (SIDS) and Associated Risk Factors in Douglas County, Nebraska. </w:t>
      </w:r>
      <w:hyperlink r:id="rId19">
        <w:r w:rsidDel="00000000" w:rsidR="00000000" w:rsidRPr="00000000">
          <w:rPr>
            <w:color w:val="0000ff"/>
            <w:u w:val="single"/>
            <w:rtl w:val="0"/>
          </w:rPr>
          <w:t xml:space="preserve">https://digitalcommons.unmc.edu/cgi/viewcontent.cgi?article=1001&amp;context=emet_posters</w:t>
        </w:r>
      </w:hyperlink>
      <w:r w:rsidDel="00000000" w:rsidR="00000000" w:rsidRPr="00000000">
        <w:rPr>
          <w:color w:val="000000"/>
          <w:rtl w:val="0"/>
        </w:rPr>
        <w:t xml:space="preserve"> (2017, accessed 22 August 2022).</w:t>
      </w:r>
      <w:r w:rsidDel="00000000" w:rsidR="00000000" w:rsidRPr="00000000">
        <w:rPr>
          <w:rtl w:val="0"/>
        </w:rPr>
      </w:r>
    </w:p>
    <w:bookmarkStart w:colFirst="0" w:colLast="0" w:name="bookmark=id.3tbugp1" w:id="44"/>
    <w:bookmarkEnd w:id="44"/>
    <w:p w:rsidR="00000000" w:rsidDel="00000000" w:rsidP="00000000" w:rsidRDefault="00000000" w:rsidRPr="00000000" w14:paraId="0000017C">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Guest AM, Almgren G, Hussey JM. </w:t>
      </w:r>
      <w:hyperlink r:id="rId20">
        <w:r w:rsidDel="00000000" w:rsidR="00000000" w:rsidRPr="00000000">
          <w:rPr>
            <w:color w:val="0000ff"/>
            <w:u w:val="single"/>
            <w:rtl w:val="0"/>
          </w:rPr>
          <w:t xml:space="preserve">The ecology of race and socioeconomic distress: Infant and working-age mortality in Chicago</w:t>
        </w:r>
      </w:hyperlink>
      <w:r w:rsidDel="00000000" w:rsidR="00000000" w:rsidRPr="00000000">
        <w:rPr>
          <w:color w:val="000000"/>
          <w:rtl w:val="0"/>
        </w:rPr>
        <w:t xml:space="preserve">. 1998; 23–34. PMID: 9512907.</w:t>
      </w:r>
      <w:r w:rsidDel="00000000" w:rsidR="00000000" w:rsidRPr="00000000">
        <w:rPr>
          <w:rtl w:val="0"/>
        </w:rPr>
      </w:r>
    </w:p>
    <w:bookmarkStart w:colFirst="0" w:colLast="0" w:name="bookmark=id.28h4qwu" w:id="45"/>
    <w:bookmarkEnd w:id="45"/>
    <w:p w:rsidR="00000000" w:rsidDel="00000000" w:rsidP="00000000" w:rsidRDefault="00000000" w:rsidRPr="00000000" w14:paraId="0000017D">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Horton R. </w:t>
      </w:r>
      <w:hyperlink r:id="rId21">
        <w:r w:rsidDel="00000000" w:rsidR="00000000" w:rsidRPr="00000000">
          <w:rPr>
            <w:color w:val="0000ff"/>
            <w:u w:val="single"/>
            <w:rtl w:val="0"/>
          </w:rPr>
          <w:t xml:space="preserve">Offline: In defence of precision public health</w:t>
        </w:r>
      </w:hyperlink>
      <w:r w:rsidDel="00000000" w:rsidR="00000000" w:rsidRPr="00000000">
        <w:rPr>
          <w:color w:val="000000"/>
          <w:rtl w:val="0"/>
        </w:rPr>
        <w:t xml:space="preserve">. Lancet 2018; 392: 1504.</w:t>
      </w:r>
      <w:r w:rsidDel="00000000" w:rsidR="00000000" w:rsidRPr="00000000">
        <w:rPr>
          <w:rtl w:val="0"/>
        </w:rPr>
      </w:r>
    </w:p>
    <w:bookmarkStart w:colFirst="0" w:colLast="0" w:name="bookmark=id.nmf14n" w:id="46"/>
    <w:bookmarkEnd w:id="46"/>
    <w:p w:rsidR="00000000" w:rsidDel="00000000" w:rsidP="00000000" w:rsidRDefault="00000000" w:rsidRPr="00000000" w14:paraId="0000017E">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Grimson RC, Wang KC, Johnson PWC. </w:t>
      </w:r>
      <w:hyperlink r:id="rId22">
        <w:r w:rsidDel="00000000" w:rsidR="00000000" w:rsidRPr="00000000">
          <w:rPr>
            <w:color w:val="0000ff"/>
            <w:u w:val="single"/>
            <w:rtl w:val="0"/>
          </w:rPr>
          <w:t xml:space="preserve">Searching for hierarchical clusters of disease: Spatial patterns of sudden infant death syndrome</w:t>
        </w:r>
      </w:hyperlink>
      <w:r w:rsidDel="00000000" w:rsidR="00000000" w:rsidRPr="00000000">
        <w:rPr>
          <w:color w:val="000000"/>
          <w:rtl w:val="0"/>
        </w:rPr>
        <w:t xml:space="preserve">. Social Science &amp; Medicine Part D: Medical Geography 1981; 15: 287–293.</w:t>
      </w:r>
    </w:p>
    <w:p w:rsidR="00000000" w:rsidDel="00000000" w:rsidP="00000000" w:rsidRDefault="00000000" w:rsidRPr="00000000" w14:paraId="0000017F">
      <w:pPr>
        <w:numPr>
          <w:ilvl w:val="0"/>
          <w:numId w:val="2"/>
        </w:numPr>
        <w:pBdr>
          <w:top w:space="0" w:sz="0" w:val="nil"/>
          <w:left w:space="0" w:sz="0" w:val="nil"/>
          <w:bottom w:space="0" w:sz="0" w:val="nil"/>
          <w:right w:space="0" w:sz="0" w:val="nil"/>
          <w:between w:space="0" w:sz="0" w:val="nil"/>
        </w:pBdr>
        <w:spacing w:line="360" w:lineRule="auto"/>
        <w:ind w:left="720" w:hanging="360"/>
      </w:pPr>
      <w:r w:rsidDel="00000000" w:rsidR="00000000" w:rsidRPr="00000000">
        <w:rPr>
          <w:rtl w:val="0"/>
        </w:rPr>
        <w:t xml:space="preserve">Riggins, DP. https://github.com/andtheWings/cook_county_sids_mortality.</w:t>
      </w:r>
    </w:p>
    <w:bookmarkStart w:colFirst="0" w:colLast="0" w:name="bookmark=id.37m2jsg" w:id="47"/>
    <w:bookmarkEnd w:id="47"/>
    <w:p w:rsidR="00000000" w:rsidDel="00000000" w:rsidP="00000000" w:rsidRDefault="00000000" w:rsidRPr="00000000" w14:paraId="00000180">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American Community Survey Data Products, </w:t>
      </w:r>
      <w:hyperlink r:id="rId23">
        <w:r w:rsidDel="00000000" w:rsidR="00000000" w:rsidRPr="00000000">
          <w:rPr>
            <w:color w:val="0000ff"/>
            <w:u w:val="single"/>
            <w:rtl w:val="0"/>
          </w:rPr>
          <w:t xml:space="preserve">https://www.census.gov/programs-surveys/acs/</w:t>
        </w:r>
      </w:hyperlink>
      <w:r w:rsidDel="00000000" w:rsidR="00000000" w:rsidRPr="00000000">
        <w:rPr>
          <w:color w:val="000000"/>
          <w:rtl w:val="0"/>
        </w:rPr>
        <w:t xml:space="preserve">.</w:t>
      </w:r>
      <w:r w:rsidDel="00000000" w:rsidR="00000000" w:rsidRPr="00000000">
        <w:rPr>
          <w:rtl w:val="0"/>
        </w:rPr>
      </w:r>
    </w:p>
    <w:bookmarkStart w:colFirst="0" w:colLast="0" w:name="bookmark=id.1mrcu09" w:id="48"/>
    <w:bookmarkEnd w:id="48"/>
    <w:p w:rsidR="00000000" w:rsidDel="00000000" w:rsidP="00000000" w:rsidRDefault="00000000" w:rsidRPr="00000000" w14:paraId="00000181">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Social Vulnerability Index Data Products, </w:t>
      </w:r>
      <w:hyperlink r:id="rId24">
        <w:r w:rsidDel="00000000" w:rsidR="00000000" w:rsidRPr="00000000">
          <w:rPr>
            <w:color w:val="0000ff"/>
            <w:u w:val="single"/>
            <w:rtl w:val="0"/>
          </w:rPr>
          <w:t xml:space="preserve">https://www.atsdr.cdc.gov/placeandhealth/svi/index.html</w:t>
        </w:r>
      </w:hyperlink>
      <w:r w:rsidDel="00000000" w:rsidR="00000000" w:rsidRPr="00000000">
        <w:rPr>
          <w:color w:val="000000"/>
          <w:rtl w:val="0"/>
        </w:rPr>
        <w:t xml:space="preserve">.</w:t>
      </w:r>
      <w:r w:rsidDel="00000000" w:rsidR="00000000" w:rsidRPr="00000000">
        <w:rPr>
          <w:rtl w:val="0"/>
        </w:rPr>
      </w:r>
    </w:p>
    <w:bookmarkStart w:colFirst="0" w:colLast="0" w:name="bookmark=id.46r0co2" w:id="49"/>
    <w:bookmarkEnd w:id="49"/>
    <w:p w:rsidR="00000000" w:rsidDel="00000000" w:rsidP="00000000" w:rsidRDefault="00000000" w:rsidRPr="00000000" w14:paraId="00000182">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R Programming Language. R Foundation, </w:t>
      </w:r>
      <w:r w:rsidDel="00000000" w:rsidR="00000000" w:rsidRPr="00000000">
        <w:rPr>
          <w:color w:val="0000ff"/>
          <w:u w:val="single"/>
          <w:rtl w:val="0"/>
        </w:rPr>
        <w:t xml:space="preserve">https://www.r-project.org/</w:t>
      </w:r>
      <w:r w:rsidDel="00000000" w:rsidR="00000000" w:rsidRPr="00000000">
        <w:rPr>
          <w:rtl w:val="0"/>
        </w:rPr>
      </w:r>
    </w:p>
    <w:bookmarkStart w:colFirst="0" w:colLast="0" w:name="bookmark=id.2lwamvv" w:id="50"/>
    <w:bookmarkEnd w:id="50"/>
    <w:p w:rsidR="00000000" w:rsidDel="00000000" w:rsidP="00000000" w:rsidRDefault="00000000" w:rsidRPr="00000000" w14:paraId="00000183">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Tidyverse R Package Suite. Posit Software, PBC, </w:t>
      </w:r>
      <w:hyperlink r:id="rId25">
        <w:r w:rsidDel="00000000" w:rsidR="00000000" w:rsidRPr="00000000">
          <w:rPr>
            <w:color w:val="0000ff"/>
            <w:u w:val="single"/>
            <w:rtl w:val="0"/>
          </w:rPr>
          <w:t xml:space="preserve">https://www.tidyverse.org/</w:t>
        </w:r>
      </w:hyperlink>
      <w:r w:rsidDel="00000000" w:rsidR="00000000" w:rsidRPr="00000000">
        <w:rPr>
          <w:color w:val="000000"/>
          <w:rtl w:val="0"/>
        </w:rPr>
        <w:t xml:space="preserve">.</w:t>
      </w:r>
      <w:r w:rsidDel="00000000" w:rsidR="00000000" w:rsidRPr="00000000">
        <w:rPr>
          <w:rtl w:val="0"/>
        </w:rPr>
      </w:r>
    </w:p>
    <w:bookmarkStart w:colFirst="0" w:colLast="0" w:name="bookmark=id.111kx3o" w:id="51"/>
    <w:bookmarkEnd w:id="51"/>
    <w:p w:rsidR="00000000" w:rsidDel="00000000" w:rsidP="00000000" w:rsidRDefault="00000000" w:rsidRPr="00000000" w14:paraId="00000184">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Firke S. Janitor R Package, </w:t>
      </w:r>
      <w:hyperlink r:id="rId26">
        <w:r w:rsidDel="00000000" w:rsidR="00000000" w:rsidRPr="00000000">
          <w:rPr>
            <w:color w:val="0000ff"/>
            <w:u w:val="single"/>
            <w:rtl w:val="0"/>
          </w:rPr>
          <w:t xml:space="preserve">https://sfirke.github.io/janitor/</w:t>
        </w:r>
      </w:hyperlink>
      <w:r w:rsidDel="00000000" w:rsidR="00000000" w:rsidRPr="00000000">
        <w:rPr>
          <w:color w:val="000000"/>
          <w:rtl w:val="0"/>
        </w:rPr>
        <w:t xml:space="preserve">.</w:t>
      </w:r>
      <w:r w:rsidDel="00000000" w:rsidR="00000000" w:rsidRPr="00000000">
        <w:rPr>
          <w:rtl w:val="0"/>
        </w:rPr>
      </w:r>
    </w:p>
    <w:bookmarkStart w:colFirst="0" w:colLast="0" w:name="bookmark=id.3l18frh" w:id="52"/>
    <w:bookmarkEnd w:id="52"/>
    <w:p w:rsidR="00000000" w:rsidDel="00000000" w:rsidP="00000000" w:rsidRDefault="00000000" w:rsidRPr="00000000" w14:paraId="00000185">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Devlin H, Schenk T, Leynes G, et al. RSocrata Package, </w:t>
      </w:r>
      <w:hyperlink r:id="rId27">
        <w:r w:rsidDel="00000000" w:rsidR="00000000" w:rsidRPr="00000000">
          <w:rPr>
            <w:color w:val="0000ff"/>
            <w:u w:val="single"/>
            <w:rtl w:val="0"/>
          </w:rPr>
          <w:t xml:space="preserve">https://cran.r-project.org/web/packages/RSocrata/index.html</w:t>
        </w:r>
      </w:hyperlink>
      <w:r w:rsidDel="00000000" w:rsidR="00000000" w:rsidRPr="00000000">
        <w:rPr>
          <w:color w:val="000000"/>
          <w:rtl w:val="0"/>
        </w:rPr>
        <w:t xml:space="preserve">.</w:t>
      </w:r>
      <w:r w:rsidDel="00000000" w:rsidR="00000000" w:rsidRPr="00000000">
        <w:rPr>
          <w:rtl w:val="0"/>
        </w:rPr>
      </w:r>
    </w:p>
    <w:bookmarkStart w:colFirst="0" w:colLast="0" w:name="bookmark=id.206ipza" w:id="53"/>
    <w:bookmarkEnd w:id="53"/>
    <w:p w:rsidR="00000000" w:rsidDel="00000000" w:rsidP="00000000" w:rsidRDefault="00000000" w:rsidRPr="00000000" w14:paraId="00000186">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Landau WM. Targets R Package. rOpenSci, </w:t>
      </w:r>
      <w:hyperlink r:id="rId28">
        <w:r w:rsidDel="00000000" w:rsidR="00000000" w:rsidRPr="00000000">
          <w:rPr>
            <w:color w:val="0000ff"/>
            <w:u w:val="single"/>
            <w:rtl w:val="0"/>
          </w:rPr>
          <w:t xml:space="preserve">https://docs.ropensci.org/targets/</w:t>
        </w:r>
      </w:hyperlink>
      <w:r w:rsidDel="00000000" w:rsidR="00000000" w:rsidRPr="00000000">
        <w:rPr>
          <w:color w:val="000000"/>
          <w:rtl w:val="0"/>
        </w:rPr>
        <w:t xml:space="preserve">.</w:t>
      </w:r>
      <w:r w:rsidDel="00000000" w:rsidR="00000000" w:rsidRPr="00000000">
        <w:rPr>
          <w:rtl w:val="0"/>
        </w:rPr>
      </w:r>
    </w:p>
    <w:bookmarkStart w:colFirst="0" w:colLast="0" w:name="bookmark=id.4k668n3" w:id="54"/>
    <w:bookmarkEnd w:id="54"/>
    <w:p w:rsidR="00000000" w:rsidDel="00000000" w:rsidP="00000000" w:rsidRDefault="00000000" w:rsidRPr="00000000" w14:paraId="00000187">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Iannone R, Cheng J, Schloerke B, et al. Gt R Package. Posit Software, PBC, </w:t>
      </w:r>
      <w:hyperlink r:id="rId29">
        <w:r w:rsidDel="00000000" w:rsidR="00000000" w:rsidRPr="00000000">
          <w:rPr>
            <w:color w:val="0000ff"/>
            <w:u w:val="single"/>
            <w:rtl w:val="0"/>
          </w:rPr>
          <w:t xml:space="preserve">https://gt.rstudio.com/</w:t>
        </w:r>
      </w:hyperlink>
      <w:r w:rsidDel="00000000" w:rsidR="00000000" w:rsidRPr="00000000">
        <w:rPr>
          <w:color w:val="000000"/>
          <w:rtl w:val="0"/>
        </w:rPr>
        <w:t xml:space="preserve">.</w:t>
      </w:r>
      <w:r w:rsidDel="00000000" w:rsidR="00000000" w:rsidRPr="00000000">
        <w:rPr>
          <w:rtl w:val="0"/>
        </w:rPr>
      </w:r>
    </w:p>
    <w:bookmarkStart w:colFirst="0" w:colLast="0" w:name="bookmark=id.2zbgiuw" w:id="55"/>
    <w:bookmarkEnd w:id="55"/>
    <w:p w:rsidR="00000000" w:rsidDel="00000000" w:rsidP="00000000" w:rsidRDefault="00000000" w:rsidRPr="00000000" w14:paraId="00000188">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Sjoberg DD, Larmarange J, Curry M, et al. Gtsummary R Package, </w:t>
      </w:r>
      <w:hyperlink r:id="rId30">
        <w:r w:rsidDel="00000000" w:rsidR="00000000" w:rsidRPr="00000000">
          <w:rPr>
            <w:color w:val="0000ff"/>
            <w:u w:val="single"/>
            <w:rtl w:val="0"/>
          </w:rPr>
          <w:t xml:space="preserve">https://www.danieldsjoberg.com/gtsummary/</w:t>
        </w:r>
      </w:hyperlink>
      <w:r w:rsidDel="00000000" w:rsidR="00000000" w:rsidRPr="00000000">
        <w:rPr>
          <w:color w:val="000000"/>
          <w:rtl w:val="0"/>
        </w:rPr>
        <w:t xml:space="preserve">.</w:t>
      </w:r>
      <w:r w:rsidDel="00000000" w:rsidR="00000000" w:rsidRPr="00000000">
        <w:rPr>
          <w:rtl w:val="0"/>
        </w:rPr>
      </w:r>
    </w:p>
    <w:bookmarkStart w:colFirst="0" w:colLast="0" w:name="bookmark=id.1egqt2p" w:id="56"/>
    <w:bookmarkEnd w:id="56"/>
    <w:p w:rsidR="00000000" w:rsidDel="00000000" w:rsidP="00000000" w:rsidRDefault="00000000" w:rsidRPr="00000000" w14:paraId="00000189">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Pebesma E. Sf R Package. R consortium, </w:t>
      </w:r>
      <w:hyperlink r:id="rId31">
        <w:r w:rsidDel="00000000" w:rsidR="00000000" w:rsidRPr="00000000">
          <w:rPr>
            <w:color w:val="0000ff"/>
            <w:u w:val="single"/>
            <w:rtl w:val="0"/>
          </w:rPr>
          <w:t xml:space="preserve">https://r-spatial.github.io/sf/index.html</w:t>
        </w:r>
      </w:hyperlink>
      <w:r w:rsidDel="00000000" w:rsidR="00000000" w:rsidRPr="00000000">
        <w:rPr>
          <w:color w:val="000000"/>
          <w:rtl w:val="0"/>
        </w:rPr>
        <w:t xml:space="preserve">.</w:t>
      </w:r>
      <w:r w:rsidDel="00000000" w:rsidR="00000000" w:rsidRPr="00000000">
        <w:rPr>
          <w:rtl w:val="0"/>
        </w:rPr>
      </w:r>
    </w:p>
    <w:bookmarkStart w:colFirst="0" w:colLast="0" w:name="bookmark=id.3ygebqi" w:id="57"/>
    <w:bookmarkEnd w:id="57"/>
    <w:p w:rsidR="00000000" w:rsidDel="00000000" w:rsidP="00000000" w:rsidRDefault="00000000" w:rsidRPr="00000000" w14:paraId="0000018A">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Leaflet R Package. Posit Software, PBC, </w:t>
      </w:r>
      <w:hyperlink r:id="rId32">
        <w:r w:rsidDel="00000000" w:rsidR="00000000" w:rsidRPr="00000000">
          <w:rPr>
            <w:color w:val="0000ff"/>
            <w:u w:val="single"/>
            <w:rtl w:val="0"/>
          </w:rPr>
          <w:t xml:space="preserve">https://rstudio.github.io/leaflet/</w:t>
        </w:r>
      </w:hyperlink>
      <w:r w:rsidDel="00000000" w:rsidR="00000000" w:rsidRPr="00000000">
        <w:rPr>
          <w:color w:val="000000"/>
          <w:rtl w:val="0"/>
        </w:rPr>
        <w:t xml:space="preserve">.</w:t>
      </w:r>
      <w:r w:rsidDel="00000000" w:rsidR="00000000" w:rsidRPr="00000000">
        <w:rPr>
          <w:rtl w:val="0"/>
        </w:rPr>
      </w:r>
    </w:p>
    <w:bookmarkStart w:colFirst="0" w:colLast="0" w:name="bookmark=id.2dlolyb" w:id="58"/>
    <w:bookmarkEnd w:id="58"/>
    <w:p w:rsidR="00000000" w:rsidDel="00000000" w:rsidP="00000000" w:rsidRDefault="00000000" w:rsidRPr="00000000" w14:paraId="0000018B">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Tennekes M. Tmap: Thematic maps in R, </w:t>
      </w:r>
      <w:hyperlink r:id="rId33">
        <w:r w:rsidDel="00000000" w:rsidR="00000000" w:rsidRPr="00000000">
          <w:rPr>
            <w:color w:val="0000ff"/>
            <w:u w:val="single"/>
            <w:rtl w:val="0"/>
          </w:rPr>
          <w:t xml:space="preserve">https://r-tmap.github.io/tmap/</w:t>
        </w:r>
      </w:hyperlink>
      <w:r w:rsidDel="00000000" w:rsidR="00000000" w:rsidRPr="00000000">
        <w:rPr>
          <w:color w:val="000000"/>
          <w:rtl w:val="0"/>
        </w:rPr>
        <w:t xml:space="preserve">.</w:t>
      </w:r>
      <w:r w:rsidDel="00000000" w:rsidR="00000000" w:rsidRPr="00000000">
        <w:rPr>
          <w:rtl w:val="0"/>
        </w:rPr>
      </w:r>
    </w:p>
    <w:bookmarkStart w:colFirst="0" w:colLast="0" w:name="bookmark=id.sqyw64" w:id="59"/>
    <w:bookmarkEnd w:id="59"/>
    <w:p w:rsidR="00000000" w:rsidDel="00000000" w:rsidP="00000000" w:rsidRDefault="00000000" w:rsidRPr="00000000" w14:paraId="0000018C">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Possenriede D, Sadler J, Salmon M. Opencage R Package. rOpenSci, </w:t>
      </w:r>
      <w:hyperlink r:id="rId34">
        <w:r w:rsidDel="00000000" w:rsidR="00000000" w:rsidRPr="00000000">
          <w:rPr>
            <w:color w:val="0000ff"/>
            <w:u w:val="single"/>
            <w:rtl w:val="0"/>
          </w:rPr>
          <w:t xml:space="preserve">https://docs.ropensci.org/opencage/index.html</w:t>
        </w:r>
      </w:hyperlink>
      <w:r w:rsidDel="00000000" w:rsidR="00000000" w:rsidRPr="00000000">
        <w:rPr>
          <w:color w:val="000000"/>
          <w:rtl w:val="0"/>
        </w:rPr>
        <w:t xml:space="preserve">.</w:t>
      </w:r>
      <w:r w:rsidDel="00000000" w:rsidR="00000000" w:rsidRPr="00000000">
        <w:rPr>
          <w:rtl w:val="0"/>
        </w:rPr>
      </w:r>
    </w:p>
    <w:bookmarkStart w:colFirst="0" w:colLast="0" w:name="bookmark=id.3cqmetx" w:id="60"/>
    <w:bookmarkEnd w:id="60"/>
    <w:p w:rsidR="00000000" w:rsidDel="00000000" w:rsidP="00000000" w:rsidRDefault="00000000" w:rsidRPr="00000000" w14:paraId="0000018D">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Walker K. Tigris R Package, </w:t>
      </w:r>
      <w:hyperlink r:id="rId35">
        <w:r w:rsidDel="00000000" w:rsidR="00000000" w:rsidRPr="00000000">
          <w:rPr>
            <w:color w:val="0000ff"/>
            <w:u w:val="single"/>
            <w:rtl w:val="0"/>
          </w:rPr>
          <w:t xml:space="preserve">https://cran.rstudio.com/web/packages/tigris/</w:t>
        </w:r>
      </w:hyperlink>
      <w:r w:rsidDel="00000000" w:rsidR="00000000" w:rsidRPr="00000000">
        <w:rPr>
          <w:color w:val="000000"/>
          <w:rtl w:val="0"/>
        </w:rPr>
        <w:t xml:space="preserve">.</w:t>
      </w:r>
      <w:r w:rsidDel="00000000" w:rsidR="00000000" w:rsidRPr="00000000">
        <w:rPr>
          <w:rtl w:val="0"/>
        </w:rPr>
      </w:r>
    </w:p>
    <w:bookmarkStart w:colFirst="0" w:colLast="0" w:name="bookmark=id.1rvwp1q" w:id="61"/>
    <w:bookmarkEnd w:id="61"/>
    <w:p w:rsidR="00000000" w:rsidDel="00000000" w:rsidP="00000000" w:rsidRDefault="00000000" w:rsidRPr="00000000" w14:paraId="0000018E">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CARTO basemap styles. Carto, </w:t>
      </w:r>
      <w:hyperlink r:id="rId36">
        <w:r w:rsidDel="00000000" w:rsidR="00000000" w:rsidRPr="00000000">
          <w:rPr>
            <w:color w:val="0000ff"/>
            <w:u w:val="single"/>
            <w:rtl w:val="0"/>
          </w:rPr>
          <w:t xml:space="preserve">https://github.com/CartoDB/basemap-styles</w:t>
        </w:r>
      </w:hyperlink>
      <w:r w:rsidDel="00000000" w:rsidR="00000000" w:rsidRPr="00000000">
        <w:rPr>
          <w:color w:val="000000"/>
          <w:rtl w:val="0"/>
        </w:rPr>
        <w:t xml:space="preserve">.</w:t>
      </w:r>
      <w:r w:rsidDel="00000000" w:rsidR="00000000" w:rsidRPr="00000000">
        <w:rPr>
          <w:rtl w:val="0"/>
        </w:rPr>
      </w:r>
    </w:p>
    <w:bookmarkStart w:colFirst="0" w:colLast="0" w:name="bookmark=id.4bvk7pj" w:id="62"/>
    <w:bookmarkEnd w:id="62"/>
    <w:p w:rsidR="00000000" w:rsidDel="00000000" w:rsidP="00000000" w:rsidRDefault="00000000" w:rsidRPr="00000000" w14:paraId="0000018F">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Warmerdam F, Rouault E. GDAL. Open Source Geospatial Foundation, </w:t>
      </w:r>
      <w:hyperlink r:id="rId37">
        <w:r w:rsidDel="00000000" w:rsidR="00000000" w:rsidRPr="00000000">
          <w:rPr>
            <w:color w:val="0000ff"/>
            <w:u w:val="single"/>
            <w:rtl w:val="0"/>
          </w:rPr>
          <w:t xml:space="preserve">https://gdal.org/</w:t>
        </w:r>
      </w:hyperlink>
      <w:r w:rsidDel="00000000" w:rsidR="00000000" w:rsidRPr="00000000">
        <w:rPr>
          <w:color w:val="000000"/>
          <w:rtl w:val="0"/>
        </w:rPr>
        <w:t xml:space="preserve">.</w:t>
      </w:r>
      <w:r w:rsidDel="00000000" w:rsidR="00000000" w:rsidRPr="00000000">
        <w:rPr>
          <w:rtl w:val="0"/>
        </w:rPr>
      </w:r>
    </w:p>
    <w:bookmarkStart w:colFirst="0" w:colLast="0" w:name="bookmark=id.2r0uhxc" w:id="63"/>
    <w:bookmarkEnd w:id="63"/>
    <w:p w:rsidR="00000000" w:rsidDel="00000000" w:rsidP="00000000" w:rsidRDefault="00000000" w:rsidRPr="00000000" w14:paraId="00000190">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GEOS. Open Source Geospatial Foundation, </w:t>
      </w:r>
      <w:hyperlink r:id="rId38">
        <w:r w:rsidDel="00000000" w:rsidR="00000000" w:rsidRPr="00000000">
          <w:rPr>
            <w:color w:val="0000ff"/>
            <w:u w:val="single"/>
            <w:rtl w:val="0"/>
          </w:rPr>
          <w:t xml:space="preserve">https://libgeos.org/</w:t>
        </w:r>
      </w:hyperlink>
      <w:r w:rsidDel="00000000" w:rsidR="00000000" w:rsidRPr="00000000">
        <w:rPr>
          <w:color w:val="000000"/>
          <w:rtl w:val="0"/>
        </w:rPr>
        <w:t xml:space="preserve">.</w:t>
      </w:r>
      <w:r w:rsidDel="00000000" w:rsidR="00000000" w:rsidRPr="00000000">
        <w:rPr>
          <w:rtl w:val="0"/>
        </w:rPr>
      </w:r>
    </w:p>
    <w:bookmarkStart w:colFirst="0" w:colLast="0" w:name="bookmark=id.1664s55" w:id="64"/>
    <w:bookmarkEnd w:id="64"/>
    <w:p w:rsidR="00000000" w:rsidDel="00000000" w:rsidP="00000000" w:rsidRDefault="00000000" w:rsidRPr="00000000" w14:paraId="00000191">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Agafonkin V. Leaflet, </w:t>
      </w:r>
      <w:hyperlink r:id="rId39">
        <w:r w:rsidDel="00000000" w:rsidR="00000000" w:rsidRPr="00000000">
          <w:rPr>
            <w:color w:val="0000ff"/>
            <w:u w:val="single"/>
            <w:rtl w:val="0"/>
          </w:rPr>
          <w:t xml:space="preserve">https://leafletjs.com/</w:t>
        </w:r>
      </w:hyperlink>
      <w:r w:rsidDel="00000000" w:rsidR="00000000" w:rsidRPr="00000000">
        <w:rPr>
          <w:color w:val="000000"/>
          <w:rtl w:val="0"/>
        </w:rPr>
        <w:t xml:space="preserve">.</w:t>
      </w:r>
      <w:r w:rsidDel="00000000" w:rsidR="00000000" w:rsidRPr="00000000">
        <w:rPr>
          <w:rtl w:val="0"/>
        </w:rPr>
      </w:r>
    </w:p>
    <w:bookmarkStart w:colFirst="0" w:colLast="0" w:name="bookmark=id.3q5sasy" w:id="65"/>
    <w:bookmarkEnd w:id="65"/>
    <w:p w:rsidR="00000000" w:rsidDel="00000000" w:rsidP="00000000" w:rsidRDefault="00000000" w:rsidRPr="00000000" w14:paraId="00000192">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OpenCage Geocoding API. OpenCage GmbH, </w:t>
      </w:r>
      <w:hyperlink r:id="rId40">
        <w:r w:rsidDel="00000000" w:rsidR="00000000" w:rsidRPr="00000000">
          <w:rPr>
            <w:color w:val="0000ff"/>
            <w:u w:val="single"/>
            <w:rtl w:val="0"/>
          </w:rPr>
          <w:t xml:space="preserve">https://opencagedata.com/</w:t>
        </w:r>
      </w:hyperlink>
      <w:r w:rsidDel="00000000" w:rsidR="00000000" w:rsidRPr="00000000">
        <w:rPr>
          <w:color w:val="000000"/>
          <w:rtl w:val="0"/>
        </w:rPr>
        <w:t xml:space="preserve">.</w:t>
      </w:r>
      <w:r w:rsidDel="00000000" w:rsidR="00000000" w:rsidRPr="00000000">
        <w:rPr>
          <w:rtl w:val="0"/>
        </w:rPr>
      </w:r>
    </w:p>
    <w:bookmarkStart w:colFirst="0" w:colLast="0" w:name="bookmark=id.25b2l0r" w:id="66"/>
    <w:bookmarkEnd w:id="66"/>
    <w:p w:rsidR="00000000" w:rsidDel="00000000" w:rsidP="00000000" w:rsidRDefault="00000000" w:rsidRPr="00000000" w14:paraId="00000193">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OpenStreetMap. OpenStreetMap Foundation, </w:t>
      </w:r>
      <w:hyperlink r:id="rId41">
        <w:r w:rsidDel="00000000" w:rsidR="00000000" w:rsidRPr="00000000">
          <w:rPr>
            <w:color w:val="0000ff"/>
            <w:u w:val="single"/>
            <w:rtl w:val="0"/>
          </w:rPr>
          <w:t xml:space="preserve">https://www.openstreetmap.org/</w:t>
        </w:r>
      </w:hyperlink>
      <w:r w:rsidDel="00000000" w:rsidR="00000000" w:rsidRPr="00000000">
        <w:rPr>
          <w:color w:val="000000"/>
          <w:rtl w:val="0"/>
        </w:rPr>
        <w:t xml:space="preserve">.</w:t>
      </w:r>
      <w:r w:rsidDel="00000000" w:rsidR="00000000" w:rsidRPr="00000000">
        <w:rPr>
          <w:rtl w:val="0"/>
        </w:rPr>
      </w:r>
    </w:p>
    <w:bookmarkStart w:colFirst="0" w:colLast="0" w:name="bookmark=id.kgcv8k" w:id="67"/>
    <w:bookmarkEnd w:id="67"/>
    <w:p w:rsidR="00000000" w:rsidDel="00000000" w:rsidP="00000000" w:rsidRDefault="00000000" w:rsidRPr="00000000" w14:paraId="00000194">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PROJ. Open Source Geospatial Foundation, </w:t>
      </w:r>
      <w:hyperlink r:id="rId42">
        <w:r w:rsidDel="00000000" w:rsidR="00000000" w:rsidRPr="00000000">
          <w:rPr>
            <w:color w:val="0000ff"/>
            <w:u w:val="single"/>
            <w:rtl w:val="0"/>
          </w:rPr>
          <w:t xml:space="preserve">https://proj.org/index.html</w:t>
        </w:r>
      </w:hyperlink>
      <w:r w:rsidDel="00000000" w:rsidR="00000000" w:rsidRPr="00000000">
        <w:rPr>
          <w:color w:val="000000"/>
          <w:rtl w:val="0"/>
        </w:rPr>
        <w:t xml:space="preserve">.</w:t>
      </w:r>
      <w:r w:rsidDel="00000000" w:rsidR="00000000" w:rsidRPr="00000000">
        <w:rPr>
          <w:rtl w:val="0"/>
        </w:rPr>
      </w:r>
    </w:p>
    <w:bookmarkStart w:colFirst="0" w:colLast="0" w:name="bookmark=id.34g0dwd" w:id="68"/>
    <w:bookmarkEnd w:id="68"/>
    <w:p w:rsidR="00000000" w:rsidDel="00000000" w:rsidP="00000000" w:rsidRDefault="00000000" w:rsidRPr="00000000" w14:paraId="00000195">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TIGER Data Products, </w:t>
      </w:r>
      <w:hyperlink r:id="rId43">
        <w:r w:rsidDel="00000000" w:rsidR="00000000" w:rsidRPr="00000000">
          <w:rPr>
            <w:color w:val="0000ff"/>
            <w:u w:val="single"/>
            <w:rtl w:val="0"/>
          </w:rPr>
          <w:t xml:space="preserve">https://www.census.gov/programs-surveys/geography/guidance/tiger-data-products-guide.html</w:t>
        </w:r>
      </w:hyperlink>
      <w:r w:rsidDel="00000000" w:rsidR="00000000" w:rsidRPr="00000000">
        <w:rPr>
          <w:color w:val="000000"/>
          <w:rtl w:val="0"/>
        </w:rPr>
        <w:t xml:space="preserve">.</w:t>
      </w:r>
      <w:r w:rsidDel="00000000" w:rsidR="00000000" w:rsidRPr="00000000">
        <w:rPr>
          <w:rtl w:val="0"/>
        </w:rPr>
      </w:r>
    </w:p>
    <w:bookmarkStart w:colFirst="0" w:colLast="0" w:name="bookmark=id.1jlao46" w:id="69"/>
    <w:bookmarkEnd w:id="69"/>
    <w:p w:rsidR="00000000" w:rsidDel="00000000" w:rsidP="00000000" w:rsidRDefault="00000000" w:rsidRPr="00000000" w14:paraId="00000196">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Ripley B, Venables B, Bates DM, et al. MASS R Package, </w:t>
      </w:r>
      <w:hyperlink r:id="rId44">
        <w:r w:rsidDel="00000000" w:rsidR="00000000" w:rsidRPr="00000000">
          <w:rPr>
            <w:color w:val="0000ff"/>
            <w:u w:val="single"/>
            <w:rtl w:val="0"/>
          </w:rPr>
          <w:t xml:space="preserve">https://cran.r-project.org/web/packages/MASS/index.html</w:t>
        </w:r>
      </w:hyperlink>
      <w:r w:rsidDel="00000000" w:rsidR="00000000" w:rsidRPr="00000000">
        <w:rPr>
          <w:color w:val="000000"/>
          <w:rtl w:val="0"/>
        </w:rPr>
        <w:t xml:space="preserve">.</w:t>
      </w:r>
      <w:r w:rsidDel="00000000" w:rsidR="00000000" w:rsidRPr="00000000">
        <w:rPr>
          <w:rtl w:val="0"/>
        </w:rPr>
      </w:r>
    </w:p>
    <w:bookmarkStart w:colFirst="0" w:colLast="0" w:name="bookmark=id.43ky6rz" w:id="70"/>
    <w:bookmarkEnd w:id="70"/>
    <w:p w:rsidR="00000000" w:rsidDel="00000000" w:rsidP="00000000" w:rsidRDefault="00000000" w:rsidRPr="00000000" w14:paraId="00000197">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Lüdecke D, Makowski D, Mattan, Ben-Shachar S, et al. Easystats R Package Suite, </w:t>
      </w:r>
      <w:hyperlink r:id="rId45">
        <w:r w:rsidDel="00000000" w:rsidR="00000000" w:rsidRPr="00000000">
          <w:rPr>
            <w:color w:val="0000ff"/>
            <w:u w:val="single"/>
            <w:rtl w:val="0"/>
          </w:rPr>
          <w:t xml:space="preserve">https://easystats.github.io/easystats/</w:t>
        </w:r>
      </w:hyperlink>
      <w:r w:rsidDel="00000000" w:rsidR="00000000" w:rsidRPr="00000000">
        <w:rPr>
          <w:color w:val="000000"/>
          <w:rtl w:val="0"/>
        </w:rPr>
        <w:t xml:space="preserve">.</w:t>
      </w:r>
      <w:r w:rsidDel="00000000" w:rsidR="00000000" w:rsidRPr="00000000">
        <w:rPr>
          <w:rtl w:val="0"/>
        </w:rPr>
      </w:r>
    </w:p>
    <w:bookmarkStart w:colFirst="0" w:colLast="0" w:name="bookmark=id.2iq8gzs" w:id="71"/>
    <w:bookmarkEnd w:id="71"/>
    <w:p w:rsidR="00000000" w:rsidDel="00000000" w:rsidP="00000000" w:rsidRDefault="00000000" w:rsidRPr="00000000" w14:paraId="00000198">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Turman JE, Swigonski NL. Changing Systems That Influence Birth Outcomes in Marginalized Zip Codes. Pediatrics; 148. Epub ahead of print July 2021. DOI: </w:t>
      </w:r>
      <w:hyperlink r:id="rId46">
        <w:r w:rsidDel="00000000" w:rsidR="00000000" w:rsidRPr="00000000">
          <w:rPr>
            <w:color w:val="0000ff"/>
            <w:u w:val="single"/>
            <w:rtl w:val="0"/>
          </w:rPr>
          <w:t xml:space="preserve">10.1542/peds.2020-049651</w:t>
        </w:r>
      </w:hyperlink>
      <w:r w:rsidDel="00000000" w:rsidR="00000000" w:rsidRPr="00000000">
        <w:rPr>
          <w:color w:val="000000"/>
          <w:rtl w:val="0"/>
        </w:rPr>
        <w:t xml:space="preserve">.</w:t>
      </w:r>
      <w:r w:rsidDel="00000000" w:rsidR="00000000" w:rsidRPr="00000000">
        <w:rPr>
          <w:rtl w:val="0"/>
        </w:rPr>
      </w:r>
    </w:p>
    <w:bookmarkStart w:colFirst="0" w:colLast="0" w:name="bookmark=id.xvir7l" w:id="72"/>
    <w:bookmarkEnd w:id="72"/>
    <w:p w:rsidR="00000000" w:rsidDel="00000000" w:rsidP="00000000" w:rsidRDefault="00000000" w:rsidRPr="00000000" w14:paraId="00000199">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Chambers BD, Arabia SE, Arega HA, et al. </w:t>
      </w:r>
      <w:hyperlink r:id="rId47">
        <w:r w:rsidDel="00000000" w:rsidR="00000000" w:rsidRPr="00000000">
          <w:rPr>
            <w:color w:val="0000ff"/>
            <w:u w:val="single"/>
            <w:rtl w:val="0"/>
          </w:rPr>
          <w:t xml:space="preserve">Exposures to structural racism and racial discrimination among pregnant and early post-partum Black women living in Oakland, California</w:t>
        </w:r>
      </w:hyperlink>
      <w:r w:rsidDel="00000000" w:rsidR="00000000" w:rsidRPr="00000000">
        <w:rPr>
          <w:color w:val="000000"/>
          <w:rtl w:val="0"/>
        </w:rPr>
        <w:t xml:space="preserve">. Stress Health 2020; 36: 213–219.</w:t>
      </w:r>
      <w:r w:rsidDel="00000000" w:rsidR="00000000" w:rsidRPr="00000000">
        <w:rPr>
          <w:rtl w:val="0"/>
        </w:rPr>
      </w:r>
    </w:p>
    <w:bookmarkStart w:colFirst="0" w:colLast="0" w:name="bookmark=id.3hv69ve" w:id="73"/>
    <w:bookmarkEnd w:id="73"/>
    <w:p w:rsidR="00000000" w:rsidDel="00000000" w:rsidP="00000000" w:rsidRDefault="00000000" w:rsidRPr="00000000" w14:paraId="0000019A">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Bandoli G, Baer RJ, Owen M, et al. </w:t>
      </w:r>
      <w:hyperlink r:id="rId48">
        <w:r w:rsidDel="00000000" w:rsidR="00000000" w:rsidRPr="00000000">
          <w:rPr>
            <w:color w:val="0000ff"/>
            <w:u w:val="single"/>
            <w:rtl w:val="0"/>
          </w:rPr>
          <w:t xml:space="preserve">Maternal, infant, and environmental risk factors for sudden unexpected infant deaths: Results from a large, administrative cohort</w:t>
        </w:r>
      </w:hyperlink>
      <w:r w:rsidDel="00000000" w:rsidR="00000000" w:rsidRPr="00000000">
        <w:rPr>
          <w:color w:val="000000"/>
          <w:rtl w:val="0"/>
        </w:rPr>
        <w:t xml:space="preserve">. J Matern Fetal Neonatal Med 2022; 35: 8998–9005.</w:t>
      </w:r>
      <w:r w:rsidDel="00000000" w:rsidR="00000000" w:rsidRPr="00000000">
        <w:rPr>
          <w:rtl w:val="0"/>
        </w:rPr>
      </w:r>
    </w:p>
    <w:bookmarkStart w:colFirst="0" w:colLast="0" w:name="bookmark=id.1x0gk37" w:id="74"/>
    <w:bookmarkEnd w:id="74"/>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Johnson PJ, Oakes JM, Anderton DL. </w:t>
      </w:r>
      <w:hyperlink r:id="rId49">
        <w:r w:rsidDel="00000000" w:rsidR="00000000" w:rsidRPr="00000000">
          <w:rPr>
            <w:color w:val="0000ff"/>
            <w:u w:val="single"/>
            <w:rtl w:val="0"/>
          </w:rPr>
          <w:t xml:space="preserve">Neighborhood Poverty and American Indian Infant Death: Are The Effects Identifiable?</w:t>
        </w:r>
      </w:hyperlink>
      <w:r w:rsidDel="00000000" w:rsidR="00000000" w:rsidRPr="00000000">
        <w:rPr>
          <w:color w:val="000000"/>
          <w:rtl w:val="0"/>
        </w:rPr>
        <w:t xml:space="preserve"> Annals of Epidemiology 2008; 18: 552–559.</w:t>
      </w:r>
      <w:r w:rsidDel="00000000" w:rsidR="00000000" w:rsidRPr="00000000">
        <w:rPr>
          <w:rtl w:val="0"/>
        </w:rPr>
      </w:r>
    </w:p>
    <w:bookmarkStart w:colFirst="0" w:colLast="0" w:name="bookmark=id.4h042r0" w:id="75"/>
    <w:bookmarkEnd w:id="75"/>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Hearst MO, Oakes JM, Johnson PJ. </w:t>
      </w:r>
      <w:hyperlink r:id="rId50">
        <w:r w:rsidDel="00000000" w:rsidR="00000000" w:rsidRPr="00000000">
          <w:rPr>
            <w:color w:val="0000ff"/>
            <w:u w:val="single"/>
            <w:rtl w:val="0"/>
          </w:rPr>
          <w:t xml:space="preserve">The Effect of Racial Residential Segregation on Black Infant Mortality</w:t>
        </w:r>
      </w:hyperlink>
      <w:r w:rsidDel="00000000" w:rsidR="00000000" w:rsidRPr="00000000">
        <w:rPr>
          <w:color w:val="000000"/>
          <w:rtl w:val="0"/>
        </w:rPr>
        <w:t xml:space="preserve">. American Journal of Epidemiology 2008; 168: 1247–1254.</w:t>
      </w:r>
      <w:r w:rsidDel="00000000" w:rsidR="00000000" w:rsidRPr="00000000">
        <w:rPr>
          <w:rtl w:val="0"/>
        </w:rPr>
      </w:r>
    </w:p>
    <w:bookmarkStart w:colFirst="0" w:colLast="0" w:name="bookmark=id.2w5ecyt" w:id="76"/>
    <w:bookmarkEnd w:id="76"/>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Bazuin JT, Fraser JC. </w:t>
      </w:r>
      <w:hyperlink r:id="rId51">
        <w:r w:rsidDel="00000000" w:rsidR="00000000" w:rsidRPr="00000000">
          <w:rPr>
            <w:color w:val="0000ff"/>
            <w:u w:val="single"/>
            <w:rtl w:val="0"/>
          </w:rPr>
          <w:t xml:space="preserve">How the ACS gets it wrong: The story of the American Community Survey and a small, inner city neighborhood</w:t>
        </w:r>
      </w:hyperlink>
      <w:r w:rsidDel="00000000" w:rsidR="00000000" w:rsidRPr="00000000">
        <w:rPr>
          <w:color w:val="000000"/>
          <w:rtl w:val="0"/>
        </w:rPr>
        <w:t xml:space="preserve">. Applied Geography 2013; 45: 292–302.</w:t>
      </w:r>
      <w:r w:rsidDel="00000000" w:rsidR="00000000" w:rsidRPr="00000000">
        <w:rPr>
          <w:rtl w:val="0"/>
        </w:rPr>
      </w:r>
    </w:p>
    <w:bookmarkStart w:colFirst="0" w:colLast="0" w:name="bookmark=id.1baon6m" w:id="77"/>
    <w:bookmarkEnd w:id="77"/>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Bernardinelli L, Pascutto C, Best NG, et al. </w:t>
      </w:r>
      <w:hyperlink r:id="rId52">
        <w:r w:rsidDel="00000000" w:rsidR="00000000" w:rsidRPr="00000000">
          <w:rPr>
            <w:color w:val="0000ff"/>
            <w:u w:val="single"/>
            <w:rtl w:val="0"/>
          </w:rPr>
          <w:t xml:space="preserve">Disease mapping with errors in covariates</w:t>
        </w:r>
      </w:hyperlink>
      <w:r w:rsidDel="00000000" w:rsidR="00000000" w:rsidRPr="00000000">
        <w:rPr>
          <w:color w:val="000000"/>
          <w:rtl w:val="0"/>
        </w:rPr>
        <w:t xml:space="preserve">. Stat Med 1997; 16: 741–752.</w:t>
      </w:r>
      <w:r w:rsidDel="00000000" w:rsidR="00000000" w:rsidRPr="00000000">
        <w:rPr>
          <w:rtl w:val="0"/>
        </w:rPr>
      </w:r>
    </w:p>
    <w:bookmarkStart w:colFirst="0" w:colLast="0" w:name="bookmark=id.3vac5uf" w:id="78"/>
    <w:bookmarkEnd w:id="78"/>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Connor Donegan. Geostan R Package, </w:t>
      </w:r>
      <w:hyperlink r:id="rId53">
        <w:r w:rsidDel="00000000" w:rsidR="00000000" w:rsidRPr="00000000">
          <w:rPr>
            <w:color w:val="0000ff"/>
            <w:u w:val="single"/>
            <w:rtl w:val="0"/>
          </w:rPr>
          <w:t xml:space="preserve">https://connordonegan.github.io/geostan/</w:t>
        </w:r>
      </w:hyperlink>
      <w:r w:rsidDel="00000000" w:rsidR="00000000" w:rsidRPr="00000000">
        <w:rPr>
          <w:color w:val="000000"/>
          <w:rtl w:val="0"/>
        </w:rPr>
        <w:t xml:space="preserve">.</w:t>
      </w:r>
      <w:r w:rsidDel="00000000" w:rsidR="00000000" w:rsidRPr="00000000">
        <w:rPr>
          <w:rtl w:val="0"/>
        </w:rPr>
      </w:r>
    </w:p>
    <w:sectPr>
      <w:pgSz w:h="15840" w:w="12240" w:orient="portrait"/>
      <w:pgMar w:bottom="1440" w:top="1440" w:left="1800" w:right="18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85"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right"/>
      <w:pPr>
        <w:ind w:left="720" w:hanging="360"/>
      </w:pPr>
      <w:rPr/>
    </w:lvl>
    <w:lvl w:ilvl="1">
      <w:start w:val="1"/>
      <w:numFmt w:val="decimal"/>
      <w:lvlText w:val="%2."/>
      <w:lvlJc w:val="right"/>
      <w:pPr>
        <w:ind w:left="1080" w:hanging="360"/>
      </w:pPr>
      <w:rPr/>
    </w:lvl>
    <w:lvl w:ilvl="2">
      <w:start w:val="1"/>
      <w:numFmt w:val="decimal"/>
      <w:lvlText w:val="%3."/>
      <w:lvlJc w:val="right"/>
      <w:pPr>
        <w:ind w:left="1440" w:hanging="360"/>
      </w:pPr>
      <w:rPr/>
    </w:lvl>
    <w:lvl w:ilvl="3">
      <w:start w:val="1"/>
      <w:numFmt w:val="decimal"/>
      <w:lvlText w:val="%4."/>
      <w:lvlJc w:val="right"/>
      <w:pPr>
        <w:ind w:left="1800" w:hanging="360"/>
      </w:pPr>
      <w:rPr/>
    </w:lvl>
    <w:lvl w:ilvl="4">
      <w:start w:val="1"/>
      <w:numFmt w:val="decimal"/>
      <w:lvlText w:val="%5."/>
      <w:lvlJc w:val="right"/>
      <w:pPr>
        <w:ind w:left="2160" w:hanging="360"/>
      </w:pPr>
      <w:rPr/>
    </w:lvl>
    <w:lvl w:ilvl="5">
      <w:start w:val="1"/>
      <w:numFmt w:val="decimal"/>
      <w:lvlText w:val="%6."/>
      <w:lvlJc w:val="right"/>
      <w:pPr>
        <w:ind w:left="2520" w:hanging="360"/>
      </w:pPr>
      <w:rPr/>
    </w:lvl>
    <w:lvl w:ilvl="6">
      <w:start w:val="1"/>
      <w:numFmt w:val="decimal"/>
      <w:lvlText w:val="%7."/>
      <w:lvlJc w:val="right"/>
      <w:pPr>
        <w:ind w:left="2880" w:hanging="360"/>
      </w:pPr>
      <w:rPr/>
    </w:lvl>
    <w:lvl w:ilvl="7">
      <w:start w:val="1"/>
      <w:numFmt w:val="decimal"/>
      <w:lvlText w:val="%8."/>
      <w:lvlJc w:val="right"/>
      <w:pPr>
        <w:ind w:left="3240" w:hanging="360"/>
      </w:pPr>
      <w:rPr/>
    </w:lvl>
    <w:lvl w:ilvl="8">
      <w:start w:val="1"/>
      <w:numFmt w:val="decimal"/>
      <w:lvlText w:val="%9."/>
      <w:lvlJc w:val="righ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0A70D6"/>
    <w:pPr>
      <w:keepNext w:val="1"/>
      <w:keepLines w:val="1"/>
      <w:spacing w:before="480"/>
      <w:outlineLvl w:val="0"/>
    </w:pPr>
    <w:rPr>
      <w:rFonts w:asciiTheme="majorHAnsi" w:cstheme="majorBidi" w:eastAsiaTheme="majorEastAsia" w:hAnsiTheme="majorHAnsi"/>
      <w:b w:val="1"/>
      <w:bCs w:val="1"/>
      <w:color w:val="345a8a" w:themeColor="accent1" w:themeShade="0000B5"/>
      <w:sz w:val="32"/>
      <w:szCs w:val="32"/>
    </w:rPr>
  </w:style>
  <w:style w:type="paragraph" w:styleId="Heading2">
    <w:name w:val="heading 2"/>
    <w:basedOn w:val="Normal"/>
    <w:next w:val="Normal"/>
    <w:link w:val="Heading2Char"/>
    <w:uiPriority w:val="9"/>
    <w:unhideWhenUsed w:val="1"/>
    <w:qFormat w:val="1"/>
    <w:rsid w:val="00F255AE"/>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3A733F"/>
    <w:pPr>
      <w:keepNext w:val="1"/>
      <w:keepLines w:val="1"/>
      <w:spacing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037A74"/>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CommentReference">
    <w:name w:val="annotation reference"/>
    <w:basedOn w:val="DefaultParagraphFont"/>
    <w:uiPriority w:val="99"/>
    <w:semiHidden w:val="1"/>
    <w:unhideWhenUsed w:val="1"/>
    <w:qFormat w:val="1"/>
    <w:rsid w:val="00A4097A"/>
    <w:rPr>
      <w:sz w:val="18"/>
      <w:szCs w:val="18"/>
    </w:rPr>
  </w:style>
  <w:style w:type="character" w:styleId="CommentTextChar" w:customStyle="1">
    <w:name w:val="Comment Text Char"/>
    <w:basedOn w:val="DefaultParagraphFont"/>
    <w:link w:val="CommentText"/>
    <w:uiPriority w:val="99"/>
    <w:qFormat w:val="1"/>
    <w:rsid w:val="00A4097A"/>
  </w:style>
  <w:style w:type="character" w:styleId="CommentSubjectChar" w:customStyle="1">
    <w:name w:val="Comment Subject Char"/>
    <w:basedOn w:val="CommentTextChar"/>
    <w:link w:val="CommentSubject"/>
    <w:uiPriority w:val="99"/>
    <w:semiHidden w:val="1"/>
    <w:qFormat w:val="1"/>
    <w:rsid w:val="00A4097A"/>
    <w:rPr>
      <w:b w:val="1"/>
      <w:bCs w:val="1"/>
      <w:sz w:val="20"/>
      <w:szCs w:val="20"/>
    </w:rPr>
  </w:style>
  <w:style w:type="character" w:styleId="BalloonTextChar" w:customStyle="1">
    <w:name w:val="Balloon Text Char"/>
    <w:basedOn w:val="DefaultParagraphFont"/>
    <w:link w:val="BalloonText"/>
    <w:uiPriority w:val="99"/>
    <w:semiHidden w:val="1"/>
    <w:qFormat w:val="1"/>
    <w:rsid w:val="00A4097A"/>
    <w:rPr>
      <w:rFonts w:ascii="Lucida Grande" w:hAnsi="Lucida Grande"/>
      <w:sz w:val="18"/>
      <w:szCs w:val="18"/>
    </w:rPr>
  </w:style>
  <w:style w:type="character" w:styleId="Heading2Char" w:customStyle="1">
    <w:name w:val="Heading 2 Char"/>
    <w:basedOn w:val="DefaultParagraphFont"/>
    <w:link w:val="Heading2"/>
    <w:uiPriority w:val="9"/>
    <w:qFormat w:val="1"/>
    <w:rsid w:val="00F255AE"/>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qFormat w:val="1"/>
    <w:rsid w:val="003A733F"/>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qFormat w:val="1"/>
    <w:rsid w:val="00037A74"/>
    <w:rPr>
      <w:rFonts w:asciiTheme="majorHAnsi" w:cstheme="majorBidi" w:eastAsiaTheme="majorEastAsia" w:hAnsiTheme="majorHAnsi"/>
      <w:b w:val="1"/>
      <w:bCs w:val="1"/>
      <w:i w:val="1"/>
      <w:iCs w:val="1"/>
      <w:color w:val="4f81bd" w:themeColor="accent1"/>
    </w:rPr>
  </w:style>
  <w:style w:type="character" w:styleId="Hyperlink">
    <w:name w:val="Hyperlink"/>
    <w:basedOn w:val="DefaultParagraphFont"/>
    <w:uiPriority w:val="99"/>
    <w:unhideWhenUsed w:val="1"/>
    <w:rsid w:val="00944E43"/>
    <w:rPr>
      <w:color w:val="0000ff" w:themeColor="hyperlink"/>
      <w:u w:val="single"/>
    </w:rPr>
  </w:style>
  <w:style w:type="character" w:styleId="FollowedHyperlink">
    <w:name w:val="FollowedHyperlink"/>
    <w:basedOn w:val="DefaultParagraphFont"/>
    <w:uiPriority w:val="99"/>
    <w:semiHidden w:val="1"/>
    <w:unhideWhenUsed w:val="1"/>
    <w:rsid w:val="00944E43"/>
    <w:rPr>
      <w:color w:val="800080" w:themeColor="followedHyperlink"/>
      <w:u w:val="single"/>
    </w:rPr>
  </w:style>
  <w:style w:type="character" w:styleId="Heading1Char" w:customStyle="1">
    <w:name w:val="Heading 1 Char"/>
    <w:basedOn w:val="DefaultParagraphFont"/>
    <w:link w:val="Heading1"/>
    <w:uiPriority w:val="9"/>
    <w:qFormat w:val="1"/>
    <w:rsid w:val="000A70D6"/>
    <w:rPr>
      <w:rFonts w:asciiTheme="majorHAnsi" w:cstheme="majorBidi" w:eastAsiaTheme="majorEastAsia" w:hAnsiTheme="majorHAnsi"/>
      <w:b w:val="1"/>
      <w:bCs w:val="1"/>
      <w:color w:val="345a8a" w:themeColor="accent1" w:themeShade="0000B5"/>
      <w:sz w:val="32"/>
      <w:szCs w:val="32"/>
    </w:rPr>
  </w:style>
  <w:style w:type="character" w:styleId="DocumentMapChar" w:customStyle="1">
    <w:name w:val="Document Map Char"/>
    <w:basedOn w:val="DefaultParagraphFont"/>
    <w:link w:val="DocumentMap"/>
    <w:uiPriority w:val="99"/>
    <w:semiHidden w:val="1"/>
    <w:qFormat w:val="1"/>
    <w:rsid w:val="00DF27B9"/>
    <w:rPr>
      <w:rFonts w:ascii="Lucida Grande" w:cs="Lucida Grande" w:hAnsi="Lucida Grande"/>
    </w:rPr>
  </w:style>
  <w:style w:type="character" w:styleId="StrongEmphasis" w:customStyle="1">
    <w:name w:val="Strong Emphasis"/>
    <w:qFormat w:val="1"/>
    <w:rPr>
      <w:b w:val="1"/>
      <w:bCs w:val="1"/>
    </w:rPr>
  </w:style>
  <w:style w:type="character" w:styleId="NumberingSymbols" w:customStyle="1">
    <w:name w:val="Numbering Symbols"/>
    <w:qFormat w:val="1"/>
  </w:style>
  <w:style w:type="character" w:styleId="Bullets" w:customStyle="1">
    <w:name w:val="Bullets"/>
    <w:qFormat w:val="1"/>
    <w:rPr>
      <w:rFonts w:ascii="OpenSymbol" w:cs="OpenSymbol" w:eastAsia="OpenSymbol" w:hAnsi="OpenSymbol"/>
    </w:rPr>
  </w:style>
  <w:style w:type="paragraph" w:styleId="Heading" w:customStyle="1">
    <w:name w:val="Heading"/>
    <w:basedOn w:val="Normal"/>
    <w:next w:val="BodyText"/>
    <w:qFormat w:val="1"/>
    <w:pPr>
      <w:keepNext w:val="1"/>
      <w:spacing w:after="120" w:before="240"/>
    </w:pPr>
    <w:rPr>
      <w:rFonts w:ascii="Liberation Sans" w:cs="Free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rPr>
  </w:style>
  <w:style w:type="paragraph" w:styleId="Index" w:customStyle="1">
    <w:name w:val="Index"/>
    <w:basedOn w:val="Normal"/>
    <w:qFormat w:val="1"/>
    <w:pPr>
      <w:suppressLineNumbers w:val="1"/>
    </w:pPr>
    <w:rPr>
      <w:rFonts w:cs="FreeSans"/>
    </w:rPr>
  </w:style>
  <w:style w:type="paragraph" w:styleId="CommentText">
    <w:name w:val="annotation text"/>
    <w:basedOn w:val="Normal"/>
    <w:link w:val="CommentTextChar"/>
    <w:uiPriority w:val="99"/>
    <w:unhideWhenUsed w:val="1"/>
    <w:qFormat w:val="1"/>
    <w:rsid w:val="00A4097A"/>
  </w:style>
  <w:style w:type="paragraph" w:styleId="CommentSubject">
    <w:name w:val="annotation subject"/>
    <w:basedOn w:val="CommentText"/>
    <w:next w:val="CommentText"/>
    <w:link w:val="CommentSubjectChar"/>
    <w:uiPriority w:val="99"/>
    <w:semiHidden w:val="1"/>
    <w:unhideWhenUsed w:val="1"/>
    <w:qFormat w:val="1"/>
    <w:rsid w:val="00A4097A"/>
    <w:rPr>
      <w:b w:val="1"/>
      <w:bCs w:val="1"/>
      <w:sz w:val="20"/>
      <w:szCs w:val="20"/>
    </w:rPr>
  </w:style>
  <w:style w:type="paragraph" w:styleId="BalloonText">
    <w:name w:val="Balloon Text"/>
    <w:basedOn w:val="Normal"/>
    <w:link w:val="BalloonTextChar"/>
    <w:uiPriority w:val="99"/>
    <w:semiHidden w:val="1"/>
    <w:unhideWhenUsed w:val="1"/>
    <w:qFormat w:val="1"/>
    <w:rsid w:val="00A4097A"/>
    <w:rPr>
      <w:rFonts w:ascii="Lucida Grande" w:hAnsi="Lucida Grande"/>
      <w:sz w:val="18"/>
      <w:szCs w:val="18"/>
    </w:rPr>
  </w:style>
  <w:style w:type="paragraph" w:styleId="ListParagraph">
    <w:name w:val="List Paragraph"/>
    <w:basedOn w:val="Normal"/>
    <w:uiPriority w:val="34"/>
    <w:qFormat w:val="1"/>
    <w:rsid w:val="003B0DF8"/>
    <w:pPr>
      <w:ind w:left="720"/>
      <w:contextualSpacing w:val="1"/>
    </w:pPr>
  </w:style>
  <w:style w:type="paragraph" w:styleId="DocumentMap">
    <w:name w:val="Document Map"/>
    <w:basedOn w:val="Normal"/>
    <w:link w:val="DocumentMapChar"/>
    <w:uiPriority w:val="99"/>
    <w:semiHidden w:val="1"/>
    <w:unhideWhenUsed w:val="1"/>
    <w:qFormat w:val="1"/>
    <w:rsid w:val="00DF27B9"/>
    <w:rPr>
      <w:rFonts w:ascii="Lucida Grande" w:cs="Lucida Grande" w:hAnsi="Lucida Grande"/>
    </w:r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ableContents" w:customStyle="1">
    <w:name w:val="Table Contents"/>
    <w:basedOn w:val="Normal"/>
    <w:qFormat w:val="1"/>
    <w:pPr>
      <w:widowControl w:val="0"/>
      <w:suppressLineNumbers w:val="1"/>
    </w:pPr>
  </w:style>
  <w:style w:type="paragraph" w:styleId="TableHeading" w:customStyle="1">
    <w:name w:val="Table Heading"/>
    <w:basedOn w:val="TableContents"/>
    <w:qFormat w:val="1"/>
    <w:pPr>
      <w:jc w:val="center"/>
    </w:pPr>
    <w:rPr>
      <w:b w:val="1"/>
      <w:bCs w:val="1"/>
    </w:rPr>
  </w:style>
  <w:style w:type="paragraph" w:styleId="PreformattedText" w:customStyle="1">
    <w:name w:val="Preformatted Text"/>
    <w:basedOn w:val="Normal"/>
    <w:qFormat w:val="1"/>
    <w:rPr>
      <w:rFonts w:ascii="Liberation Mono" w:cs="Liberation Mono" w:eastAsia="Liberation Mono" w:hAnsi="Liberation Mono"/>
      <w:sz w:val="20"/>
      <w:szCs w:val="20"/>
    </w:rPr>
  </w:style>
  <w:style w:type="paragraph" w:styleId="Bibliography">
    <w:name w:val="Bibliography"/>
    <w:basedOn w:val="Normal"/>
    <w:qFormat w:val="1"/>
  </w:style>
  <w:style w:type="table" w:styleId="TableGrid">
    <w:name w:val="Table Grid"/>
    <w:basedOn w:val="TableNormal"/>
    <w:uiPriority w:val="59"/>
    <w:rsid w:val="00F55EE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opencagedata.com/" TargetMode="External"/><Relationship Id="rId42" Type="http://schemas.openxmlformats.org/officeDocument/2006/relationships/hyperlink" Target="https://proj.org/index.html" TargetMode="External"/><Relationship Id="rId41" Type="http://schemas.openxmlformats.org/officeDocument/2006/relationships/hyperlink" Target="https://www.openstreetmap.org/" TargetMode="External"/><Relationship Id="rId44" Type="http://schemas.openxmlformats.org/officeDocument/2006/relationships/hyperlink" Target="https://cran.r-project.org/web/packages/MASS/index.html" TargetMode="External"/><Relationship Id="rId43" Type="http://schemas.openxmlformats.org/officeDocument/2006/relationships/hyperlink" Target="https://www.census.gov/programs-surveys/geography/guidance/tiger-data-products-guide.html" TargetMode="External"/><Relationship Id="rId46" Type="http://schemas.openxmlformats.org/officeDocument/2006/relationships/hyperlink" Target="https://doi.org/10.1542/peds.2020-049651" TargetMode="External"/><Relationship Id="rId45" Type="http://schemas.openxmlformats.org/officeDocument/2006/relationships/hyperlink" Target="https://easystats.github.io/easysta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48" Type="http://schemas.openxmlformats.org/officeDocument/2006/relationships/hyperlink" Target="https://doi.org/10.1080/14767058.2021.2008899" TargetMode="External"/><Relationship Id="rId47" Type="http://schemas.openxmlformats.org/officeDocument/2006/relationships/hyperlink" Target="https://doi.org/10.1002/smi.2922" TargetMode="External"/><Relationship Id="rId49" Type="http://schemas.openxmlformats.org/officeDocument/2006/relationships/hyperlink" Target="https://doi.org/10.1016/j.annepidem.2008.02.007"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ata.cityofchicago.org/Facilities-Geographic-Boundaries/Boundaries-Community-Areas-current-/cauq-8yn6" TargetMode="External"/><Relationship Id="rId8" Type="http://schemas.openxmlformats.org/officeDocument/2006/relationships/image" Target="media/image2.png"/><Relationship Id="rId31" Type="http://schemas.openxmlformats.org/officeDocument/2006/relationships/hyperlink" Target="https://r-spatial.github.io/sf/index.html" TargetMode="External"/><Relationship Id="rId30" Type="http://schemas.openxmlformats.org/officeDocument/2006/relationships/hyperlink" Target="https://www.danieldsjoberg.com/gtsummary/" TargetMode="External"/><Relationship Id="rId33" Type="http://schemas.openxmlformats.org/officeDocument/2006/relationships/hyperlink" Target="https://r-tmap.github.io/tmap/" TargetMode="External"/><Relationship Id="rId32" Type="http://schemas.openxmlformats.org/officeDocument/2006/relationships/hyperlink" Target="https://rstudio.github.io/leaflet/" TargetMode="External"/><Relationship Id="rId35" Type="http://schemas.openxmlformats.org/officeDocument/2006/relationships/hyperlink" Target="https://cran.rstudio.com/web/packages/tigris/" TargetMode="External"/><Relationship Id="rId34" Type="http://schemas.openxmlformats.org/officeDocument/2006/relationships/hyperlink" Target="https://docs.ropensci.org/opencage/index.html" TargetMode="External"/><Relationship Id="rId37" Type="http://schemas.openxmlformats.org/officeDocument/2006/relationships/hyperlink" Target="https://gdal.org/" TargetMode="External"/><Relationship Id="rId36" Type="http://schemas.openxmlformats.org/officeDocument/2006/relationships/hyperlink" Target="https://github.com/CartoDB/basemap-styles" TargetMode="External"/><Relationship Id="rId39" Type="http://schemas.openxmlformats.org/officeDocument/2006/relationships/hyperlink" Target="https://leafletjs.com/" TargetMode="External"/><Relationship Id="rId38" Type="http://schemas.openxmlformats.org/officeDocument/2006/relationships/hyperlink" Target="https://libgeos.org/" TargetMode="External"/><Relationship Id="rId20" Type="http://schemas.openxmlformats.org/officeDocument/2006/relationships/hyperlink" Target="https://www.proquest.com/docview/222957277/abstract/1892CA4013C14090PQ/1" TargetMode="External"/><Relationship Id="rId22" Type="http://schemas.openxmlformats.org/officeDocument/2006/relationships/hyperlink" Target="https://doi.org/10.1016/0160-8002(81)90004-6" TargetMode="External"/><Relationship Id="rId21" Type="http://schemas.openxmlformats.org/officeDocument/2006/relationships/hyperlink" Target="https://doi.org/10.1016/S0140-6736(18)32741-7" TargetMode="External"/><Relationship Id="rId24" Type="http://schemas.openxmlformats.org/officeDocument/2006/relationships/hyperlink" Target="https://www.atsdr.cdc.gov/placeandhealth/svi/index.html" TargetMode="External"/><Relationship Id="rId23" Type="http://schemas.openxmlformats.org/officeDocument/2006/relationships/hyperlink" Target="https://www.census.gov/programs-surveys/acs/" TargetMode="External"/><Relationship Id="rId26" Type="http://schemas.openxmlformats.org/officeDocument/2006/relationships/hyperlink" Target="https://sfirke.github.io/janitor/" TargetMode="External"/><Relationship Id="rId25" Type="http://schemas.openxmlformats.org/officeDocument/2006/relationships/hyperlink" Target="https://www.tidyverse.org/" TargetMode="External"/><Relationship Id="rId28" Type="http://schemas.openxmlformats.org/officeDocument/2006/relationships/hyperlink" Target="https://docs.ropensci.org/targets/" TargetMode="External"/><Relationship Id="rId27" Type="http://schemas.openxmlformats.org/officeDocument/2006/relationships/hyperlink" Target="https://cran.r-project.org/web/packages/RSocrata/index.html" TargetMode="External"/><Relationship Id="rId29" Type="http://schemas.openxmlformats.org/officeDocument/2006/relationships/hyperlink" Target="https://gt.rstudio.com/" TargetMode="External"/><Relationship Id="rId51" Type="http://schemas.openxmlformats.org/officeDocument/2006/relationships/hyperlink" Target="https://doi.org/10.1016/j.apgeog.2013.08.013" TargetMode="External"/><Relationship Id="rId50" Type="http://schemas.openxmlformats.org/officeDocument/2006/relationships/hyperlink" Target="https://doi.org/10.1093/aje/kwn291" TargetMode="External"/><Relationship Id="rId53" Type="http://schemas.openxmlformats.org/officeDocument/2006/relationships/hyperlink" Target="https://connordonegan.github.io/geostan/" TargetMode="External"/><Relationship Id="rId52" Type="http://schemas.openxmlformats.org/officeDocument/2006/relationships/hyperlink" Target="https://doi.org/10.1002/(sici)1097-0258(19970415)16:7%3c741::aid-sim501%3e3.0.co;2-1" TargetMode="External"/><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4.png"/><Relationship Id="rId15" Type="http://schemas.openxmlformats.org/officeDocument/2006/relationships/hyperlink" Target="https://doi.org/10.1542/peds.2017-3651" TargetMode="External"/><Relationship Id="rId14" Type="http://schemas.openxmlformats.org/officeDocument/2006/relationships/hyperlink" Target="https://safetosleep.nichd.nih.gov/safesleepbasics/SIDS/Common" TargetMode="External"/><Relationship Id="rId17" Type="http://schemas.openxmlformats.org/officeDocument/2006/relationships/hyperlink" Target="https://doi.org/10.1186/s40621-019-0203-1" TargetMode="External"/><Relationship Id="rId16" Type="http://schemas.openxmlformats.org/officeDocument/2006/relationships/hyperlink" Target="http://vizhub.healthdata.org/gbd-compare" TargetMode="External"/><Relationship Id="rId19" Type="http://schemas.openxmlformats.org/officeDocument/2006/relationships/hyperlink" Target="https://digitalcommons.unmc.edu/cgi/viewcontent.cgi?article=1001&amp;context=emet_posters" TargetMode="External"/><Relationship Id="rId18" Type="http://schemas.openxmlformats.org/officeDocument/2006/relationships/hyperlink" Target="https://doi.org/10.1097/PAF.00000000000004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RHaO/e8nxvy8aTgO2VLSz8gKQ==">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2023-05-16T19:17:00Z</dcterms:created>
  <dc:creator>Carmen</dc:creator>
</cp:coreProperties>
</file>