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6A4E"/>
          <w:sz w:val="36"/>
          <w:szCs w:val="36"/>
        </w:rPr>
        <w:t xml:space="preserve">JIJIGA EXPRESS DELIVERY SERVICE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Systems Analysis &amp; Senior Technical Product Management Report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Project / Applet ID</w:t>
            </w:r>
          </w:p>
        </w:tc>
        <w:tc>
          <w:p>
            <w:r>
              <w:rPr>
                <w:sz w:val="20"/>
                <w:szCs w:val="20"/>
              </w:rPr>
              <w:t xml:space="preserve">jijiga-express-delivery-service (1f63c62a-8c1b-4f72-a44a-bdfb0854f9b2)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Target Firebase Project</w:t>
            </w:r>
          </w:p>
        </w:tc>
        <w:tc>
          <w:p>
            <w:r>
              <w:rPr>
                <w:sz w:val="20"/>
                <w:szCs w:val="20"/>
              </w:rPr>
              <w:t xml:space="preserve">sunny-discipline-hvd6f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Cloud Firestore Database</w:t>
            </w:r>
          </w:p>
        </w:tc>
        <w:tc>
          <w:p>
            <w:r>
              <w:rPr>
                <w:sz w:val="20"/>
                <w:szCs w:val="20"/>
              </w:rPr>
              <w:t xml:space="preserve">ai-studio-remixjijigaexpre-729909c5-f38a-4c4a-8d31-a10d6eb77286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Production Target Host</w:t>
            </w:r>
          </w:p>
        </w:tc>
        <w:tc>
          <w:p>
            <w:r>
              <w:rPr>
                <w:sz w:val="20"/>
                <w:szCs w:val="20"/>
              </w:rPr>
              <w:t xml:space="preserve">https://jijiga-express-delivery-service.vercel.app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Operational Locale</w:t>
            </w:r>
          </w:p>
        </w:tc>
        <w:tc>
          <w:p>
            <w:r>
              <w:rPr>
                <w:sz w:val="20"/>
                <w:szCs w:val="20"/>
              </w:rPr>
              <w:t xml:space="preserve">Jijiga City &amp; Somali Region, Ethiopia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 &amp; Verification Status</w:t>
            </w:r>
          </w:p>
        </w:tc>
        <w:tc>
          <w:p>
            <w:r>
              <w:rPr>
                <w:sz w:val="20"/>
                <w:szCs w:val="20"/>
              </w:rPr>
              <w:t xml:space="preserve">October 2026 | Verified Codebase State (Build &amp; 7/7 Tests Passing)</w:t>
            </w:r>
          </w:p>
        </w:tc>
      </w:tr>
    </w:tbl>
    <w:p>
      <w:pPr>
        <w:spacing w:after="300"/>
      </w:pPr>
    </w:p>
    <w:p>
      <w:pPr>
        <w:pStyle w:val="Heading1"/>
        <w:spacing w:after="120" w:before="240"/>
      </w:pPr>
      <w:r>
        <w:rPr>
          <w:b/>
          <w:bCs/>
          <w:color w:val="006A4E"/>
          <w:sz w:val="26"/>
          <w:szCs w:val="26"/>
        </w:rPr>
        <w:t xml:space="preserve">1. WORKSPACE PIPELINE &amp; RECENT ACTIVITIES</w:t>
      </w:r>
    </w:p>
    <w:p>
      <w:pPr>
        <w:pStyle w:val="Heading2"/>
        <w:spacing w:after="80" w:before="180"/>
      </w:pPr>
      <w:r>
        <w:rPr>
          <w:b/>
          <w:bCs/>
          <w:sz w:val="22"/>
          <w:szCs w:val="22"/>
        </w:rPr>
        <w:t xml:space="preserve">Telegram Bot Integration Track</w:t>
      </w:r>
    </w:p>
    <w:p>
      <w:pPr>
        <w:spacing w:after="120"/>
      </w:pPr>
      <w:r>
        <w:rPr>
          <w:b/>
          <w:bCs/>
        </w:rPr>
        <w:t xml:space="preserve">Status: Awaiting Engineering Specification / External Service Track.
</w:t>
      </w:r>
      <w:r>
        <w:t xml:space="preserve">A thorough audit across the codebase (src/, package.json, and root configurations) verifies that no client-side Telegram bot scripts or webhook endpoints are bundled into the frontend React/Vite distribution. To safely operate a Telegram dispatch channel without credential leakage:
• Environment Configuration: Runtime environment variables (TELEGRAM_BOT_TOKEN, TELEGRAM_WEBHOOK_SECRET, APP_SERVICE_URL) must reside strictly on a secure backend service (e.g. Node/Express or Cloud Functions) and never be prefixed with VITE_.
• Backend Webhook Mapping: The incoming payload route (POST /api/webhooks/telegram) must authenticate using the X-Telegram-Bot-Api-Secret-Token header before parsing messages.
• Dispatch Pipeline: A server-side listener queries Firestore for orders in PENDING or READY_FOR_RIDER states, formatting actionable dispatch notifications (pickup landmark, destination Kebele, payout in ETB, and one-tap driver accept callback).</w:t>
      </w:r>
    </w:p>
    <w:p>
      <w:pPr>
        <w:pStyle w:val="Heading2"/>
        <w:spacing w:after="80" w:before="180"/>
      </w:pPr>
      <w:r>
        <w:rPr>
          <w:b/>
          <w:bCs/>
          <w:sz w:val="22"/>
          <w:szCs w:val="22"/>
        </w:rPr>
        <w:t xml:space="preserve">Repository Status &amp; Local Test Suite</w:t>
      </w:r>
    </w:p>
    <w:p>
      <w:pPr>
        <w:spacing w:after="120"/>
      </w:pPr>
      <w:r>
        <w:t xml:space="preserve">• Framework &amp; Tools: React 19, TypeScript 5.8, Vite 6, Tailwind CSS v4, Capacitor v8 for Android compilation.
• Typecheck Suite: "npm run typecheck" (tsc --noEmit) validates cleanly with 0 type errors.
• Unit Regression Suite: "npm test" executes scripts/unit-regression.mjs, passing all 7/7 critical assertions covering EEU electricity principal isolation (75 ETB fee vs 1500 ETB utility principal), food merchant payout separation, Marhaba taxi/moto tariffs, 13-digit meter number validation, and strict 5-phase EEU custody state transitions.</w:t>
      </w:r>
    </w:p>
    <w:p>
      <w:pPr>
        <w:pStyle w:val="Heading2"/>
        <w:spacing w:after="80" w:before="180"/>
      </w:pPr>
      <w:r>
        <w:rPr>
          <w:b/>
          <w:bCs/>
          <w:sz w:val="22"/>
          <w:szCs w:val="22"/>
        </w:rPr>
        <w:t xml:space="preserve">Role of Emulator-Based Testing Safety Reviews</w:t>
      </w:r>
    </w:p>
    <w:p>
      <w:pPr>
        <w:spacing w:after="160"/>
      </w:pPr>
      <w:r>
        <w:t xml:space="preserve">To protect production data integrity in database "ai-studio-remixjijigaexpre-729909c5-f38a-4c4a-8d31-a10d6eb77286", rules verification is routed through local Firebase Auth and Firestore emulators ("npm run test:rules"). This verifies that unauthorized role transitions, invalid tariffs, and fabricated driver assignments are rejected without touching live user records or live driver queues.</w:t>
      </w:r>
    </w:p>
    <w:p>
      <w:pPr>
        <w:pStyle w:val="Heading1"/>
        <w:spacing w:after="120" w:before="240"/>
      </w:pPr>
      <w:r>
        <w:rPr>
          <w:b/>
          <w:bCs/>
          <w:color w:val="006A4E"/>
          <w:sz w:val="26"/>
          <w:szCs w:val="26"/>
        </w:rPr>
        <w:t xml:space="preserve">2. CORE SYSTEM ARCHITECTURE &amp; DATA STRUCTURES</w:t>
      </w:r>
    </w:p>
    <w:p>
      <w:pPr>
        <w:pStyle w:val="Heading2"/>
        <w:spacing w:after="80" w:before="180"/>
      </w:pPr>
      <w:r>
        <w:rPr>
          <w:b/>
          <w:bCs/>
          <w:sz w:val="22"/>
          <w:szCs w:val="22"/>
        </w:rPr>
        <w:t xml:space="preserve">Multi-Role Identity Framework (RBAC)</w:t>
      </w:r>
    </w:p>
    <w:p>
      <w:pPr>
        <w:spacing w:after="120"/>
      </w:pPr>
      <w:r>
        <w:t xml:space="preserve">Access control is partitioned into five distinct operational roles:
1. CUSTOMER: Can create orders with status PENDING, view personal orders where customerId == auth.uid, and file disputes.
2. MAMILA (Merchant): Vendor role restricted to modifying product batches owned by their mamilaId and confirming preparation (VERIFIED_READY).
3. RUNNER: Hyperlocal market picker who claims orders, coordinates batch assembly at stalls, and transfers custody to riders.
4. RIDER: Logistics courier (motorcycle/bajaj or taxi) who accepts assigned deliveries, transitions order status across in-transit milestones, and collects cash on delivery.
5. ADMIN: Platform operators with allowlisted emails (andualemawraris4@gmail.com, etc.) authorized to audit accounts, manage users, and reconcile ledger accounts.</w:t>
      </w:r>
    </w:p>
    <w:p>
      <w:pPr>
        <w:pStyle w:val="Heading2"/>
        <w:spacing w:after="80" w:before="180"/>
      </w:pPr>
      <w:r>
        <w:rPr>
          <w:b/>
          <w:bCs/>
          <w:sz w:val="22"/>
          <w:szCs w:val="22"/>
        </w:rPr>
        <w:t xml:space="preserve">Atomic Transaction Processing Chain</w:t>
      </w:r>
    </w:p>
    <w:p>
      <w:pPr>
        <w:spacing w:after="160"/>
      </w:pPr>
      <w:r>
        <w:t xml:space="preserve">During peak morning market periods, simultaneous orders for limited inventory batches can cause severe race conditions. The system resolves this via Firestore native runTransaction in orderTransactionService.ts:
1. Concurrent Read Phase: Atomically locks and reads both doc(orders, orderId) and doc(batches, batchId).
2. Pre-condition Validation: Verifies that order does not already exist and batch.available &gt;= order.quantity.
3. Atomic Writes: Updates batch available stock (available - quantity), creates the order document, and writes an immutable audit record in inventoryReservations/{orderId} with action "RESERVE".
4. Cancellation &amp; Reversal: Order cancellations in valid statuses atomically restore batch inventory and record a "RELEASE" action.</w:t>
      </w:r>
    </w:p>
    <w:p>
      <w:pPr>
        <w:pStyle w:val="Heading1"/>
        <w:spacing w:after="120" w:before="240"/>
      </w:pPr>
      <w:r>
        <w:rPr>
          <w:b/>
          <w:bCs/>
          <w:color w:val="006A4E"/>
          <w:sz w:val="26"/>
          <w:szCs w:val="26"/>
        </w:rPr>
        <w:t xml:space="preserve">3. STRATEGIC BOTTLENECKS &amp; BLOCKING ARCHITECTURAL ISSUES</w:t>
      </w:r>
    </w:p>
    <w:p>
      <w:pPr>
        <w:pStyle w:val="Heading2"/>
        <w:spacing w:after="80" w:before="180"/>
      </w:pPr>
      <w:r>
        <w:rPr>
          <w:b/>
          <w:bCs/>
          <w:sz w:val="22"/>
          <w:szCs w:val="22"/>
        </w:rPr>
        <w:t xml:space="preserve">Checkout Permissions &amp; Security Rule Mismatches</w:t>
      </w:r>
    </w:p>
    <w:p>
      <w:pPr>
        <w:spacing w:after="120"/>
      </w:pPr>
      <w:r>
        <w:t xml:space="preserve">Previous "Missing or insufficient permissions" exceptions were diagnosed as a contract mismatch between the customer client and firestore.rules:
• The UI submitted ride requests with digital payment flags (paymentStatus: PAYMENT_PENDING) and speculative driver details.
• Firestore rules explicitly validate ride orders (validRideOrder) requiring paymentMethod == "COD", paymentStatus == "UNPAID", and fixed verified tariffs (283 ETB for Taxi, 136 ETB for Moto).
• Resolution: The customer booking flow now initiates purely as a ride request (rideStatus: REQUESTED, COD/UNPAID), leaving driver matching to the rider dispatch workflow.</w:t>
      </w:r>
    </w:p>
    <w:p>
      <w:pPr>
        <w:pStyle w:val="Heading2"/>
        <w:spacing w:after="80" w:before="180"/>
      </w:pPr>
      <w:r>
        <w:rPr>
          <w:b/>
          <w:bCs/>
          <w:sz w:val="22"/>
          <w:szCs w:val="22"/>
        </w:rPr>
        <w:t xml:space="preserve">Regional Payment Gateway Integration (Telebirr &amp; CBE Birr)</w:t>
      </w:r>
    </w:p>
    <w:p>
      <w:pPr>
        <w:spacing w:after="120"/>
      </w:pPr>
      <w:r>
        <w:t xml:space="preserve">Transitioning from manual offline Cash on Delivery (COD) to automated settlement requires dedicated backend infrastructure:
• Webhook Ingestion: Secure endpoints (POST /api/payments/telebirr/notify and /api/payments/cbe-birr/callback).
• Cryptographic Signature Verification: RSA/AES decryption for Telebirr and HMAC-SHA256 for CBE Birr.
• Idempotency Collection: Persisting payment transaction numbers in idempotencyKeys/{txnId} to prevent double-crediting.
• Specification Status: Awaiting Engineering Specification for official merchant API credentials.</w:t>
      </w:r>
    </w:p>
    <w:p>
      <w:pPr>
        <w:pStyle w:val="Heading2"/>
        <w:spacing w:after="80" w:before="180"/>
      </w:pPr>
      <w:r>
        <w:rPr>
          <w:b/>
          <w:bCs/>
          <w:sz w:val="22"/>
          <w:szCs w:val="22"/>
        </w:rPr>
        <w:t xml:space="preserve">Mid-Checkout Stock Depletion &amp; Catalog Sync</w:t>
      </w:r>
    </w:p>
    <w:p>
      <w:pPr>
        <w:spacing w:after="160"/>
      </w:pPr>
      <w:r>
        <w:t xml:space="preserve">When high-demand items (e.g. Abo Mismar fresh leaf) run out mid-checkout, the Firestore transaction safely aborts. However, client-side modals require live onSnapshot subscriptions to display real-time stock warnings and prevent customer frustration upon clicking checkout.</w:t>
      </w:r>
    </w:p>
    <w:p>
      <w:pPr>
        <w:pStyle w:val="Heading1"/>
        <w:spacing w:after="120" w:before="240"/>
      </w:pPr>
      <w:r>
        <w:rPr>
          <w:b/>
          <w:bCs/>
          <w:color w:val="006A4E"/>
          <w:sz w:val="26"/>
          <w:szCs w:val="26"/>
        </w:rPr>
        <w:t xml:space="preserve">4. REGIONAL OPERATIONAL METRICS &amp; LOGISTICS MAP</w:t>
      </w:r>
    </w:p>
    <w:p>
      <w:pPr>
        <w:pStyle w:val="Heading2"/>
        <w:spacing w:after="80" w:before="180"/>
      </w:pPr>
      <w:r>
        <w:rPr>
          <w:b/>
          <w:bCs/>
          <w:sz w:val="22"/>
          <w:szCs w:val="22"/>
        </w:rPr>
        <w:t xml:space="preserve">Jijiga City Layout Constraints &amp; Tariff Calculation</w:t>
      </w:r>
    </w:p>
    <w:p>
      <w:pPr>
        <w:spacing w:after="120"/>
      </w:pPr>
      <w:r>
        <w:t xml:space="preserve">Jijiga City spans 20 Kebele zones characterized by landmark-based navigation:
• Kebele 04: Central Plaza &amp; Commercial Core (Lat 9.3562, Lng 42.8002)
• Taiwan Commercial Market Hub (m4): High-density trade zone (Lat 9.3580, Lng 42.7980)
• Arada Sector (m2): Central food and bakery depot (Lat 9.3510, Lng 42.7915)
• Sheger Depot (m3): Southern perimeter dairy &amp; cold-chain (Lat 9.3470, Lng 42.8045)
• North Greenbelt (m1): Agricultural and fresh produce intake (Lat 9.3620, Lng 42.8020)
Tariffs are computed using the Haversine distance formula with simulated street doglegs, base dispatch fees, and per-km vehicle multipliers.</w:t>
      </w:r>
    </w:p>
    <w:p>
      <w:pPr>
        <w:pStyle w:val="Heading2"/>
        <w:spacing w:after="80" w:before="180"/>
      </w:pPr>
      <w:r>
        <w:rPr>
          <w:b/>
          <w:bCs/>
          <w:sz w:val="22"/>
          <w:szCs w:val="22"/>
        </w:rPr>
        <w:t xml:space="preserve">4-Phase Execution Priority Checklist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 &amp; Deliverables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Phase 1</w:t>
            </w:r>
          </w:p>
        </w:tc>
        <w:tc>
          <w:p>
            <w:r>
              <w:rPr>
                <w:sz w:val="19"/>
                <w:szCs w:val="19"/>
              </w:rPr>
              <w:t xml:space="preserve">Core Transaction &amp; Security Integrity (Firestore rules parity, atomic stock reservations, test suite 7/7 passing)</w:t>
            </w:r>
          </w:p>
        </w:tc>
        <w:tc>
          <w:p>
            <w:r>
              <w:rPr>
                <w:b/>
                <w:bCs/>
                <w:color w:val="006A4E"/>
                <w:sz w:val="19"/>
                <w:szCs w:val="19"/>
              </w:rPr>
              <w:t xml:space="preserve">VERIFIED &amp; ACTIVE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Phase 2</w:t>
            </w:r>
          </w:p>
        </w:tc>
        <w:tc>
          <w:p>
            <w:r>
              <w:rPr>
                <w:sz w:val="19"/>
                <w:szCs w:val="19"/>
              </w:rPr>
              <w:t xml:space="preserve">Hyperlocal Dispatch &amp; Real-Time Logistics (Kebele 01-20 boundaries, zone-based dynamic tariff matrices, EEU custody proof)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IN PROGRESS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Phase 3</w:t>
            </w:r>
          </w:p>
        </w:tc>
        <w:tc>
          <w:p>
            <w:r>
              <w:rPr>
                <w:sz w:val="19"/>
                <w:szCs w:val="19"/>
              </w:rPr>
              <w:t xml:space="preserve">Regional Digital Payments &amp; Webhooks (Telebirr &amp; CBE Birr server endpoints, RSA/HMAC verification, idempotency records)</w:t>
            </w:r>
          </w:p>
        </w:tc>
        <w:tc>
          <w:p>
            <w:r>
              <w:rPr>
                <w:sz w:val="19"/>
                <w:szCs w:val="19"/>
              </w:rPr>
              <w:t xml:space="preserve">Awaiting Engineering Spec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Phase 4</w:t>
            </w:r>
          </w:p>
        </w:tc>
        <w:tc>
          <w:p>
            <w:r>
              <w:rPr>
                <w:sz w:val="19"/>
                <w:szCs w:val="19"/>
              </w:rPr>
              <w:t xml:space="preserve">Operational Automation &amp; Telegram Track (Server-side bot webhook, driver dispatch broadcast queue, admin reconciliation)</w:t>
            </w:r>
          </w:p>
        </w:tc>
        <w:tc>
          <w:p>
            <w:r>
              <w:rPr>
                <w:sz w:val="19"/>
                <w:szCs w:val="19"/>
              </w:rPr>
              <w:t xml:space="preserve">Awaiting Engineering Spec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color w:val="64748B"/>
          <w:sz w:val="18"/>
          <w:szCs w:val="18"/>
        </w:rPr>
        <w:t xml:space="preserve">— End of Report | Generated for Jijiga Express Delivery Service Engineering &amp; Product Operations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2026-10-26T16:38:23.019Z</dcterms:created>
  <dcterms:modified xsi:type="dcterms:W3CDTF">2026-10-26T16:38:23.019Z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