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03B3A"/>
          <w:sz w:val="30"/>
        </w:rPr>
        <w:t>Transformando Territorios</w:t>
      </w:r>
    </w:p>
    <w:p>
      <w:pPr>
        <w:spacing w:after="140"/>
      </w:pPr>
      <w:r>
        <w:rPr>
          <w:rFonts w:ascii="Calibri" w:hAnsi="Calibri"/>
          <w:b/>
          <w:color w:val="555555"/>
          <w:sz w:val="19"/>
        </w:rPr>
        <w:t>Viernes 4 de septiembre de 2026  |  10:00 a. m.  |  San Adolfo, Acevedo - Huila</w:t>
      </w:r>
    </w:p>
    <w:p>
      <w:pPr>
        <w:spacing w:after="140"/>
      </w:pPr>
      <w:r>
        <w:rPr>
          <w:rFonts w:ascii="Calibri" w:hAnsi="Calibri"/>
          <w:color w:val="252525"/>
          <w:sz w:val="19"/>
        </w:rPr>
        <w:t>Ruta propuesta de 10:00 a. m. a 1:00 p. m. Confirmar antes de iniciar el orden y tema de cada persona invitada.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2140"/>
        <w:gridCol w:w="3320"/>
        <w:gridCol w:w="2650"/>
      </w:tblGrid>
      <w:tr>
        <w:trPr>
          <w:cantSplit/>
          <w:tblHeader w:val="true"/>
          <w:cantSplit/>
        </w:trP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ED"/>
            <w:tcBorders>
              <w:top w:val="single" w:sz="6" w:space="0" w:color="CBD5D2"/>
              <w:start w:val="single" w:sz="6" w:space="0" w:color="CBD5D2"/>
              <w:bottom w:val="single" w:sz="6" w:space="0" w:color="CBD5D2"/>
              <w:end w:val="single" w:sz="6" w:space="0" w:color="CBD5D2"/>
              <w:insideH w:val="single" w:sz="6" w:space="0" w:color="CBD5D2"/>
              <w:insideV w:val="single" w:sz="6" w:space="0" w:color="CBD5D2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03B3A"/>
                <w:sz w:val="18"/>
              </w:rPr>
              <w:t>Hora</w:t>
            </w:r>
          </w:p>
        </w:tc>
        <w:tc>
          <w:tcPr>
            <w:tcW w:type="dxa" w:w="21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ED"/>
            <w:tcBorders>
              <w:top w:val="single" w:sz="6" w:space="0" w:color="CBD5D2"/>
              <w:start w:val="single" w:sz="6" w:space="0" w:color="CBD5D2"/>
              <w:bottom w:val="single" w:sz="6" w:space="0" w:color="CBD5D2"/>
              <w:end w:val="single" w:sz="6" w:space="0" w:color="CBD5D2"/>
              <w:insideH w:val="single" w:sz="6" w:space="0" w:color="CBD5D2"/>
              <w:insideV w:val="single" w:sz="6" w:space="0" w:color="CBD5D2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03B3A"/>
                <w:sz w:val="18"/>
              </w:rPr>
              <w:t>Momento</w:t>
            </w:r>
          </w:p>
        </w:tc>
        <w:tc>
          <w:tcPr>
            <w:tcW w:type="dxa" w:w="3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ED"/>
            <w:tcBorders>
              <w:top w:val="single" w:sz="6" w:space="0" w:color="CBD5D2"/>
              <w:start w:val="single" w:sz="6" w:space="0" w:color="CBD5D2"/>
              <w:bottom w:val="single" w:sz="6" w:space="0" w:color="CBD5D2"/>
              <w:end w:val="single" w:sz="6" w:space="0" w:color="CBD5D2"/>
              <w:insideH w:val="single" w:sz="6" w:space="0" w:color="CBD5D2"/>
              <w:insideV w:val="single" w:sz="6" w:space="0" w:color="CBD5D2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03B3A"/>
                <w:sz w:val="18"/>
              </w:rPr>
              <w:t>Qué hacer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ED"/>
            <w:tcBorders>
              <w:top w:val="single" w:sz="6" w:space="0" w:color="CBD5D2"/>
              <w:start w:val="single" w:sz="6" w:space="0" w:color="CBD5D2"/>
              <w:bottom w:val="single" w:sz="6" w:space="0" w:color="CBD5D2"/>
              <w:end w:val="single" w:sz="6" w:space="0" w:color="CBD5D2"/>
              <w:insideH w:val="single" w:sz="6" w:space="0" w:color="CBD5D2"/>
              <w:insideV w:val="single" w:sz="6" w:space="0" w:color="CBD5D2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03B3A"/>
                <w:sz w:val="18"/>
              </w:rPr>
              <w:t>No olvidar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10:00-10:10</w:t>
            </w:r>
          </w:p>
        </w:tc>
        <w:tc>
          <w:tcPr>
            <w:tcW w:type="dxa" w:w="214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52525"/>
                <w:sz w:val="16"/>
              </w:rPr>
              <w:t>Apertura</w:t>
            </w:r>
          </w:p>
        </w:tc>
        <w:tc>
          <w:tcPr>
            <w:tcW w:type="dxa" w:w="332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Bienvenida, propósito, ruta y dos acuerdos de participación.</w:t>
            </w:r>
          </w:p>
        </w:tc>
        <w:tc>
          <w:tcPr>
            <w:tcW w:type="dxa" w:w="265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Nombrar la Cátedra Social Solidaria y el tema central.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10:10-10:30</w:t>
            </w:r>
          </w:p>
        </w:tc>
        <w:tc>
          <w:tcPr>
            <w:tcW w:type="dxa" w:w="214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52525"/>
                <w:sz w:val="16"/>
              </w:rPr>
              <w:t>Clima y resiliencia</w:t>
            </w:r>
          </w:p>
        </w:tc>
        <w:tc>
          <w:tcPr>
            <w:tcW w:type="dxa" w:w="332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Aporte experto sobre adaptación local y resiliencia comunitaria.</w:t>
            </w:r>
          </w:p>
        </w:tc>
        <w:tc>
          <w:tcPr>
            <w:tcW w:type="dxa" w:w="265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Pedir un ejemplo relacionado con San Adolfo o Acevedo.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10:30-10:50</w:t>
            </w:r>
          </w:p>
        </w:tc>
        <w:tc>
          <w:tcPr>
            <w:tcW w:type="dxa" w:w="214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52525"/>
                <w:sz w:val="16"/>
              </w:rPr>
              <w:t>Sistemas de Información Geográfica</w:t>
            </w:r>
          </w:p>
        </w:tc>
        <w:tc>
          <w:tcPr>
            <w:tcW w:type="dxa" w:w="332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Explicar cómo los SIG apoyan monitoreo y prospección climática.</w:t>
            </w:r>
          </w:p>
        </w:tc>
        <w:tc>
          <w:tcPr>
            <w:tcW w:type="dxa" w:w="265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Conectar mapas, datos y decisiones territoriales.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10:50-11:05</w:t>
            </w:r>
          </w:p>
        </w:tc>
        <w:tc>
          <w:tcPr>
            <w:tcW w:type="dxa" w:w="214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52525"/>
                <w:sz w:val="16"/>
              </w:rPr>
              <w:t>Jóvenes de Ambiente - CAM</w:t>
            </w:r>
          </w:p>
        </w:tc>
        <w:tc>
          <w:tcPr>
            <w:tcW w:type="dxa" w:w="332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Presentar la estrategia y opciones de participación juvenil.</w:t>
            </w:r>
          </w:p>
        </w:tc>
        <w:tc>
          <w:tcPr>
            <w:tcW w:type="dxa" w:w="265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Dejar clara una ruta de vinculación o contacto.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11:05-11:15</w:t>
            </w:r>
          </w:p>
        </w:tc>
        <w:tc>
          <w:tcPr>
            <w:tcW w:type="dxa" w:w="214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52525"/>
                <w:sz w:val="16"/>
              </w:rPr>
              <w:t>Preguntas</w:t>
            </w:r>
          </w:p>
        </w:tc>
        <w:tc>
          <w:tcPr>
            <w:tcW w:type="dxa" w:w="332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Recoger dos o tres preguntas juveniles y moderar respuestas breves.</w:t>
            </w:r>
          </w:p>
        </w:tc>
        <w:tc>
          <w:tcPr>
            <w:tcW w:type="dxa" w:w="265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Relacionar las respuestas con el territorio.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11:15-11:25</w:t>
            </w:r>
          </w:p>
        </w:tc>
        <w:tc>
          <w:tcPr>
            <w:tcW w:type="dxa" w:w="214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52525"/>
                <w:sz w:val="16"/>
              </w:rPr>
              <w:t>Pausa y montaje</w:t>
            </w:r>
          </w:p>
        </w:tc>
        <w:tc>
          <w:tcPr>
            <w:tcW w:type="dxa" w:w="332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Organizar grupos y abrir el simulador en 2026.</w:t>
            </w:r>
          </w:p>
        </w:tc>
        <w:tc>
          <w:tcPr>
            <w:tcW w:type="dxa" w:w="265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Probar imagen, internet y respaldo local.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11:25-11:40</w:t>
            </w:r>
          </w:p>
        </w:tc>
        <w:tc>
          <w:tcPr>
            <w:tcW w:type="dxa" w:w="214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52525"/>
                <w:sz w:val="16"/>
              </w:rPr>
              <w:t>Café 2035</w:t>
            </w:r>
          </w:p>
        </w:tc>
        <w:tc>
          <w:tcPr>
            <w:tcW w:type="dxa" w:w="332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Explicar línea temporal, leyenda, indicadores y expansión cafetera estimada.</w:t>
            </w:r>
          </w:p>
        </w:tc>
        <w:tc>
          <w:tcPr>
            <w:tcW w:type="dxa" w:w="265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No es una predicción de predios ni una autorización.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11:40-12:10</w:t>
            </w:r>
          </w:p>
        </w:tc>
        <w:tc>
          <w:tcPr>
            <w:tcW w:type="dxa" w:w="214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52525"/>
                <w:sz w:val="16"/>
              </w:rPr>
              <w:t>Exploración</w:t>
            </w:r>
          </w:p>
        </w:tc>
        <w:tc>
          <w:tcPr>
            <w:tcW w:type="dxa" w:w="332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En grupos, comparar 2026, 2030 y 2035 y anotar dos cambios.</w:t>
            </w:r>
          </w:p>
        </w:tc>
        <w:tc>
          <w:tcPr>
            <w:tcW w:type="dxa" w:w="265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Mirar mapa e indicadores; pausar en cada fecha.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12:10-12:30</w:t>
            </w:r>
          </w:p>
        </w:tc>
        <w:tc>
          <w:tcPr>
            <w:tcW w:type="dxa" w:w="214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52525"/>
                <w:sz w:val="16"/>
              </w:rPr>
              <w:t>Impactos</w:t>
            </w:r>
          </w:p>
        </w:tc>
        <w:tc>
          <w:tcPr>
            <w:tcW w:type="dxa" w:w="332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Elegir agua, suelo, biodiversidad, clima o emisiones y priorizar un efecto.</w:t>
            </w:r>
          </w:p>
        </w:tc>
        <w:tc>
          <w:tcPr>
            <w:tcW w:type="dxa" w:w="265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Distinguir dato, experiencia local y pregunta por verificar.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12:30-12:50</w:t>
            </w:r>
          </w:p>
        </w:tc>
        <w:tc>
          <w:tcPr>
            <w:tcW w:type="dxa" w:w="214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52525"/>
                <w:sz w:val="16"/>
              </w:rPr>
              <w:t>Acción juvenil</w:t>
            </w:r>
          </w:p>
        </w:tc>
        <w:tc>
          <w:tcPr>
            <w:tcW w:type="dxa" w:w="332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Definir problema, acción, aliado, primer paso e indicador sencillo.</w:t>
            </w:r>
          </w:p>
        </w:tc>
        <w:tc>
          <w:tcPr>
            <w:tcW w:type="dxa" w:w="265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La acción debe poder iniciar en tres meses.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12:50-1:00</w:t>
            </w:r>
          </w:p>
        </w:tc>
        <w:tc>
          <w:tcPr>
            <w:tcW w:type="dxa" w:w="214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52525"/>
                <w:sz w:val="16"/>
              </w:rPr>
              <w:t>Cierre</w:t>
            </w:r>
          </w:p>
        </w:tc>
        <w:tc>
          <w:tcPr>
            <w:tcW w:type="dxa" w:w="332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Un minuto por grupo; acordar enlace, próximo paso y evaluación rápida.</w:t>
            </w:r>
          </w:p>
        </w:tc>
        <w:tc>
          <w:tcPr>
            <w:tcW w:type="dxa" w:w="2650"/>
            <w:tcBorders>
              <w:top w:val="single" w:sz="5" w:space="0" w:color="CBD5D2"/>
              <w:start w:val="single" w:sz="5" w:space="0" w:color="CBD5D2"/>
              <w:bottom w:val="single" w:sz="5" w:space="0" w:color="CBD5D2"/>
              <w:end w:val="single" w:sz="5" w:space="0" w:color="CBD5D2"/>
              <w:insideH w:val="single" w:sz="5" w:space="0" w:color="CBD5D2"/>
              <w:insideV w:val="single" w:sz="5" w:space="0" w:color="CBD5D2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6"/>
              </w:rPr>
              <w:t>Cerrar a tiempo y recoger todas las fichas.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rFonts w:ascii="Calibri" w:hAnsi="Calibri"/>
          <w:b/>
          <w:color w:val="203B3A"/>
          <w:sz w:val="22"/>
        </w:rPr>
        <w:t>Antes de empezar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8940"/>
      </w:tblGrid>
      <w:tr>
        <w:trPr>
          <w:cantSplit/>
        </w:trPr>
        <w:tc>
          <w:tcPr>
            <w:tcW w:type="dxa" w:w="420"/>
            <w:tcBorders>
              <w:top w:val="single" w:sz="0" w:space="0" w:color="FFFFFF"/>
              <w:start w:val="single" w:sz="0" w:space="0" w:color="FFFFFF"/>
              <w:bottom w:val="single" w:sz="0" w:space="0" w:color="FFFFFF"/>
              <w:end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F6B57"/>
                <w:sz w:val="22"/>
              </w:rPr>
              <w:t>☐</w:t>
            </w:r>
          </w:p>
        </w:tc>
        <w:tc>
          <w:tcPr>
            <w:tcW w:type="dxa" w:w="8940"/>
            <w:tcBorders>
              <w:top w:val="single" w:sz="0" w:space="0" w:color="FFFFFF"/>
              <w:start w:val="single" w:sz="0" w:space="0" w:color="FFFFFF"/>
              <w:bottom w:val="single" w:sz="0" w:space="0" w:color="FFFFFF"/>
              <w:end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52525"/>
                <w:sz w:val="18"/>
              </w:rPr>
              <w:t>Confirmar hora de cierre, orden de intervenciones y quién controla el tiempo.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sz="0" w:space="0" w:color="FFFFFF"/>
              <w:start w:val="single" w:sz="0" w:space="0" w:color="FFFFFF"/>
              <w:bottom w:val="single" w:sz="0" w:space="0" w:color="FFFFFF"/>
              <w:end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F6B57"/>
                <w:sz w:val="22"/>
              </w:rPr>
              <w:t>☐</w:t>
            </w:r>
          </w:p>
        </w:tc>
        <w:tc>
          <w:tcPr>
            <w:tcW w:type="dxa" w:w="8940"/>
            <w:tcBorders>
              <w:top w:val="single" w:sz="0" w:space="0" w:color="FFFFFF"/>
              <w:start w:val="single" w:sz="0" w:space="0" w:color="FFFFFF"/>
              <w:bottom w:val="single" w:sz="0" w:space="0" w:color="FFFFFF"/>
              <w:end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52525"/>
                <w:sz w:val="18"/>
              </w:rPr>
              <w:t>Tener listo computador, cargador, proyector, sonido, extensión y adaptadores.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sz="0" w:space="0" w:color="FFFFFF"/>
              <w:start w:val="single" w:sz="0" w:space="0" w:color="FFFFFF"/>
              <w:bottom w:val="single" w:sz="0" w:space="0" w:color="FFFFFF"/>
              <w:end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F6B57"/>
                <w:sz w:val="22"/>
              </w:rPr>
              <w:t>☐</w:t>
            </w:r>
          </w:p>
        </w:tc>
        <w:tc>
          <w:tcPr>
            <w:tcW w:type="dxa" w:w="8940"/>
            <w:tcBorders>
              <w:top w:val="single" w:sz="0" w:space="0" w:color="FFFFFF"/>
              <w:start w:val="single" w:sz="0" w:space="0" w:color="FFFFFF"/>
              <w:bottom w:val="single" w:sz="0" w:space="0" w:color="FFFFFF"/>
              <w:end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52525"/>
                <w:sz w:val="18"/>
              </w:rPr>
              <w:t>Abrir el simulador y comprobar Play, pausa, línea temporal, cauces, municipios e indicadores.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sz="0" w:space="0" w:color="FFFFFF"/>
              <w:start w:val="single" w:sz="0" w:space="0" w:color="FFFFFF"/>
              <w:bottom w:val="single" w:sz="0" w:space="0" w:color="FFFFFF"/>
              <w:end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F6B57"/>
                <w:sz w:val="22"/>
              </w:rPr>
              <w:t>☐</w:t>
            </w:r>
          </w:p>
        </w:tc>
        <w:tc>
          <w:tcPr>
            <w:tcW w:type="dxa" w:w="8940"/>
            <w:tcBorders>
              <w:top w:val="single" w:sz="0" w:space="0" w:color="FFFFFF"/>
              <w:start w:val="single" w:sz="0" w:space="0" w:color="FFFFFF"/>
              <w:bottom w:val="single" w:sz="0" w:space="0" w:color="FFFFFF"/>
              <w:end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52525"/>
                <w:sz w:val="18"/>
              </w:rPr>
              <w:t>Tener a mano el respaldo local y capturas impresas de 2026, 2030 y 2035.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sz="0" w:space="0" w:color="FFFFFF"/>
              <w:start w:val="single" w:sz="0" w:space="0" w:color="FFFFFF"/>
              <w:bottom w:val="single" w:sz="0" w:space="0" w:color="FFFFFF"/>
              <w:end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F6B57"/>
                <w:sz w:val="22"/>
              </w:rPr>
              <w:t>☐</w:t>
            </w:r>
          </w:p>
        </w:tc>
        <w:tc>
          <w:tcPr>
            <w:tcW w:type="dxa" w:w="8940"/>
            <w:tcBorders>
              <w:top w:val="single" w:sz="0" w:space="0" w:color="FFFFFF"/>
              <w:start w:val="single" w:sz="0" w:space="0" w:color="FFFFFF"/>
              <w:bottom w:val="single" w:sz="0" w:space="0" w:color="FFFFFF"/>
              <w:end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52525"/>
                <w:sz w:val="18"/>
              </w:rPr>
              <w:t>Separar fichas, marcadores y materiales por grupo; definir relatoría y vocerías.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sz="0" w:space="0" w:color="FFFFFF"/>
              <w:start w:val="single" w:sz="0" w:space="0" w:color="FFFFFF"/>
              <w:bottom w:val="single" w:sz="0" w:space="0" w:color="FFFFFF"/>
              <w:end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F6B57"/>
                <w:sz w:val="22"/>
              </w:rPr>
              <w:t>☐</w:t>
            </w:r>
          </w:p>
        </w:tc>
        <w:tc>
          <w:tcPr>
            <w:tcW w:type="dxa" w:w="8940"/>
            <w:tcBorders>
              <w:top w:val="single" w:sz="0" w:space="0" w:color="FFFFFF"/>
              <w:start w:val="single" w:sz="0" w:space="0" w:color="FFFFFF"/>
              <w:bottom w:val="single" w:sz="0" w:space="0" w:color="FFFFFF"/>
              <w:end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52525"/>
                <w:sz w:val="18"/>
              </w:rPr>
              <w:t>Acordar quién toma fotografías y verificar las autorizaciones correspondientes.</w:t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color w:val="203B3A"/>
          <w:sz w:val="22"/>
        </w:rPr>
        <w:t>Durante el simulador</w:t>
      </w:r>
    </w:p>
    <w:p>
      <w:pPr>
        <w:numPr>
          <w:ilvl w:val="0"/>
          <w:numId w:val="11"/>
        </w:numPr>
        <w:spacing w:after="40" w:line="240" w:lineRule="auto"/>
      </w:pPr>
      <w:r>
        <w:rPr>
          <w:rFonts w:ascii="Calibri" w:hAnsi="Calibri"/>
          <w:color w:val="252525"/>
          <w:sz w:val="18"/>
        </w:rPr>
        <w:t>Detenerse en 2026: pedir dos rasgos del escenario inicial.</w:t>
      </w:r>
    </w:p>
    <w:p>
      <w:pPr>
        <w:numPr>
          <w:ilvl w:val="0"/>
          <w:numId w:val="11"/>
        </w:numPr>
        <w:spacing w:after="40" w:line="240" w:lineRule="auto"/>
      </w:pPr>
      <w:r>
        <w:rPr>
          <w:rFonts w:ascii="Calibri" w:hAnsi="Calibri"/>
          <w:color w:val="252525"/>
          <w:sz w:val="18"/>
        </w:rPr>
        <w:t>Avanzar a 2030: preguntar qué cambió en el mapa y en las barras de salud territorial.</w:t>
      </w:r>
    </w:p>
    <w:p>
      <w:pPr>
        <w:numPr>
          <w:ilvl w:val="0"/>
          <w:numId w:val="11"/>
        </w:numPr>
        <w:spacing w:after="40" w:line="240" w:lineRule="auto"/>
      </w:pPr>
      <w:r>
        <w:rPr>
          <w:rFonts w:ascii="Calibri" w:hAnsi="Calibri"/>
          <w:color w:val="252525"/>
          <w:sz w:val="18"/>
        </w:rPr>
        <w:t>Llegar a 2035: identificar el efecto más importante y a quién puede afectar.</w:t>
      </w:r>
    </w:p>
    <w:p>
      <w:pPr>
        <w:numPr>
          <w:ilvl w:val="0"/>
          <w:numId w:val="11"/>
        </w:numPr>
        <w:spacing w:after="40" w:line="240" w:lineRule="auto"/>
      </w:pPr>
      <w:r>
        <w:rPr>
          <w:rFonts w:ascii="Calibri" w:hAnsi="Calibri"/>
          <w:color w:val="252525"/>
          <w:sz w:val="18"/>
        </w:rPr>
        <w:t>Contrastar: separar estimación del simulador, experiencia local y pregunta que requiere verificación.</w:t>
      </w:r>
    </w:p>
    <w:p>
      <w:pPr>
        <w:numPr>
          <w:ilvl w:val="0"/>
          <w:numId w:val="11"/>
        </w:numPr>
        <w:spacing w:after="40" w:line="240" w:lineRule="auto"/>
      </w:pPr>
      <w:r>
        <w:rPr>
          <w:rFonts w:ascii="Calibri" w:hAnsi="Calibri"/>
          <w:color w:val="252525"/>
          <w:sz w:val="18"/>
        </w:rPr>
        <w:t>Convertir el hallazgo en acción: problema + acción + aliado + primer paso + indicador.</w:t>
      </w:r>
    </w:p>
    <w:p>
      <w:pPr>
        <w:spacing w:before="120" w:after="60"/>
      </w:pPr>
      <w:r>
        <w:rPr>
          <w:rFonts w:ascii="Calibri" w:hAnsi="Calibri"/>
          <w:b/>
          <w:color w:val="203B3A"/>
          <w:sz w:val="22"/>
        </w:rPr>
        <w:t>Frases que no se deben olvidar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EAF2ED"/>
            <w:tcBorders>
              <w:top w:val="single" w:sz="6" w:space="0" w:color="2F6B57"/>
              <w:start w:val="single" w:sz="6" w:space="0" w:color="2F6B57"/>
              <w:bottom w:val="single" w:sz="6" w:space="0" w:color="2F6B57"/>
              <w:end w:val="single" w:sz="6" w:space="0" w:color="2F6B57"/>
              <w:insideH w:val="single" w:sz="6" w:space="0" w:color="2F6B57"/>
              <w:insideV w:val="single" w:sz="6" w:space="0" w:color="2F6B5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03B3A"/>
                <w:sz w:val="18"/>
              </w:rPr>
              <w:t xml:space="preserve">AL PRESENTAR EL SIMULADOR  </w:t>
            </w:r>
            <w:r>
              <w:rPr>
                <w:rFonts w:ascii="Calibri" w:hAnsi="Calibri"/>
                <w:color w:val="252525"/>
                <w:sz w:val="18"/>
              </w:rPr>
              <w:t>Este es un escenario didáctico estimado. No predice el futuro de un predio ni autoriza expansión agrícola.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3DE"/>
            <w:tcBorders>
              <w:top w:val="single" w:sz="6" w:space="0" w:color="2F6B57"/>
              <w:start w:val="single" w:sz="6" w:space="0" w:color="2F6B57"/>
              <w:bottom w:val="single" w:sz="6" w:space="0" w:color="2F6B57"/>
              <w:end w:val="single" w:sz="6" w:space="0" w:color="2F6B57"/>
              <w:insideH w:val="single" w:sz="6" w:space="0" w:color="2F6B57"/>
              <w:insideV w:val="single" w:sz="6" w:space="0" w:color="2F6B5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03B3A"/>
                <w:sz w:val="18"/>
              </w:rPr>
              <w:t xml:space="preserve">AL PASAR A LA ACCIÓN  </w:t>
            </w:r>
            <w:r>
              <w:rPr>
                <w:rFonts w:ascii="Calibri" w:hAnsi="Calibri"/>
                <w:color w:val="252525"/>
                <w:sz w:val="18"/>
              </w:rPr>
              <w:t>No buscamos resolver todo hoy; buscamos un primer paso que pueda comenzar en los próximos tres meses.</w:t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color w:val="203B3A"/>
          <w:sz w:val="22"/>
        </w:rPr>
        <w:t>Si el tiempo se atrasa</w:t>
      </w:r>
    </w:p>
    <w:p>
      <w:pPr>
        <w:spacing w:after="80"/>
      </w:pPr>
      <w:r>
        <w:rPr>
          <w:rFonts w:ascii="Calibri" w:hAnsi="Calibri"/>
          <w:color w:val="252525"/>
          <w:sz w:val="18"/>
        </w:rPr>
        <w:t>Proteger como mínimo 60 minutos finales: 10 min de explicación, 20 min de exploración, 15 min de impactos, 10 min de acción y 5 min de cierre. Reducir preguntas plenarias; no eliminar el cierre.</w:t>
      </w:r>
    </w:p>
    <w:p>
      <w:pPr>
        <w:spacing w:before="120" w:after="60"/>
      </w:pPr>
      <w:r>
        <w:rPr>
          <w:rFonts w:ascii="Calibri" w:hAnsi="Calibri"/>
          <w:b/>
          <w:color w:val="203B3A"/>
          <w:sz w:val="22"/>
        </w:rPr>
        <w:t>Contingencias rápidas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8940"/>
      </w:tblGrid>
      <w:tr>
        <w:trPr>
          <w:cantSplit/>
        </w:trPr>
        <w:tc>
          <w:tcPr>
            <w:tcW w:type="dxa" w:w="420"/>
            <w:tcBorders>
              <w:top w:val="single" w:sz="0" w:space="0" w:color="FFFFFF"/>
              <w:start w:val="single" w:sz="0" w:space="0" w:color="FFFFFF"/>
              <w:bottom w:val="single" w:sz="0" w:space="0" w:color="FFFFFF"/>
              <w:end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F6B57"/>
                <w:sz w:val="22"/>
              </w:rPr>
              <w:t>☐</w:t>
            </w:r>
          </w:p>
        </w:tc>
        <w:tc>
          <w:tcPr>
            <w:tcW w:type="dxa" w:w="8940"/>
            <w:tcBorders>
              <w:top w:val="single" w:sz="0" w:space="0" w:color="FFFFFF"/>
              <w:start w:val="single" w:sz="0" w:space="0" w:color="FFFFFF"/>
              <w:bottom w:val="single" w:sz="0" w:space="0" w:color="FFFFFF"/>
              <w:end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52525"/>
                <w:sz w:val="18"/>
              </w:rPr>
              <w:t>Sin internet: usar el respaldo local; el mapa y los indicadores esenciales deben seguir disponibles.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sz="0" w:space="0" w:color="FFFFFF"/>
              <w:start w:val="single" w:sz="0" w:space="0" w:color="FFFFFF"/>
              <w:bottom w:val="single" w:sz="0" w:space="0" w:color="FFFFFF"/>
              <w:end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F6B57"/>
                <w:sz w:val="22"/>
              </w:rPr>
              <w:t>☐</w:t>
            </w:r>
          </w:p>
        </w:tc>
        <w:tc>
          <w:tcPr>
            <w:tcW w:type="dxa" w:w="8940"/>
            <w:tcBorders>
              <w:top w:val="single" w:sz="0" w:space="0" w:color="FFFFFF"/>
              <w:start w:val="single" w:sz="0" w:space="0" w:color="FFFFFF"/>
              <w:bottom w:val="single" w:sz="0" w:space="0" w:color="FFFFFF"/>
              <w:end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52525"/>
                <w:sz w:val="18"/>
              </w:rPr>
              <w:t>Sin proyector o energía: trabajar con capturas impresas de 2026, 2030 y 2035.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sz="0" w:space="0" w:color="FFFFFF"/>
              <w:start w:val="single" w:sz="0" w:space="0" w:color="FFFFFF"/>
              <w:bottom w:val="single" w:sz="0" w:space="0" w:color="FFFFFF"/>
              <w:end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F6B57"/>
                <w:sz w:val="22"/>
              </w:rPr>
              <w:t>☐</w:t>
            </w:r>
          </w:p>
        </w:tc>
        <w:tc>
          <w:tcPr>
            <w:tcW w:type="dxa" w:w="8940"/>
            <w:tcBorders>
              <w:top w:val="single" w:sz="0" w:space="0" w:color="FFFFFF"/>
              <w:start w:val="single" w:sz="0" w:space="0" w:color="FFFFFF"/>
              <w:bottom w:val="single" w:sz="0" w:space="0" w:color="FFFFFF"/>
              <w:end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52525"/>
                <w:sz w:val="18"/>
              </w:rPr>
              <w:t>Pocas voces dominan: hacer una ronda de 30 segundos y usar vocerías rotativas.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sz="0" w:space="0" w:color="FFFFFF"/>
              <w:start w:val="single" w:sz="0" w:space="0" w:color="FFFFFF"/>
              <w:bottom w:val="single" w:sz="0" w:space="0" w:color="FFFFFF"/>
              <w:end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F6B57"/>
                <w:sz w:val="22"/>
              </w:rPr>
              <w:t>☐</w:t>
            </w:r>
          </w:p>
        </w:tc>
        <w:tc>
          <w:tcPr>
            <w:tcW w:type="dxa" w:w="8940"/>
            <w:tcBorders>
              <w:top w:val="single" w:sz="0" w:space="0" w:color="FFFFFF"/>
              <w:start w:val="single" w:sz="0" w:space="0" w:color="FFFFFF"/>
              <w:bottom w:val="single" w:sz="0" w:space="0" w:color="FFFFFF"/>
              <w:end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52525"/>
                <w:sz w:val="18"/>
              </w:rPr>
              <w:t>Surge un dato dudoso: registrarlo como pregunta por verificar; no improvisar una respuesta.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37" w:right="1440" w:bottom="1037" w:left="1440" w:header="720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6"/>
      </w:rPr>
      <w:t xml:space="preserve">4 sep 2026  |  Página </w:t>
    </w:r>
    <w:r>
      <w:rPr>
        <w:rFonts w:ascii="Calibri" w:hAnsi="Calibri"/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1352009"/>
    <w:multiLevelType w:val="singleLevel"/>
    <w:tmpl w:val="C0FFEE0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2525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Transformando Territorios - Guía operativa</dc:title>
  <dc:subject>Cronograma de facilitación para la jornada del 4 de septiembre de 2026</dc:subject>
  <dc:creator>Equipo de trabajo - Transformando Territorios</dc:creator>
  <cp:keywords>San Adolfo, Acevedo, juventud, resiliencia climática, Café 2035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