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8.png" ContentType="image/png"/>
  <Override PartName="/word/media/rId84.png" ContentType="image/png"/>
  <Override PartName="/word/media/rId56.png" ContentType="image/png"/>
  <Override PartName="/word/media/rId72.png" ContentType="image/png"/>
  <Override PartName="/word/media/rId59.png" ContentType="image/png"/>
  <Override PartName="/word/media/rId75.png" ContentType="image/png"/>
  <Override PartName="/word/media/rId62.png" ContentType="image/png"/>
  <Override PartName="/word/media/rId78.png" ContentType="image/png"/>
  <Override PartName="/word/media/rId65.png" ContentType="image/png"/>
  <Override PartName="/word/media/rId81.png" ContentType="image/png"/>
  <Override PartName="/word/media/rId89.png" ContentType="image/png"/>
  <Override PartName="/word/media/rId92.png" ContentType="image/png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Butterfly</w:t>
      </w:r>
      <w:r>
        <w:t xml:space="preserve"> </w:t>
      </w:r>
      <w:r>
        <w:t xml:space="preserve">scan</w:t>
      </w:r>
    </w:p>
    <w:p>
      <w:pPr>
        <w:pStyle w:val="FirstParagraph"/>
      </w:pPr>
      <w:r>
        <w:t xml:space="preserve">The algorithms and programs described here are in the repository on GitHub:</w:t>
      </w:r>
    </w:p>
    <w:p>
      <w:pPr>
        <w:pStyle w:val="BodyText"/>
      </w:pPr>
      <w:hyperlink r:id="rId20">
        <w:r>
          <w:rPr>
            <w:rStyle w:val="Hyperlink"/>
          </w:rPr>
          <w:t xml:space="preserve">https://github.com/andy-aa/butterfly_scan</w:t>
        </w:r>
      </w:hyperlink>
    </w:p>
    <w:bookmarkStart w:id="42" w:name="X798f26e3595c4c77c39fbd5b60d4287eadf13ad"/>
    <w:p>
      <w:pPr>
        <w:pStyle w:val="Heading2"/>
      </w:pPr>
      <w:r>
        <w:t xml:space="preserve">Calculation of the body volume of a butterfly</w:t>
      </w:r>
    </w:p>
    <w:p>
      <w:pPr>
        <w:pStyle w:val="FirstParagraph"/>
      </w:pPr>
      <w:r>
        <w:t xml:space="preserve">The algorithm for estimating the volume of the body of a butterfly:</w:t>
      </w:r>
    </w:p>
    <w:p>
      <w:pPr>
        <w:numPr>
          <w:ilvl w:val="0"/>
          <w:numId w:val="1001"/>
        </w:numPr>
        <w:pStyle w:val="Compact"/>
      </w:pPr>
      <w:r>
        <w:t xml:space="preserve">Converting a color image to black and white. Three-channel RGB image →</w:t>
      </w:r>
      <w:r>
        <w:t xml:space="preserve"> </w:t>
      </w:r>
      <w:r>
        <w:t xml:space="preserve">Single-channel grayscale image → Single-channel black and white images. When</w:t>
      </w:r>
      <w:r>
        <w:t xml:space="preserve"> </w:t>
      </w:r>
      <w:r>
        <w:t xml:space="preserve">converting an image to black and white, it is necessary to use an empirical</w:t>
      </w:r>
      <w:r>
        <w:t xml:space="preserve"> </w:t>
      </w:r>
      <w:r>
        <w:t xml:space="preserve">coefficient that is in the range from 0 to 1. The empirical coefficient is a</w:t>
      </w:r>
      <w:r>
        <w:t xml:space="preserve"> </w:t>
      </w:r>
      <w:r>
        <w:t xml:space="preserve">color code used to separate all colors in an image into two groups, black</w:t>
      </w:r>
      <w:r>
        <w:t xml:space="preserve"> </w:t>
      </w:r>
      <w:r>
        <w:t xml:space="preserve">and white.</w:t>
      </w:r>
    </w:p>
    <w:p>
      <w:pPr>
        <w:pStyle w:val="CaptionedFigure"/>
      </w:pPr>
      <w:r>
        <w:drawing>
          <wp:inline>
            <wp:extent cx="3320573" cy="2857500"/>
            <wp:effectExtent b="0" l="0" r="0" t="0"/>
            <wp:docPr descr="Color image" title="" id="22" name="Picture"/>
            <a:graphic>
              <a:graphicData uri="http://schemas.openxmlformats.org/drawingml/2006/picture">
                <pic:pic>
                  <pic:nvPicPr>
                    <pic:cNvPr descr="./img/moth_body_0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573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Color image</w:t>
      </w:r>
    </w:p>
    <w:p>
      <w:pPr>
        <w:pStyle w:val="BodyText"/>
      </w:pPr>
      <w:r>
        <w:drawing>
          <wp:inline>
            <wp:extent cx="3621142" cy="2857500"/>
            <wp:effectExtent b="0" l="0" r="0" t="0"/>
            <wp:docPr descr="Grayscale" title="" id="25" name="Picture"/>
            <a:graphic>
              <a:graphicData uri="http://schemas.openxmlformats.org/drawingml/2006/picture">
                <pic:pic>
                  <pic:nvPicPr>
                    <pic:cNvPr descr="./img/moth_body_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142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21142" cy="2857500"/>
            <wp:effectExtent b="0" l="0" r="0" t="0"/>
            <wp:docPr descr="Black and white" title="" id="28" name="Picture"/>
            <a:graphic>
              <a:graphicData uri="http://schemas.openxmlformats.org/drawingml/2006/picture">
                <pic:pic>
                  <pic:nvPicPr>
                    <pic:cNvPr descr="./img/moth_body_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142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  <w:pStyle w:val="Compact"/>
      </w:pPr>
      <w:r>
        <w:t xml:space="preserve">Search for the axis of rotation of an arbitrarily oriented body of a</w:t>
      </w:r>
      <w:r>
        <w:t xml:space="preserve"> </w:t>
      </w:r>
      <w:r>
        <w:t xml:space="preserve">butterfly. The axis of rotation is a line connecting the two most distant</w:t>
      </w:r>
      <w:r>
        <w:t xml:space="preserve"> </w:t>
      </w:r>
      <w:r>
        <w:t xml:space="preserve">points from each other. To reduce the search time, the convex hull of the</w:t>
      </w:r>
      <w:r>
        <w:t xml:space="preserve"> </w:t>
      </w:r>
      <w:r>
        <w:t xml:space="preserve">figure is first constructed.</w:t>
      </w:r>
    </w:p>
    <w:p>
      <w:pPr>
        <w:pStyle w:val="CaptionedFigure"/>
      </w:pPr>
      <w:r>
        <w:drawing>
          <wp:inline>
            <wp:extent cx="3621142" cy="2857500"/>
            <wp:effectExtent b="0" l="0" r="0" t="0"/>
            <wp:docPr descr="Convex hull" title="" id="31" name="Picture"/>
            <a:graphic>
              <a:graphicData uri="http://schemas.openxmlformats.org/drawingml/2006/picture">
                <pic:pic>
                  <pic:nvPicPr>
                    <pic:cNvPr descr="./img/moth_body_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142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Convex hull</w:t>
      </w:r>
    </w:p>
    <w:p>
      <w:pPr>
        <w:numPr>
          <w:ilvl w:val="0"/>
          <w:numId w:val="1003"/>
        </w:numPr>
        <w:pStyle w:val="Compact"/>
      </w:pPr>
      <w:r>
        <w:t xml:space="preserve">In the set of points of the convex hull, we need to find two points that</w:t>
      </w:r>
      <w:r>
        <w:t xml:space="preserve"> </w:t>
      </w:r>
      <w:r>
        <w:t xml:space="preserve">have a maximum distance function:</w:t>
      </w:r>
      <w:r>
        <w:t xml:space="preserve"> </w:t>
      </w:r>
      <m:oMath>
        <m:r>
          <m:t>d</m:t>
        </m:r>
        <m:r>
          <m:rPr>
            <m:sty m:val="p"/>
          </m:rPr>
          <m:t>=</m:t>
        </m:r>
        <m:rad>
          <m:radPr>
            <m:degHide m:val="1"/>
          </m:radPr>
          <m:deg/>
          <m:e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+</m:t>
            </m:r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y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</m:e>
              <m:sup>
                <m:r>
                  <m:t>2</m:t>
                </m:r>
              </m:sup>
            </m:sSup>
          </m:e>
        </m:rad>
      </m:oMath>
      <w:r>
        <w:t xml:space="preserve">.</w:t>
      </w:r>
    </w:p>
    <w:p>
      <w:pPr>
        <w:pStyle w:val="CaptionedFigure"/>
      </w:pPr>
      <w:r>
        <w:drawing>
          <wp:inline>
            <wp:extent cx="3621142" cy="2857500"/>
            <wp:effectExtent b="0" l="0" r="0" t="0"/>
            <wp:docPr descr="Axis of rotation" title="" id="34" name="Picture"/>
            <a:graphic>
              <a:graphicData uri="http://schemas.openxmlformats.org/drawingml/2006/picture">
                <pic:pic>
                  <pic:nvPicPr>
                    <pic:cNvPr descr="./img/moth_body_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142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Axis of rotation</w:t>
      </w:r>
    </w:p>
    <w:p>
      <w:pPr>
        <w:numPr>
          <w:ilvl w:val="0"/>
          <w:numId w:val="1004"/>
        </w:numPr>
        <w:pStyle w:val="Compact"/>
      </w:pPr>
      <w:r>
        <w:t xml:space="preserve">Finding the angle between the rotation axis and the x-axis. Rotate the image</w:t>
      </w:r>
      <w:r>
        <w:t xml:space="preserve"> </w:t>
      </w:r>
      <w:r>
        <w:t xml:space="preserve">so that the rotation axis is perpendicular to the x-axis and parallel to the</w:t>
      </w:r>
      <w:r>
        <w:t xml:space="preserve"> </w:t>
      </w:r>
      <w:r>
        <w:t xml:space="preserve">y-axis.</w:t>
      </w:r>
    </w:p>
    <w:p>
      <w:pPr>
        <w:pStyle w:val="FirstParagraph"/>
      </w:pPr>
      <w:r>
        <w:drawing>
          <wp:inline>
            <wp:extent cx="1810571" cy="142875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./img/moth_body_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571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810571" cy="142875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./img/moth_body_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571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  <w:pStyle w:val="Compact"/>
      </w:pPr>
      <w:r>
        <w:t xml:space="preserve">Dividing the silhouette (contour) into layers parallel to the x-axis. Finding the</w:t>
      </w:r>
      <w:r>
        <w:t xml:space="preserve"> </w:t>
      </w:r>
      <w:r>
        <w:t xml:space="preserve">width of each layer. The width (</w:t>
      </w:r>
      <m:oMath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) of a layer is equal to the number of</w:t>
      </w:r>
      <w:r>
        <w:t xml:space="preserve"> </w:t>
      </w:r>
      <w:r>
        <w:t xml:space="preserve">pixels in that layer multiplied by the physical size of a pixel. The layer</w:t>
      </w:r>
      <w:r>
        <w:t xml:space="preserve"> </w:t>
      </w:r>
      <w:r>
        <w:t xml:space="preserve">height (</w:t>
      </w:r>
      <m:oMath>
        <m:r>
          <m:t>h</m:t>
        </m:r>
      </m:oMath>
      <w:r>
        <w:t xml:space="preserve">) is equal to the physical pixel size. Layer volume is: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w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/</m:t>
                </m:r>
                <m:r>
                  <m:t>2</m:t>
                </m:r>
              </m:e>
            </m:d>
          </m:e>
          <m:sup>
            <m:r>
              <m:t>2</m:t>
            </m:r>
          </m:sup>
        </m:sSup>
        <m:r>
          <m:rPr>
            <m:sty m:val="p"/>
          </m:rPr>
          <m:t>*</m:t>
        </m:r>
        <m:r>
          <m:t>p</m:t>
        </m:r>
        <m:r>
          <m:t>i</m:t>
        </m:r>
        <m:r>
          <m:rPr>
            <m:sty m:val="p"/>
          </m:rPr>
          <m:t>*</m:t>
        </m:r>
        <m:r>
          <m:t>h</m:t>
        </m:r>
      </m:oMath>
      <w:r>
        <w:t xml:space="preserve">. The total volume (V) is the sum of the</w:t>
      </w:r>
      <w:r>
        <w:t xml:space="preserve"> </w:t>
      </w:r>
      <w:r>
        <w:t xml:space="preserve">volumes of its layers</w:t>
      </w:r>
      <w:r>
        <w:t xml:space="preserve"> </w:t>
      </w:r>
      <m:oMath>
        <m:r>
          <m:t>V</m:t>
        </m:r>
        <m:r>
          <m:rPr>
            <m:sty m:val="p"/>
          </m:rP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v</m:t>
                </m:r>
              </m:e>
              <m:sub>
                <m:r>
                  <m:t>i</m:t>
                </m:r>
              </m:sub>
            </m:sSub>
          </m:e>
        </m:nary>
      </m:oMath>
      <w:r>
        <w:t xml:space="preserve">.</w:t>
      </w:r>
    </w:p>
    <w:bookmarkEnd w:id="42"/>
    <w:bookmarkStart w:id="55" w:name="X68a187ae6b9892bdebe248873b11ac43d8373c2"/>
    <w:p>
      <w:pPr>
        <w:pStyle w:val="Heading2"/>
      </w:pPr>
      <w:r>
        <w:t xml:space="preserve">Calculation of the moment of inertia of a butterfly wing</w:t>
      </w:r>
    </w:p>
    <w:p>
      <w:pPr>
        <w:pStyle w:val="FirstParagraph"/>
      </w:pPr>
      <w:r>
        <w:t xml:space="preserve">The algorithm for estimating the moment of inertia of a butterfly wing:</w:t>
      </w:r>
    </w:p>
    <w:p>
      <w:pPr>
        <w:numPr>
          <w:ilvl w:val="0"/>
          <w:numId w:val="1006"/>
        </w:numPr>
        <w:pStyle w:val="Compact"/>
      </w:pPr>
      <w:r>
        <w:t xml:space="preserve">Converting a color image to black and white.</w:t>
      </w:r>
    </w:p>
    <w:p>
      <w:pPr>
        <w:pStyle w:val="FirstParagraph"/>
      </w:pPr>
      <w:r>
        <w:drawing>
          <wp:inline>
            <wp:extent cx="1802800" cy="142875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./img/right_wing_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802800" cy="142875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./img/right_wing_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802800" cy="142875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./img/right_wing_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  <w:pStyle w:val="Compact"/>
      </w:pPr>
      <w:r>
        <w:t xml:space="preserve">Calculation of the coordinates of the conditional center of mass. The</w:t>
      </w:r>
      <w:r>
        <w:t xml:space="preserve"> </w:t>
      </w:r>
      <w:r>
        <w:t xml:space="preserve">classic formula for calculating the center of mass is:</w:t>
      </w:r>
      <w:r>
        <w:t xml:space="preserve"> </w:t>
      </w:r>
      <m:oMath>
        <m:sSub>
          <m:e>
            <m:acc>
              <m:accPr>
                <m:chr m:val="⃗"/>
              </m:accPr>
              <m:e>
                <m:r>
                  <m:t>r</m:t>
                </m:r>
              </m:e>
            </m:acc>
          </m:e>
          <m:sub>
            <m:r>
              <m:t>c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nary>
              <m:naryPr>
                <m:chr m:val="∑"/>
                <m:limLoc m:val="undOvr"/>
                <m:subHide m:val="0"/>
                <m:supHide m:val="1"/>
              </m:naryPr>
              <m:sub>
                <m:r>
                  <m:t>i</m:t>
                </m:r>
              </m:sub>
              <m:sup>
                <m:r>
                  <m:t>​</m:t>
                </m:r>
              </m:sup>
              <m:e>
                <m:sSub>
                  <m:e>
                    <m:r>
                      <m:t>m</m:t>
                    </m:r>
                  </m:e>
                  <m:sub>
                    <m:r>
                      <m:t>i</m:t>
                    </m:r>
                  </m:sub>
                </m:sSub>
              </m:e>
            </m:nary>
            <m:sSub>
              <m:e>
                <m:acc>
                  <m:accPr>
                    <m:chr m:val="⃗"/>
                  </m:accPr>
                  <m:e>
                    <m:r>
                      <m:t>r</m:t>
                    </m:r>
                  </m:e>
                </m:acc>
              </m:e>
              <m:sub>
                <m: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subHide m:val="0"/>
                <m:supHide m:val="1"/>
              </m:naryPr>
              <m:sub>
                <m:r>
                  <m:t>i</m:t>
                </m:r>
              </m:sub>
              <m:sup>
                <m:r>
                  <m:t>​</m:t>
                </m:r>
              </m:sup>
              <m:e>
                <m:sSub>
                  <m:e>
                    <m:r>
                      <m:t>m</m:t>
                    </m:r>
                  </m:e>
                  <m:sub>
                    <m:r>
                      <m:t>i</m:t>
                    </m:r>
                  </m:sub>
                </m:sSub>
              </m:e>
            </m:nary>
          </m:den>
        </m:f>
      </m:oMath>
      <w:r>
        <w:t xml:space="preserve">. In the</w:t>
      </w:r>
      <w:r>
        <w:t xml:space="preserve"> </w:t>
      </w:r>
      <w:r>
        <w:t xml:space="preserve">case of a two-dimensional object, the formula takes the form:</w:t>
      </w:r>
      <w:r>
        <w:t xml:space="preserve"> </w:t>
      </w:r>
      <m:oMath>
        <m:sSub>
          <m:e>
            <m:r>
              <m:t>x</m:t>
            </m:r>
          </m:e>
          <m:sub>
            <m:r>
              <m:t>c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nary>
              <m:naryPr>
                <m:chr m:val="∑"/>
                <m:limLoc m:val="undOvr"/>
                <m:subHide m:val="0"/>
                <m:supHide m:val="0"/>
              </m:naryPr>
              <m:sub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</m:sub>
              <m:sup>
                <m:r>
                  <m:t>n</m:t>
                </m:r>
              </m:sup>
              <m:e>
                <m:sSub>
                  <m:e>
                    <m:r>
                      <m:t>m</m:t>
                    </m:r>
                  </m:e>
                  <m:sub>
                    <m:r>
                      <m:t>i</m:t>
                    </m:r>
                  </m:sub>
                </m:sSub>
              </m:e>
            </m:nary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subHide m:val="0"/>
                <m:supHide m:val="0"/>
              </m:naryPr>
              <m:sub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</m:sub>
              <m:sup>
                <m:r>
                  <m:t>n</m:t>
                </m:r>
              </m:sup>
              <m:e>
                <m:sSub>
                  <m:e>
                    <m:r>
                      <m:t>m</m:t>
                    </m:r>
                  </m:e>
                  <m:sub>
                    <m:r>
                      <m:t>i</m:t>
                    </m:r>
                  </m:sub>
                </m:sSub>
              </m:e>
            </m:nary>
          </m:den>
        </m:f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c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nary>
              <m:naryPr>
                <m:chr m:val="∑"/>
                <m:limLoc m:val="undOvr"/>
                <m:subHide m:val="0"/>
                <m:supHide m:val="0"/>
              </m:naryPr>
              <m:sub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</m:sub>
              <m:sup>
                <m:r>
                  <m:t>n</m:t>
                </m:r>
              </m:sup>
              <m:e>
                <m:sSub>
                  <m:e>
                    <m:r>
                      <m:t>m</m:t>
                    </m:r>
                  </m:e>
                  <m:sub>
                    <m:r>
                      <m:t>i</m:t>
                    </m:r>
                  </m:sub>
                </m:sSub>
              </m:e>
            </m:nary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subHide m:val="0"/>
                <m:supHide m:val="0"/>
              </m:naryPr>
              <m:sub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</m:sub>
              <m:sup>
                <m:r>
                  <m:t>n</m:t>
                </m:r>
              </m:sup>
              <m:e>
                <m:sSub>
                  <m:e>
                    <m:r>
                      <m:t>m</m:t>
                    </m:r>
                  </m:e>
                  <m:sub>
                    <m:r>
                      <m:t>i</m:t>
                    </m:r>
                  </m:sub>
                </m:sSub>
              </m:e>
            </m:nary>
          </m:den>
        </m:f>
      </m:oMath>
      <w:r>
        <w:t xml:space="preserve">; If we take the</w:t>
      </w:r>
      <w:r>
        <w:t xml:space="preserve"> </w:t>
      </w:r>
      <w:r>
        <w:t xml:space="preserve">mass of each point equal to 1, the formulas are noticeably simplified:</w:t>
      </w:r>
      <w:r>
        <w:t xml:space="preserve"> </w:t>
      </w:r>
      <m:oMath>
        <m:sSub>
          <m:e>
            <m:r>
              <m:t>x</m:t>
            </m:r>
          </m:e>
          <m:sub>
            <m:r>
              <m:t>c</m:t>
            </m:r>
          </m:sub>
        </m:sSub>
        <m:r>
          <m:rPr>
            <m:sty m:val="p"/>
          </m:rPr>
          <m:t>=</m:t>
        </m:r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c</m:t>
            </m:r>
          </m:sub>
        </m:sSub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</m:oMath>
      <w:r>
        <w:t xml:space="preserve">.</w:t>
      </w:r>
    </w:p>
    <w:p>
      <w:pPr>
        <w:pStyle w:val="FirstParagraph"/>
      </w:pPr>
      <w:r>
        <w:drawing>
          <wp:inline>
            <wp:extent cx="1802800" cy="142875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./img/right_wing_3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  <w:pStyle w:val="Compact"/>
      </w:pPr>
      <w:r>
        <w:t xml:space="preserve">The classical formula for calculating the moment of inertia is:</w:t>
      </w:r>
      <w:r>
        <w:t xml:space="preserve"> </w:t>
      </w:r>
      <m:oMath>
        <m:sSub>
          <m:e>
            <m:r>
              <m:t>J</m:t>
            </m:r>
          </m:e>
          <m:sub>
            <m:r>
              <m:t>a</m:t>
            </m:r>
          </m:sub>
        </m:sSub>
        <m:r>
          <m:rPr>
            <m:sty m:val="p"/>
          </m:rP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m</m:t>
                </m:r>
              </m:e>
              <m:sub>
                <m:r>
                  <m:t>i</m:t>
                </m:r>
              </m:sub>
            </m:sSub>
          </m:e>
        </m:nary>
        <m:sSubSup>
          <m:e>
            <m:r>
              <m:t>r</m:t>
            </m:r>
          </m:e>
          <m:sub>
            <m:r>
              <m:t>i</m:t>
            </m:r>
          </m:sub>
          <m:sup>
            <m:r>
              <m:t>2</m:t>
            </m:r>
          </m:sup>
        </m:sSubSup>
      </m:oMath>
      <w:r>
        <w:t xml:space="preserve">, where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mass of</w:t>
      </w:r>
      <w:r>
        <w:t xml:space="preserve"> </w:t>
      </w:r>
      <m:oMath>
        <m:r>
          <m:t>i</m:t>
        </m:r>
      </m:oMath>
      <w:r>
        <w:t xml:space="preserve">-th point;</w:t>
      </w:r>
      <w:r>
        <w:t xml:space="preserve"> </w:t>
      </w:r>
      <m:oMath>
        <m:sSub>
          <m:e>
            <m:r>
              <m:t>r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distance from the</w:t>
      </w:r>
      <w:r>
        <w:t xml:space="preserve"> </w:t>
      </w:r>
      <m:oMath>
        <m:r>
          <m:t>i</m:t>
        </m:r>
      </m:oMath>
      <w:r>
        <w:t xml:space="preserve">-th point to the axis. If we take the mass</w:t>
      </w:r>
      <w:r>
        <w:t xml:space="preserve"> </w:t>
      </w:r>
      <w:r>
        <w:t xml:space="preserve">of each point equal to 1, and for the point of the axis we take the center</w:t>
      </w:r>
      <w:r>
        <w:t xml:space="preserve"> </w:t>
      </w:r>
      <w:r>
        <w:t xml:space="preserve">of mass, the formula will take the form:</w:t>
      </w:r>
      <w:r>
        <w:t xml:space="preserve"> </w:t>
      </w:r>
      <m:oMath>
        <m:sSub>
          <m:e>
            <m:r>
              <m:t>J</m:t>
            </m:r>
          </m:e>
          <m:sub>
            <m:r>
              <m:t>a</m:t>
            </m:r>
          </m:sub>
        </m:sSub>
        <m:r>
          <m:rPr>
            <m:sty m:val="p"/>
          </m:rP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Sup>
              <m:e>
                <m:r>
                  <m:t>r</m:t>
                </m:r>
              </m:e>
              <m:sub>
                <m:r>
                  <m:t>i</m:t>
                </m:r>
              </m:sub>
              <m:sup>
                <m:r>
                  <m:t>2</m:t>
                </m:r>
              </m:sup>
            </m:sSubSup>
          </m:e>
        </m:nary>
        <m:r>
          <m:rPr>
            <m:sty m:val="p"/>
          </m:rP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d>
              <m:dPr>
                <m:begChr m:val="("/>
                <m:endChr m:val=")"/>
                <m:sepChr m:val=""/>
                <m:grow/>
              </m:dPr>
              <m:e>
                <m:sSup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−</m:t>
                        </m:r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c</m:t>
                            </m:r>
                          </m:sub>
                        </m:sSub>
                      </m:e>
                    </m:d>
                  </m:e>
                  <m:sup>
                    <m:r>
                      <m:t>2</m:t>
                    </m:r>
                  </m:sup>
                </m:sSup>
                <m:r>
                  <m:rPr>
                    <m:sty m:val="p"/>
                  </m:rPr>
                  <m:t>+</m:t>
                </m:r>
                <m:sSup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y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−</m:t>
                        </m:r>
                        <m:sSub>
                          <m:e>
                            <m:r>
                              <m:t>y</m:t>
                            </m:r>
                          </m:e>
                          <m:sub>
                            <m:r>
                              <m:t>c</m:t>
                            </m:r>
                          </m:sub>
                        </m:sSub>
                      </m:e>
                    </m:d>
                  </m:e>
                  <m:sup>
                    <m:r>
                      <m:t>2</m:t>
                    </m:r>
                  </m:sup>
                </m:sSup>
              </m:e>
            </m:d>
          </m:e>
        </m:nary>
      </m:oMath>
    </w:p>
    <w:bookmarkEnd w:id="55"/>
    <w:bookmarkStart w:id="88" w:name="X3269657e4b5c487353951bcca3ee84ebf3b522a"/>
    <w:p>
      <w:pPr>
        <w:pStyle w:val="Heading2"/>
      </w:pPr>
      <w:r>
        <w:t xml:space="preserve">Geometric classification and measurement of wing parameters</w:t>
      </w:r>
    </w:p>
    <w:p>
      <w:pPr>
        <w:pStyle w:val="FirstParagraph"/>
      </w:pPr>
      <w:r>
        <w:t xml:space="preserve">[1]</w:t>
      </w:r>
    </w:p>
    <w:bookmarkStart w:id="71" w:name="left-wing-of-hemaris-diffinis"/>
    <w:p>
      <w:pPr>
        <w:pStyle w:val="Heading3"/>
      </w:pPr>
      <w:r>
        <w:t xml:space="preserve">Left wing of Hemaris diffinis</w:t>
      </w:r>
    </w:p>
    <w:p>
      <w:pPr>
        <w:pStyle w:val="CaptionedFigure"/>
      </w:pPr>
      <w:r>
        <w:drawing>
          <wp:inline>
            <wp:extent cx="3656680" cy="2857500"/>
            <wp:effectExtent b="0" l="0" r="0" t="0"/>
            <wp:docPr descr="Threangle" title="" id="57" name="Picture"/>
            <a:graphic>
              <a:graphicData uri="http://schemas.openxmlformats.org/drawingml/2006/picture">
                <pic:pic>
                  <pic:nvPicPr>
                    <pic:cNvPr descr="./img/Areas_3_Hemaris_diffinis_left_wing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68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Threangle</w:t>
      </w:r>
    </w:p>
    <w:p>
      <w:pPr>
        <w:pStyle w:val="CaptionedFigure"/>
      </w:pPr>
      <w:r>
        <w:drawing>
          <wp:inline>
            <wp:extent cx="3656680" cy="2857500"/>
            <wp:effectExtent b="0" l="0" r="0" t="0"/>
            <wp:docPr descr="Quadrangle" title="" id="60" name="Picture"/>
            <a:graphic>
              <a:graphicData uri="http://schemas.openxmlformats.org/drawingml/2006/picture">
                <pic:pic>
                  <pic:nvPicPr>
                    <pic:cNvPr descr="./img/Areas_4_Hemaris_diffinis_left_wing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68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Quadrangle</w:t>
      </w:r>
    </w:p>
    <w:p>
      <w:pPr>
        <w:pStyle w:val="CaptionedFigure"/>
      </w:pPr>
      <w:r>
        <w:drawing>
          <wp:inline>
            <wp:extent cx="3656680" cy="2857500"/>
            <wp:effectExtent b="0" l="0" r="0" t="0"/>
            <wp:docPr descr="Pentagon" title="" id="63" name="Picture"/>
            <a:graphic>
              <a:graphicData uri="http://schemas.openxmlformats.org/drawingml/2006/picture">
                <pic:pic>
                  <pic:nvPicPr>
                    <pic:cNvPr descr="./img/Areas_5_Hemaris_diffinis_left_wing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68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Pentagon</w:t>
      </w:r>
    </w:p>
    <w:p>
      <w:pPr>
        <w:pStyle w:val="CaptionedFigure"/>
      </w:pPr>
      <w:r>
        <w:drawing>
          <wp:inline>
            <wp:extent cx="3656680" cy="2857500"/>
            <wp:effectExtent b="0" l="0" r="0" t="0"/>
            <wp:docPr descr="Hexagon" title="" id="66" name="Picture"/>
            <a:graphic>
              <a:graphicData uri="http://schemas.openxmlformats.org/drawingml/2006/picture">
                <pic:pic>
                  <pic:nvPicPr>
                    <pic:cNvPr descr="./img/Areas_6_Hemaris_diffinis_left_wing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68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Hexagon</w:t>
      </w:r>
    </w:p>
    <w:p>
      <w:pPr>
        <w:pStyle w:val="CaptionedFigure"/>
      </w:pPr>
      <w:r>
        <w:drawing>
          <wp:inline>
            <wp:extent cx="3656680" cy="2857500"/>
            <wp:effectExtent b="0" l="0" r="0" t="0"/>
            <wp:docPr descr="Superposition of polygons" title="" id="69" name="Picture"/>
            <a:graphic>
              <a:graphicData uri="http://schemas.openxmlformats.org/drawingml/2006/picture">
                <pic:pic>
                  <pic:nvPicPr>
                    <pic:cNvPr descr="./img/Areas_3_4_5_6_Hemaris_diffinis_left_wing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68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Superposition of polygons</w:t>
      </w:r>
    </w:p>
    <w:bookmarkEnd w:id="71"/>
    <w:bookmarkStart w:id="87" w:name="left-wing-of-manduca-rustica"/>
    <w:p>
      <w:pPr>
        <w:pStyle w:val="Heading3"/>
      </w:pPr>
      <w:r>
        <w:t xml:space="preserve">Left wing of Manduca rustica</w:t>
      </w:r>
    </w:p>
    <w:p>
      <w:pPr>
        <w:pStyle w:val="CaptionedFigure"/>
      </w:pPr>
      <w:r>
        <w:drawing>
          <wp:inline>
            <wp:extent cx="3656680" cy="2857500"/>
            <wp:effectExtent b="0" l="0" r="0" t="0"/>
            <wp:docPr descr="Threangle" title="" id="73" name="Picture"/>
            <a:graphic>
              <a:graphicData uri="http://schemas.openxmlformats.org/drawingml/2006/picture">
                <pic:pic>
                  <pic:nvPicPr>
                    <pic:cNvPr descr="./img/Areas_3_Manduca_rustica_left_wing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68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Threangle</w:t>
      </w:r>
    </w:p>
    <w:p>
      <w:pPr>
        <w:pStyle w:val="CaptionedFigure"/>
      </w:pPr>
      <w:r>
        <w:drawing>
          <wp:inline>
            <wp:extent cx="3656680" cy="2857500"/>
            <wp:effectExtent b="0" l="0" r="0" t="0"/>
            <wp:docPr descr="Quadrangle" title="" id="76" name="Picture"/>
            <a:graphic>
              <a:graphicData uri="http://schemas.openxmlformats.org/drawingml/2006/picture">
                <pic:pic>
                  <pic:nvPicPr>
                    <pic:cNvPr descr="./img/Areas_4_Manduca_rustica_left_wing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68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Quadrangle</w:t>
      </w:r>
    </w:p>
    <w:p>
      <w:pPr>
        <w:pStyle w:val="CaptionedFigure"/>
      </w:pPr>
      <w:r>
        <w:drawing>
          <wp:inline>
            <wp:extent cx="3656680" cy="2857500"/>
            <wp:effectExtent b="0" l="0" r="0" t="0"/>
            <wp:docPr descr="Pentagon" title="" id="79" name="Picture"/>
            <a:graphic>
              <a:graphicData uri="http://schemas.openxmlformats.org/drawingml/2006/picture">
                <pic:pic>
                  <pic:nvPicPr>
                    <pic:cNvPr descr="./img/Areas_5_Manduca_rustica_left_wing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68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Pentagon</w:t>
      </w:r>
    </w:p>
    <w:p>
      <w:pPr>
        <w:pStyle w:val="CaptionedFigure"/>
      </w:pPr>
      <w:r>
        <w:drawing>
          <wp:inline>
            <wp:extent cx="3656680" cy="2857500"/>
            <wp:effectExtent b="0" l="0" r="0" t="0"/>
            <wp:docPr descr="Hexagon" title="" id="82" name="Picture"/>
            <a:graphic>
              <a:graphicData uri="http://schemas.openxmlformats.org/drawingml/2006/picture">
                <pic:pic>
                  <pic:nvPicPr>
                    <pic:cNvPr descr="./img/Areas_6_Manduca_rustica_left_wing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68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Hexagon</w:t>
      </w:r>
    </w:p>
    <w:p>
      <w:pPr>
        <w:pStyle w:val="CaptionedFigure"/>
      </w:pPr>
      <w:r>
        <w:drawing>
          <wp:inline>
            <wp:extent cx="3656680" cy="2857500"/>
            <wp:effectExtent b="0" l="0" r="0" t="0"/>
            <wp:docPr descr="Superposition of polygons" title="" id="85" name="Picture"/>
            <a:graphic>
              <a:graphicData uri="http://schemas.openxmlformats.org/drawingml/2006/picture">
                <pic:pic>
                  <pic:nvPicPr>
                    <pic:cNvPr descr="./img/Areas_3_4_5_6_Manduca_rustica_left_wing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68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Superposition of polygons</w:t>
      </w:r>
    </w:p>
    <w:p>
      <w:pPr>
        <w:pStyle w:val="BodyText"/>
      </w:pPr>
      <w:r>
        <w:t xml:space="preserve">[2]</w:t>
      </w:r>
    </w:p>
    <w:p>
      <w:pPr>
        <w:pStyle w:val="BodyText"/>
      </w:pPr>
      <m:oMath>
        <m:r>
          <m:t>A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rPr>
            <m:sty m:val="p"/>
          </m:rPr>
          <m:t>|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−</m:t>
            </m:r>
            <m:sSub>
              <m:e>
                <m:r>
                  <m:t>x</m:t>
                </m:r>
              </m:e>
              <m:sub>
                <m:r>
                  <m:t>3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y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−</m:t>
            </m:r>
            <m:sSub>
              <m:e>
                <m:r>
                  <m:t>y</m:t>
                </m:r>
              </m:e>
              <m:sub>
                <m:r>
                  <m:t>1</m:t>
                </m:r>
              </m:sub>
            </m:sSub>
          </m:e>
        </m:d>
        <m:r>
          <m:rPr>
            <m:sty m:val="p"/>
          </m:rPr>
          <m:t>−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−</m:t>
            </m:r>
            <m:sSub>
              <m:e>
                <m:r>
                  <m:t>x</m:t>
                </m:r>
              </m:e>
              <m:sub>
                <m:r>
                  <m:t>2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y</m:t>
                </m:r>
              </m:e>
              <m:sub>
                <m:r>
                  <m:t>3</m:t>
                </m:r>
              </m:sub>
            </m:sSub>
            <m:r>
              <m:rPr>
                <m:sty m:val="p"/>
              </m:rPr>
              <m:t>−</m:t>
            </m:r>
            <m:sSub>
              <m:e>
                <m:r>
                  <m:t>y</m:t>
                </m:r>
              </m:e>
              <m:sub>
                <m:r>
                  <m:t>1</m:t>
                </m:r>
              </m:sub>
            </m:sSub>
          </m:e>
        </m:d>
        <m:r>
          <m:rPr>
            <m:sty m:val="p"/>
          </m:rPr>
          <m:t>|</m:t>
        </m:r>
      </m:oMath>
    </w:p>
    <w:bookmarkEnd w:id="87"/>
    <w:bookmarkEnd w:id="88"/>
    <w:bookmarkStart w:id="95" w:name="to-be-continued"/>
    <w:p>
      <w:pPr>
        <w:pStyle w:val="Heading2"/>
      </w:pPr>
      <w:r>
        <w:t xml:space="preserve">To be continued…</w:t>
      </w:r>
    </w:p>
    <w:p>
      <w:pPr>
        <w:pStyle w:val="FirstParagraph"/>
      </w:pPr>
      <w:r>
        <w:drawing>
          <wp:inline>
            <wp:extent cx="1679639" cy="142875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./img/convex_triangles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639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824668" cy="142875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./img/edge_triangles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668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101" w:name="references"/>
    <w:p>
      <w:pPr>
        <w:pStyle w:val="Heading1"/>
      </w:pPr>
      <w:r>
        <w:t xml:space="preserve">References</w:t>
      </w:r>
    </w:p>
    <w:bookmarkStart w:id="100" w:name="refs"/>
    <w:bookmarkStart w:id="97" w:name="ref-Bronstein2008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Bronstein EM (2008)</w:t>
      </w:r>
      <w:r>
        <w:t xml:space="preserve"> </w:t>
      </w:r>
      <w:hyperlink r:id="rId96">
        <w:r>
          <w:rPr>
            <w:rStyle w:val="Hyperlink"/>
          </w:rPr>
          <w:t xml:space="preserve">Approximation of convex sets by polytopes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J Math Sci</w:t>
      </w:r>
      <w:r>
        <w:t xml:space="preserve">.</w:t>
      </w:r>
    </w:p>
    <w:bookmarkEnd w:id="97"/>
    <w:bookmarkStart w:id="99" w:name="ref-Triangle-area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Wikipedia.org (2022)</w:t>
      </w:r>
      <w:r>
        <w:t xml:space="preserve"> </w:t>
      </w:r>
      <w:hyperlink r:id="rId98">
        <w:r>
          <w:rPr>
            <w:rStyle w:val="Hyperlink"/>
          </w:rPr>
          <w:t xml:space="preserve">Computing the area of a triangle</w:t>
        </w:r>
      </w:hyperlink>
      <w:r>
        <w:t xml:space="preserve">.</w:t>
      </w:r>
    </w:p>
    <w:bookmarkEnd w:id="99"/>
    <w:bookmarkEnd w:id="100"/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8" Target="media/rId68.png" /><Relationship Type="http://schemas.openxmlformats.org/officeDocument/2006/relationships/image" Id="rId84" Target="media/rId84.png" /><Relationship Type="http://schemas.openxmlformats.org/officeDocument/2006/relationships/image" Id="rId56" Target="media/rId56.png" /><Relationship Type="http://schemas.openxmlformats.org/officeDocument/2006/relationships/image" Id="rId72" Target="media/rId72.png" /><Relationship Type="http://schemas.openxmlformats.org/officeDocument/2006/relationships/image" Id="rId59" Target="media/rId59.png" /><Relationship Type="http://schemas.openxmlformats.org/officeDocument/2006/relationships/image" Id="rId75" Target="media/rId75.png" /><Relationship Type="http://schemas.openxmlformats.org/officeDocument/2006/relationships/image" Id="rId62" Target="media/rId62.png" /><Relationship Type="http://schemas.openxmlformats.org/officeDocument/2006/relationships/image" Id="rId78" Target="media/rId78.png" /><Relationship Type="http://schemas.openxmlformats.org/officeDocument/2006/relationships/image" Id="rId65" Target="media/rId65.png" /><Relationship Type="http://schemas.openxmlformats.org/officeDocument/2006/relationships/image" Id="rId81" Target="media/rId81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hyperlink" Id="rId96" Target="https://doi.org/10.1007/s10958-008-9144-x" TargetMode="External" /><Relationship Type="http://schemas.openxmlformats.org/officeDocument/2006/relationships/hyperlink" Id="rId98" Target="https://en.wikipedia.org/wiki/Triangle#Using_coordinates" TargetMode="External" /><Relationship Type="http://schemas.openxmlformats.org/officeDocument/2006/relationships/hyperlink" Id="rId20" Target="https://github.com/andy-aa/butterfly_sca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6" Target="https://doi.org/10.1007/s10958-008-9144-x" TargetMode="External" /><Relationship Type="http://schemas.openxmlformats.org/officeDocument/2006/relationships/hyperlink" Id="rId98" Target="https://en.wikipedia.org/wiki/Triangle#Using_coordinates" TargetMode="External" /><Relationship Type="http://schemas.openxmlformats.org/officeDocument/2006/relationships/hyperlink" Id="rId20" Target="https://github.com/andy-aa/butterfly_sca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Butterfly scan</dc:title>
  <dc:creator/>
  <cp:keywords/>
  <dcterms:created xsi:type="dcterms:W3CDTF">2022-05-18T04:39:21Z</dcterms:created>
  <dcterms:modified xsi:type="dcterms:W3CDTF">2022-05-18T04:39:21Z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sl">
    <vt:lpwstr>aims-mathematics.csl</vt:lpwstr>
  </property>
  <property fmtid="{D5CDD505-2E9C-101B-9397-08002B2CF9AE}" pid="4" name="date">
    <vt:lpwstr/>
  </property>
  <property fmtid="{D5CDD505-2E9C-101B-9397-08002B2CF9AE}" pid="5" name="editor_options">
    <vt:lpwstr/>
  </property>
  <property fmtid="{D5CDD505-2E9C-101B-9397-08002B2CF9AE}" pid="6" name="output">
    <vt:lpwstr/>
  </property>
</Properties>
</file>