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Butterfly</w:t>
      </w:r>
      <w:r>
        <w:t xml:space="preserve"> </w:t>
      </w:r>
      <w:r>
        <w:t xml:space="preserve">scan</w:t>
      </w:r>
    </w:p>
    <w:p>
      <w:pPr>
        <w:pStyle w:val="FirstParagraph"/>
      </w:pPr>
      <w:r>
        <w:t xml:space="preserve">The algorithms and programs described here are in the repository on GitHub: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https://github.com/andy-aa/butterfly_scan</w:t>
        </w:r>
      </w:hyperlink>
    </w:p>
    <w:bookmarkStart w:id="42" w:name="X798f26e3595c4c77c39fbd5b60d4287eadf13ad"/>
    <w:p>
      <w:pPr>
        <w:pStyle w:val="Heading2"/>
      </w:pPr>
      <w:r>
        <w:t xml:space="preserve">Calculation of the body volume of a butterfly</w:t>
      </w:r>
    </w:p>
    <w:p>
      <w:pPr>
        <w:pStyle w:val="FirstParagraph"/>
      </w:pPr>
      <w:r>
        <w:t xml:space="preserve">The algorithm for estimating the volume of the body of a butterfly:</w:t>
      </w:r>
    </w:p>
    <w:p>
      <w:pPr>
        <w:numPr>
          <w:ilvl w:val="0"/>
          <w:numId w:val="1001"/>
        </w:numPr>
        <w:pStyle w:val="Compact"/>
      </w:pPr>
      <w:r>
        <w:t xml:space="preserve">Converting a color image to black and white. Three-channel RGB image → Single-channel grayscale image → Single-channel black and white images. When converting an image to black and white, it is necessary to use an empirical coefficient that is in the range from 0 to 1. The empirical coefficient is a color code used to separate all colors in an image into two groups, black and white.</w:t>
      </w:r>
    </w:p>
    <w:p>
      <w:pPr>
        <w:pStyle w:val="FirstParagraph"/>
      </w:pPr>
      <w:r>
        <w:drawing>
          <wp:inline>
            <wp:extent cx="1660286" cy="1428750"/>
            <wp:effectExtent b="0" l="0" r="0" t="0"/>
            <wp:docPr descr="image info" title="" id="22" name="Picture"/>
            <a:graphic>
              <a:graphicData uri="http://schemas.openxmlformats.org/drawingml/2006/picture">
                <pic:pic>
                  <pic:nvPicPr>
                    <pic:cNvPr descr="./img/moth_body_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86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10571" cy="1428750"/>
            <wp:effectExtent b="0" l="0" r="0" t="0"/>
            <wp:docPr descr="image info" title="" id="25" name="Picture"/>
            <a:graphic>
              <a:graphicData uri="http://schemas.openxmlformats.org/drawingml/2006/picture">
                <pic:pic>
                  <pic:nvPicPr>
                    <pic:cNvPr descr="./img/moth_body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7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10571" cy="1428750"/>
            <wp:effectExtent b="0" l="0" r="0" t="0"/>
            <wp:docPr descr="image info" title="" id="28" name="Picture"/>
            <a:graphic>
              <a:graphicData uri="http://schemas.openxmlformats.org/drawingml/2006/picture">
                <pic:pic>
                  <pic:nvPicPr>
                    <pic:cNvPr descr="./img/moth_body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7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Search for the axis of rotation of an arbitrarily oriented body of a butterfly. The axis of rotation is a line connecting the two most distant points from each other. To reduce the search time, the convex hull of the figure is first constructed.</w:t>
      </w:r>
    </w:p>
    <w:p>
      <w:pPr>
        <w:pStyle w:val="FirstParagraph"/>
      </w:pPr>
      <w:r>
        <w:drawing>
          <wp:inline>
            <wp:extent cx="1810571" cy="14287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g/moth_body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7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In the set of points of the convex hull, we need to find two points that have a maximum distance function: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rad>
      </m:oMath>
      <w:r>
        <w:t xml:space="preserve">.</w:t>
      </w:r>
    </w:p>
    <w:p>
      <w:pPr>
        <w:pStyle w:val="FirstParagraph"/>
      </w:pPr>
      <w:r>
        <w:drawing>
          <wp:inline>
            <wp:extent cx="1810571" cy="1428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img/moth_body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7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Finding the angle between the rotation axis and the x-axis. Rotate the image so that the rotation axis is perpendicular to the x-axis and parallel to the y-axis.</w:t>
      </w:r>
    </w:p>
    <w:p>
      <w:pPr>
        <w:pStyle w:val="FirstParagraph"/>
      </w:pPr>
      <w:r>
        <w:drawing>
          <wp:inline>
            <wp:extent cx="1810571" cy="1428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img/moth_body_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7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10571" cy="1428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g/moth_body_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7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Dividing the silhouette into layers parallel to the x-axis. Finding the width of each layer. The width (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) of a layer is equal to the number of pixels in that layer multiplied by the physical size of a pixel. The layer height (</w:t>
      </w:r>
      <m:oMath>
        <m:r>
          <m:t>h</m:t>
        </m:r>
      </m:oMath>
      <w:r>
        <w:t xml:space="preserve">) is equal to the physical pixel size. Layer volume is: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p</m:t>
        </m:r>
        <m:r>
          <m:t>i</m:t>
        </m:r>
        <m:r>
          <m:rPr>
            <m:sty m:val="p"/>
          </m:rPr>
          <m:t>*</m:t>
        </m:r>
        <m:r>
          <m:t>h</m:t>
        </m:r>
      </m:oMath>
      <w:r>
        <w:t xml:space="preserve">. The total volume (V) is the sum of the volumes of its layers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bookmarkEnd w:id="42"/>
    <w:bookmarkStart w:id="55" w:name="X68a187ae6b9892bdebe248873b11ac43d8373c2"/>
    <w:p>
      <w:pPr>
        <w:pStyle w:val="Heading2"/>
      </w:pPr>
      <w:r>
        <w:t xml:space="preserve">Calculation of the moment of inertia of a butterfly wing</w:t>
      </w:r>
    </w:p>
    <w:p>
      <w:pPr>
        <w:pStyle w:val="FirstParagraph"/>
      </w:pPr>
      <w:r>
        <w:t xml:space="preserve">The algorithm for estimating the moment of inertia of a butterfly wing:</w:t>
      </w:r>
    </w:p>
    <w:p>
      <w:pPr>
        <w:numPr>
          <w:ilvl w:val="0"/>
          <w:numId w:val="1006"/>
        </w:numPr>
        <w:pStyle w:val="Compact"/>
      </w:pPr>
      <w:r>
        <w:t xml:space="preserve">Converting a color image to black and white.</w:t>
      </w:r>
    </w:p>
    <w:p>
      <w:pPr>
        <w:pStyle w:val="FirstParagraph"/>
      </w:pPr>
      <w:r>
        <w:drawing>
          <wp:inline>
            <wp:extent cx="1802800" cy="142875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g/right_wing_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02800" cy="14287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img/right_wing_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02800" cy="142875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g/right_wing_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Calculation of the coordinates of the conditional center of mass.</w:t>
      </w:r>
      <w:r>
        <w:t xml:space="preserve"> </w:t>
      </w:r>
      <w:r>
        <w:t xml:space="preserve">The classic formula for calculating the center of mass is: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i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acc>
                  <m:accPr>
                    <m:chr m:val="⃗"/>
                  </m:accPr>
                  <m:e>
                    <m:r>
                      <m:t>r</m:t>
                    </m:r>
                  </m:e>
                </m:acc>
              </m:e>
              <m:sub>
                <m: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i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den>
        </m:f>
      </m:oMath>
      <w:r>
        <w:t xml:space="preserve">.</w:t>
      </w:r>
      <w:r>
        <w:t xml:space="preserve"> </w:t>
      </w:r>
      <w:r>
        <w:t xml:space="preserve">In the case of a two-dimensional object, the formula takes the form: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den>
        </m:f>
      </m:oMath>
      <w:r>
        <w:t xml:space="preserve">;</w:t>
      </w:r>
      <w:r>
        <w:t xml:space="preserve"> </w:t>
      </w:r>
      <w:r>
        <w:t xml:space="preserve">If we take the mass of each point equal to 1, the formulas are noticeably simplified: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acc>
          <m:accPr>
            <m:chr m:val="‾"/>
          </m:accPr>
          <m:e>
            <m:r>
              <m:t>y</m:t>
            </m:r>
          </m:e>
        </m:acc>
      </m:oMath>
      <w:r>
        <w:t xml:space="preserve">.</w:t>
      </w:r>
    </w:p>
    <w:p>
      <w:pPr>
        <w:pStyle w:val="FirstParagraph"/>
      </w:pPr>
      <w:r>
        <w:drawing>
          <wp:inline>
            <wp:extent cx="1802800" cy="1428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img/right_wing_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The classical formula for calculating the moment of inertia is:</w:t>
      </w:r>
      <w:r>
        <w:t xml:space="preserve"> </w:t>
      </w:r>
      <m:oMath>
        <m:sSub>
          <m:e>
            <m:r>
              <m:t>J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  <m:sSubSup>
          <m:e>
            <m:r>
              <m:t>r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mass of</w:t>
      </w:r>
      <w:r>
        <w:t xml:space="preserve"> </w:t>
      </w:r>
      <m:oMath>
        <m:r>
          <m:t>i</m:t>
        </m:r>
      </m:oMath>
      <w:r>
        <w:t xml:space="preserve">-th point;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distance from the</w:t>
      </w:r>
      <w:r>
        <w:t xml:space="preserve"> </w:t>
      </w:r>
      <m:oMath>
        <m:r>
          <m:t>i</m:t>
        </m:r>
      </m:oMath>
      <w:r>
        <w:t xml:space="preserve">-th point to the axis.</w:t>
      </w:r>
      <w:r>
        <w:t xml:space="preserve"> </w:t>
      </w:r>
      <w:r>
        <w:t xml:space="preserve">If we take the mass of each point equal to 1, and for the point of the axis we take the center of mass,</w:t>
      </w:r>
      <w:r>
        <w:t xml:space="preserve"> </w:t>
      </w:r>
      <w:r>
        <w:t xml:space="preserve">the formula will take the form:</w:t>
      </w:r>
      <w:r>
        <w:t xml:space="preserve"> </w:t>
      </w:r>
      <m:oMath>
        <m:sSub>
          <m:e>
            <m:r>
              <m:t>J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r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d>
          </m:e>
        </m:nary>
      </m:oMath>
    </w:p>
    <w:bookmarkEnd w:id="55"/>
    <w:bookmarkStart w:id="56" w:name="finding-the-wing-mount"/>
    <w:p>
      <w:pPr>
        <w:pStyle w:val="Heading2"/>
      </w:pPr>
      <w:r>
        <w:t xml:space="preserve">Finding the wing mount</w:t>
      </w:r>
    </w:p>
    <w:p>
      <w:pPr>
        <w:pStyle w:val="FirstParagraph"/>
      </w:pPr>
      <w:r>
        <w:t xml:space="preserve">To be continued…</w:t>
      </w:r>
    </w:p>
    <w:p>
      <w:pPr>
        <w:pStyle w:val="BodyText"/>
      </w:pPr>
      <w:r>
        <w:t xml:space="preserve">[1]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|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|</m:t>
        </m:r>
      </m:oMath>
    </w:p>
    <w:bookmarkEnd w:id="56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8" w:name="ref-Triangle-are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Wikipedia.org (2022)</w:t>
      </w:r>
      <w:r>
        <w:t xml:space="preserve"> </w:t>
      </w:r>
      <w:hyperlink r:id="rId57">
        <w:r>
          <w:rPr>
            <w:rStyle w:val="Hyperlink"/>
          </w:rPr>
          <w:t xml:space="preserve">Computing the area of a triangle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57" Target="https://en.wikipedia.org/wiki/Triangle#Using_coordinates" TargetMode="External" /><Relationship Type="http://schemas.openxmlformats.org/officeDocument/2006/relationships/hyperlink" Id="rId20" Target="https://github.com/andy-aa/butterfly_sc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iki/Triangle#Using_coordinates" TargetMode="External" /><Relationship Type="http://schemas.openxmlformats.org/officeDocument/2006/relationships/hyperlink" Id="rId20" Target="https://github.com/andy-aa/butterfly_sc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Butterfly scan</dc:title>
  <dc:creator/>
  <cp:keywords/>
  <dcterms:created xsi:type="dcterms:W3CDTF">2022-05-13T04:23:22Z</dcterms:created>
  <dcterms:modified xsi:type="dcterms:W3CDTF">2022-05-13T04:23:22Z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aims-mathematics.csl</vt:lpwstr>
  </property>
  <property fmtid="{D5CDD505-2E9C-101B-9397-08002B2CF9AE}" pid="4" name="date">
    <vt:lpwstr/>
  </property>
  <property fmtid="{D5CDD505-2E9C-101B-9397-08002B2CF9AE}" pid="5" name="output">
    <vt:lpwstr/>
  </property>
</Properties>
</file>