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AFA8" w14:textId="77777777" w:rsidR="0096405E" w:rsidRDefault="00000000">
      <w:pPr>
        <w:pStyle w:val="Heading1"/>
      </w:pPr>
      <w:bookmarkStart w:id="0" w:name="aem-as-a-cloud-service-best-practices"/>
      <w:r>
        <w:t>AEM as a Cloud Service Best Practices</w:t>
      </w:r>
    </w:p>
    <w:p w14:paraId="08AC7CA7" w14:textId="77777777" w:rsidR="0096405E" w:rsidRDefault="00000000">
      <w:pPr>
        <w:pStyle w:val="FirstParagraph"/>
      </w:pPr>
      <w:r>
        <w:rPr>
          <w:i/>
          <w:iCs/>
        </w:rPr>
        <w:t>All Roles – SHRSS-Aware Consolidated Volume</w:t>
      </w:r>
    </w:p>
    <w:p w14:paraId="5C36C41F" w14:textId="77777777" w:rsidR="0096405E" w:rsidRDefault="00000000">
      <w:r>
        <w:rPr>
          <w:b/>
          <w:bCs/>
        </w:rPr>
        <w:t>Purpose</w:t>
      </w:r>
      <w:r>
        <w:t xml:space="preserve"> A deep, experience-based reference for AEM as a Cloud Service (AEMaaCS) across all roles (engineering, admin/DevOps, authors, DAM). This volume goes beyond Experience League in depth and opinion, while continuously pointing to public docs for alignment. SHRSS-specific overlays highlight how these practices apply to the Seminole Hard Rock Support Services implementation.</w:t>
      </w:r>
    </w:p>
    <w:p w14:paraId="3C0EAE9B" w14:textId="77777777" w:rsidR="0096405E" w:rsidRDefault="00000000">
      <w:pPr>
        <w:pStyle w:val="Heading2"/>
      </w:pPr>
      <w:bookmarkStart w:id="1" w:name="how-to-use-this-volume"/>
      <w:r>
        <w:t>1. How to Use This Volume</w:t>
      </w:r>
    </w:p>
    <w:p w14:paraId="1A4D45E1" w14:textId="77777777" w:rsidR="0096405E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For engineering (developers &amp; technical architects)</w:t>
      </w:r>
      <w:r>
        <w:t xml:space="preserve"> Focus on §§2–3 and the </w:t>
      </w:r>
      <w:r>
        <w:rPr>
          <w:i/>
          <w:iCs/>
        </w:rPr>
        <w:t>Engineering SHRSS Overlay</w:t>
      </w:r>
      <w:r>
        <w:t xml:space="preserve"> subsections.</w:t>
      </w:r>
    </w:p>
    <w:p w14:paraId="217E8CDA" w14:textId="77777777" w:rsidR="0096405E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For admins / DevOps</w:t>
      </w:r>
      <w:r>
        <w:t xml:space="preserve"> Focus on §§2 and 4 plus the </w:t>
      </w:r>
      <w:r>
        <w:rPr>
          <w:i/>
          <w:iCs/>
        </w:rPr>
        <w:t>Admin/DevOps SHRSS Overlay</w:t>
      </w:r>
      <w:r>
        <w:t>.</w:t>
      </w:r>
    </w:p>
    <w:p w14:paraId="0EEE3EF2" w14:textId="77777777" w:rsidR="0096405E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For authors</w:t>
      </w:r>
      <w:r>
        <w:t xml:space="preserve"> Focus on §5 plus the </w:t>
      </w:r>
      <w:r>
        <w:rPr>
          <w:i/>
          <w:iCs/>
        </w:rPr>
        <w:t>Author SHRSS Overlay</w:t>
      </w:r>
      <w:r>
        <w:t xml:space="preserve">; pair with the </w:t>
      </w:r>
      <w:r>
        <w:rPr>
          <w:rStyle w:val="VerbatimChar"/>
        </w:rPr>
        <w:t>SHRSS AEM Content Authoring Guide</w:t>
      </w:r>
      <w:r>
        <w:t>.</w:t>
      </w:r>
    </w:p>
    <w:p w14:paraId="64F182C8" w14:textId="77777777" w:rsidR="0096405E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For DAM architects/librarians</w:t>
      </w:r>
      <w:r>
        <w:t xml:space="preserve"> Focus on §6 plus the </w:t>
      </w:r>
      <w:r>
        <w:rPr>
          <w:i/>
          <w:iCs/>
        </w:rPr>
        <w:t>DAM SHRSS Overlay</w:t>
      </w:r>
      <w:r>
        <w:t>.</w:t>
      </w:r>
    </w:p>
    <w:p w14:paraId="20332DB1" w14:textId="77777777" w:rsidR="0096405E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For indexing &amp; performance</w:t>
      </w:r>
      <w:r>
        <w:t xml:space="preserve"> Use this volume as an overview; see the separate </w:t>
      </w:r>
      <w:r>
        <w:rPr>
          <w:b/>
          <w:bCs/>
        </w:rPr>
        <w:t>SHRSS Indexing &amp; Performance Volume</w:t>
      </w:r>
      <w:r>
        <w:t xml:space="preserve"> for worked examples (e.g., Jobs index).</w:t>
      </w:r>
    </w:p>
    <w:p w14:paraId="666C9C84" w14:textId="77777777" w:rsidR="0096405E" w:rsidRDefault="00000000">
      <w:pPr>
        <w:pStyle w:val="FirstParagraph"/>
      </w:pPr>
      <w:r>
        <w:t>Cross‑link this volume from your role‑specific volumes and from the SHRSS SDD as “Authoritative AEMaaCS Practices.”</w:t>
      </w:r>
    </w:p>
    <w:p w14:paraId="6FBD5D26" w14:textId="77777777" w:rsidR="0096405E" w:rsidRDefault="00000000">
      <w:pPr>
        <w:pStyle w:val="Heading2"/>
      </w:pPr>
      <w:bookmarkStart w:id="2" w:name="platform-architecture-fundamentals"/>
      <w:bookmarkEnd w:id="1"/>
      <w:r>
        <w:t>2. Platform &amp; Architecture Fundamentals</w:t>
      </w:r>
    </w:p>
    <w:p w14:paraId="4EAB7BE8" w14:textId="77777777" w:rsidR="0096405E" w:rsidRDefault="00000000">
      <w:pPr>
        <w:pStyle w:val="Heading3"/>
      </w:pPr>
      <w:bookmarkStart w:id="3" w:name="cloud-native-principles"/>
      <w:r>
        <w:t>2.1 Cloud-Native Principles</w:t>
      </w:r>
    </w:p>
    <w:p w14:paraId="23BD4BEC" w14:textId="77777777" w:rsidR="0096405E" w:rsidRDefault="00000000">
      <w:pPr>
        <w:pStyle w:val="FirstParagraph"/>
      </w:pPr>
      <w:r>
        <w:rPr>
          <w:b/>
          <w:bCs/>
        </w:rPr>
        <w:t>Key ideas</w:t>
      </w:r>
    </w:p>
    <w:p w14:paraId="30167201" w14:textId="77777777" w:rsidR="0096405E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Immutable + stateless code</w:t>
      </w:r>
    </w:p>
    <w:p w14:paraId="68205EF6" w14:textId="77777777" w:rsidR="0096405E" w:rsidRDefault="00000000">
      <w:pPr>
        <w:pStyle w:val="Compact"/>
        <w:numPr>
          <w:ilvl w:val="1"/>
          <w:numId w:val="91"/>
        </w:numPr>
      </w:pPr>
      <w:r>
        <w:t xml:space="preserve">Application code is baked into images; authors never edit </w:t>
      </w:r>
      <w:r>
        <w:rPr>
          <w:rStyle w:val="VerbatimChar"/>
        </w:rPr>
        <w:t>/apps</w:t>
      </w:r>
      <w:r>
        <w:t xml:space="preserve"> or </w:t>
      </w:r>
      <w:r>
        <w:rPr>
          <w:rStyle w:val="VerbatimChar"/>
        </w:rPr>
        <w:t>/libs</w:t>
      </w:r>
      <w:r>
        <w:t xml:space="preserve"> in runtime.</w:t>
      </w:r>
      <w:r>
        <w:br/>
      </w:r>
    </w:p>
    <w:p w14:paraId="3CE7F1F6" w14:textId="77777777" w:rsidR="0096405E" w:rsidRDefault="00000000">
      <w:pPr>
        <w:pStyle w:val="Compact"/>
        <w:numPr>
          <w:ilvl w:val="1"/>
          <w:numId w:val="91"/>
        </w:numPr>
      </w:pPr>
      <w:r>
        <w:t>Runtime instances are stateless; any state must live in JCR, external systems, or caches with safe invalidation.</w:t>
      </w:r>
    </w:p>
    <w:p w14:paraId="293A481B" w14:textId="77777777" w:rsidR="0096405E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Horizontal scale, not vertical</w:t>
      </w:r>
    </w:p>
    <w:p w14:paraId="3BECF034" w14:textId="77777777" w:rsidR="0096405E" w:rsidRDefault="00000000">
      <w:pPr>
        <w:pStyle w:val="Compact"/>
        <w:numPr>
          <w:ilvl w:val="1"/>
          <w:numId w:val="92"/>
        </w:numPr>
      </w:pPr>
      <w:r>
        <w:t>Scale is achieved by adding pods, not by making servers bigger.</w:t>
      </w:r>
      <w:r>
        <w:br/>
      </w:r>
    </w:p>
    <w:p w14:paraId="0BC7BDCE" w14:textId="77777777" w:rsidR="0096405E" w:rsidRDefault="00000000">
      <w:pPr>
        <w:pStyle w:val="Compact"/>
        <w:numPr>
          <w:ilvl w:val="1"/>
          <w:numId w:val="92"/>
        </w:numPr>
      </w:pPr>
      <w:r>
        <w:t xml:space="preserve">Code must be </w:t>
      </w:r>
      <w:r>
        <w:rPr>
          <w:b/>
          <w:bCs/>
        </w:rPr>
        <w:t>idempotent and cluster‑safe</w:t>
      </w:r>
      <w:r>
        <w:t>—no “singleton” assumptions.</w:t>
      </w:r>
    </w:p>
    <w:p w14:paraId="08C9432F" w14:textId="77777777" w:rsidR="0096405E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Always-on, always‑current</w:t>
      </w:r>
    </w:p>
    <w:p w14:paraId="2C231028" w14:textId="77777777" w:rsidR="0096405E" w:rsidRDefault="00000000">
      <w:pPr>
        <w:pStyle w:val="Compact"/>
        <w:numPr>
          <w:ilvl w:val="1"/>
          <w:numId w:val="93"/>
        </w:numPr>
      </w:pPr>
      <w:r>
        <w:t>No more one‑off “upgrade projects”: AEMaaCS is continuously updated by Adobe.</w:t>
      </w:r>
      <w:r>
        <w:br/>
      </w:r>
    </w:p>
    <w:p w14:paraId="582F9D34" w14:textId="77777777" w:rsidR="0096405E" w:rsidRDefault="00000000">
      <w:pPr>
        <w:pStyle w:val="Compact"/>
        <w:numPr>
          <w:ilvl w:val="1"/>
          <w:numId w:val="93"/>
        </w:numPr>
      </w:pPr>
      <w:r>
        <w:t>Custom code must tolerate underlying platform changes and follow supported APIs.</w:t>
      </w:r>
    </w:p>
    <w:p w14:paraId="35AEC974" w14:textId="77777777" w:rsidR="0096405E" w:rsidRDefault="00000000">
      <w:pPr>
        <w:pStyle w:val="FirstParagraph"/>
      </w:pPr>
      <w:r>
        <w:rPr>
          <w:b/>
          <w:bCs/>
        </w:rPr>
        <w:t>Reference</w:t>
      </w:r>
    </w:p>
    <w:p w14:paraId="0D7340C2" w14:textId="77777777" w:rsidR="0096405E" w:rsidRDefault="00000000">
      <w:pPr>
        <w:pStyle w:val="Compact"/>
        <w:numPr>
          <w:ilvl w:val="0"/>
          <w:numId w:val="94"/>
        </w:numPr>
      </w:pPr>
      <w:hyperlink r:id="rId7">
        <w:r>
          <w:rPr>
            <w:rStyle w:val="Hyperlink"/>
          </w:rPr>
          <w:t>Introduction to the Architecture of Adobe Experience Manager as a Cloud Service</w:t>
        </w:r>
      </w:hyperlink>
      <w:r>
        <w:br/>
      </w:r>
    </w:p>
    <w:p w14:paraId="19880F3F" w14:textId="77777777" w:rsidR="0096405E" w:rsidRDefault="00000000">
      <w:pPr>
        <w:pStyle w:val="Compact"/>
        <w:numPr>
          <w:ilvl w:val="0"/>
          <w:numId w:val="94"/>
        </w:numPr>
      </w:pPr>
      <w:hyperlink r:id="rId8">
        <w:r>
          <w:rPr>
            <w:rStyle w:val="Hyperlink"/>
          </w:rPr>
          <w:t>AEM Technical Foundations</w:t>
        </w:r>
      </w:hyperlink>
    </w:p>
    <w:p w14:paraId="13BDA347" w14:textId="77777777" w:rsidR="0096405E" w:rsidRDefault="00000000">
      <w:pPr>
        <w:pStyle w:val="Heading4"/>
      </w:pPr>
      <w:bookmarkStart w:id="4" w:name="shrss-overlay-platform"/>
      <w:r>
        <w:t>SHRSS Overlay – Platform</w:t>
      </w:r>
    </w:p>
    <w:p w14:paraId="6D2DA7E4" w14:textId="77777777" w:rsidR="0096405E" w:rsidRDefault="00000000">
      <w:pPr>
        <w:pStyle w:val="Compact"/>
        <w:numPr>
          <w:ilvl w:val="0"/>
          <w:numId w:val="95"/>
        </w:numPr>
      </w:pPr>
      <w:r>
        <w:t xml:space="preserve">SHRSS uses </w:t>
      </w:r>
      <w:r>
        <w:rPr>
          <w:b/>
          <w:bCs/>
        </w:rPr>
        <w:t>AEM Sites + Assets</w:t>
      </w:r>
      <w:r>
        <w:t xml:space="preserve"> on AEMaaCS for jobs, events, news, locations, careers, and brand experiences.</w:t>
      </w:r>
      <w:r>
        <w:br/>
      </w:r>
    </w:p>
    <w:p w14:paraId="0B8ED283" w14:textId="77777777" w:rsidR="0096405E" w:rsidRDefault="00000000">
      <w:pPr>
        <w:pStyle w:val="Compact"/>
        <w:numPr>
          <w:ilvl w:val="0"/>
          <w:numId w:val="95"/>
        </w:numPr>
      </w:pPr>
      <w:r>
        <w:t xml:space="preserve">Most </w:t>
      </w:r>
      <w:r>
        <w:rPr>
          <w:b/>
          <w:bCs/>
        </w:rPr>
        <w:t>business data</w:t>
      </w:r>
      <w:r>
        <w:t xml:space="preserve"> (Jobs, Events, Locations, some Shared Data) is modeled as </w:t>
      </w:r>
      <w:r>
        <w:rPr>
          <w:b/>
          <w:bCs/>
        </w:rPr>
        <w:t>Content Fragments</w:t>
      </w:r>
      <w:r>
        <w:t xml:space="preserve"> (CFs) under </w:t>
      </w:r>
      <w:r>
        <w:rPr>
          <w:rStyle w:val="VerbatimChar"/>
        </w:rPr>
        <w:t>/content/dam/shrss/...</w:t>
      </w:r>
      <w:r>
        <w:t>.</w:t>
      </w:r>
      <w:r>
        <w:br/>
      </w:r>
    </w:p>
    <w:p w14:paraId="012EA8A9" w14:textId="77777777" w:rsidR="0096405E" w:rsidRDefault="00000000">
      <w:pPr>
        <w:pStyle w:val="Compact"/>
        <w:numPr>
          <w:ilvl w:val="0"/>
          <w:numId w:val="95"/>
        </w:numPr>
      </w:pPr>
      <w:r>
        <w:t xml:space="preserve">Integrations (e.g., </w:t>
      </w:r>
      <w:r>
        <w:rPr>
          <w:b/>
          <w:bCs/>
        </w:rPr>
        <w:t>Workday → Jobs</w:t>
      </w:r>
      <w:r>
        <w:t xml:space="preserve">, DPLT → Locations, TransPerfect → translations) treat AEM as a </w:t>
      </w:r>
      <w:r>
        <w:rPr>
          <w:b/>
          <w:bCs/>
        </w:rPr>
        <w:t>view + orchestration layer</w:t>
      </w:r>
      <w:r>
        <w:t>, not a system of record.</w:t>
      </w:r>
    </w:p>
    <w:p w14:paraId="7609104A" w14:textId="77777777" w:rsidR="0096405E" w:rsidRDefault="00000000">
      <w:pPr>
        <w:pStyle w:val="Compact"/>
        <w:numPr>
          <w:ilvl w:val="0"/>
          <w:numId w:val="95"/>
        </w:numPr>
      </w:pPr>
      <w:r>
        <w:t xml:space="preserve">SHRSS pipelines and RDEs must treat </w:t>
      </w:r>
      <w:r>
        <w:rPr>
          <w:b/>
          <w:bCs/>
        </w:rPr>
        <w:t>every environment as ephemeral</w:t>
      </w:r>
      <w:r>
        <w:t xml:space="preserve">: no manual config, no environment‑only code, no author‑side hotfixes in </w:t>
      </w:r>
      <w:r>
        <w:rPr>
          <w:rStyle w:val="VerbatimChar"/>
        </w:rPr>
        <w:t>/apps</w:t>
      </w:r>
      <w:r>
        <w:t>.</w:t>
      </w:r>
    </w:p>
    <w:p w14:paraId="54C2F03A" w14:textId="77777777" w:rsidR="0096405E" w:rsidRDefault="00000000">
      <w:pPr>
        <w:pStyle w:val="Heading2"/>
      </w:pPr>
      <w:bookmarkStart w:id="5" w:name="X86e6db5f5415172c2858cd51be9f1f9bc8cc40b"/>
      <w:bookmarkEnd w:id="2"/>
      <w:bookmarkEnd w:id="3"/>
      <w:bookmarkEnd w:id="4"/>
      <w:r>
        <w:t>3. Engineering (Developers &amp; Technical Architects)</w:t>
      </w:r>
    </w:p>
    <w:p w14:paraId="5586C459" w14:textId="77777777" w:rsidR="0096405E" w:rsidRDefault="00000000">
      <w:pPr>
        <w:pStyle w:val="Heading3"/>
      </w:pPr>
      <w:bookmarkStart w:id="6" w:name="core-engineering-practices"/>
      <w:r>
        <w:t>3.1 Core Engineering Practices</w:t>
      </w:r>
    </w:p>
    <w:p w14:paraId="2E277E06" w14:textId="77777777" w:rsidR="0096405E" w:rsidRDefault="00000000">
      <w:pPr>
        <w:pStyle w:val="FirstParagraph"/>
      </w:pPr>
      <w:r>
        <w:rPr>
          <w:b/>
          <w:bCs/>
        </w:rPr>
        <w:t>3.1.1 Project &amp; Module Structure</w:t>
      </w:r>
    </w:p>
    <w:p w14:paraId="3C1A710A" w14:textId="77777777" w:rsidR="0096405E" w:rsidRDefault="00000000">
      <w:pPr>
        <w:pStyle w:val="Compact"/>
        <w:numPr>
          <w:ilvl w:val="0"/>
          <w:numId w:val="96"/>
        </w:numPr>
      </w:pPr>
      <w:r>
        <w:t xml:space="preserve">Use the </w:t>
      </w:r>
      <w:r>
        <w:rPr>
          <w:b/>
          <w:bCs/>
        </w:rPr>
        <w:t>AEM Project Archetype</w:t>
      </w:r>
      <w:r>
        <w:t xml:space="preserve"> patterns:</w:t>
      </w:r>
    </w:p>
    <w:p w14:paraId="5D6F63B3" w14:textId="77777777" w:rsidR="0096405E" w:rsidRDefault="00000000">
      <w:pPr>
        <w:pStyle w:val="Compact"/>
        <w:numPr>
          <w:ilvl w:val="1"/>
          <w:numId w:val="97"/>
        </w:numPr>
      </w:pPr>
      <w:r>
        <w:rPr>
          <w:rStyle w:val="VerbatimChar"/>
        </w:rPr>
        <w:t>core</w:t>
      </w:r>
      <w:r>
        <w:t>: Java, Sling Models, OSGi services, schedulers.</w:t>
      </w:r>
    </w:p>
    <w:p w14:paraId="1550A66B" w14:textId="77777777" w:rsidR="0096405E" w:rsidRDefault="00000000">
      <w:pPr>
        <w:pStyle w:val="Compact"/>
        <w:numPr>
          <w:ilvl w:val="1"/>
          <w:numId w:val="97"/>
        </w:numPr>
      </w:pPr>
      <w:r>
        <w:rPr>
          <w:rStyle w:val="VerbatimChar"/>
        </w:rPr>
        <w:t>ui.apps</w:t>
      </w:r>
      <w:r>
        <w:t>: components, dialogs, clientlibs, policies.</w:t>
      </w:r>
    </w:p>
    <w:p w14:paraId="520D08EC" w14:textId="77777777" w:rsidR="0096405E" w:rsidRDefault="00000000">
      <w:pPr>
        <w:pStyle w:val="Compact"/>
        <w:numPr>
          <w:ilvl w:val="1"/>
          <w:numId w:val="97"/>
        </w:numPr>
      </w:pPr>
      <w:r>
        <w:rPr>
          <w:rStyle w:val="VerbatimChar"/>
        </w:rPr>
        <w:t>ui.frontend</w:t>
      </w:r>
      <w:r>
        <w:t>: front‑end build (Webpack/Rollup), compiled into clientlibs.</w:t>
      </w:r>
    </w:p>
    <w:p w14:paraId="591C2C76" w14:textId="77777777" w:rsidR="0096405E" w:rsidRDefault="00000000">
      <w:pPr>
        <w:pStyle w:val="Compact"/>
        <w:numPr>
          <w:ilvl w:val="1"/>
          <w:numId w:val="97"/>
        </w:numPr>
      </w:pPr>
      <w:r>
        <w:rPr>
          <w:rStyle w:val="VerbatimChar"/>
        </w:rPr>
        <w:t>ui.config</w:t>
      </w:r>
      <w:r>
        <w:t>: OSGi configs, repo init.</w:t>
      </w:r>
    </w:p>
    <w:p w14:paraId="28E285D5" w14:textId="77777777" w:rsidR="0096405E" w:rsidRDefault="00000000">
      <w:pPr>
        <w:pStyle w:val="Compact"/>
        <w:numPr>
          <w:ilvl w:val="1"/>
          <w:numId w:val="97"/>
        </w:numPr>
      </w:pPr>
      <w:r>
        <w:rPr>
          <w:rStyle w:val="VerbatimChar"/>
        </w:rPr>
        <w:t>dispatcher</w:t>
      </w:r>
      <w:r>
        <w:t>: Apache/Dispatcher configuration for cloud.</w:t>
      </w:r>
    </w:p>
    <w:p w14:paraId="1535037D" w14:textId="77777777" w:rsidR="0096405E" w:rsidRDefault="00000000">
      <w:pPr>
        <w:pStyle w:val="Compact"/>
        <w:numPr>
          <w:ilvl w:val="1"/>
          <w:numId w:val="97"/>
        </w:numPr>
      </w:pPr>
      <w:r>
        <w:rPr>
          <w:rStyle w:val="VerbatimChar"/>
        </w:rPr>
        <w:t>it.tests</w:t>
      </w:r>
      <w:r>
        <w:t xml:space="preserve"> / </w:t>
      </w:r>
      <w:r>
        <w:rPr>
          <w:rStyle w:val="VerbatimChar"/>
        </w:rPr>
        <w:t>ui.tests</w:t>
      </w:r>
      <w:r>
        <w:t>: integration and Cypress/Playwright tests wired to Cloud Manager.</w:t>
      </w:r>
    </w:p>
    <w:p w14:paraId="2DD39459" w14:textId="77777777" w:rsidR="0096405E" w:rsidRDefault="00000000">
      <w:pPr>
        <w:pStyle w:val="Compact"/>
        <w:numPr>
          <w:ilvl w:val="0"/>
          <w:numId w:val="96"/>
        </w:numPr>
      </w:pPr>
      <w:r>
        <w:rPr>
          <w:b/>
          <w:bCs/>
        </w:rPr>
        <w:t>Never ship content</w:t>
      </w:r>
      <w:r>
        <w:t xml:space="preserve"> (e.g., real pages, users, groups) in </w:t>
      </w:r>
      <w:r>
        <w:rPr>
          <w:rStyle w:val="VerbatimChar"/>
        </w:rPr>
        <w:t>ui.apps</w:t>
      </w:r>
      <w:r>
        <w:t xml:space="preserve">; limit </w:t>
      </w:r>
      <w:r>
        <w:rPr>
          <w:rStyle w:val="VerbatimChar"/>
        </w:rPr>
        <w:t>ui.content</w:t>
      </w:r>
      <w:r>
        <w:t xml:space="preserve"> to baseline configuration/content only.</w:t>
      </w:r>
    </w:p>
    <w:p w14:paraId="28EEEE2E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71341800" w14:textId="77777777" w:rsidR="0096405E" w:rsidRDefault="00000000">
      <w:pPr>
        <w:pStyle w:val="Compact"/>
        <w:numPr>
          <w:ilvl w:val="0"/>
          <w:numId w:val="98"/>
        </w:numPr>
      </w:pPr>
      <w:hyperlink r:id="rId9">
        <w:r>
          <w:rPr>
            <w:rStyle w:val="Hyperlink"/>
          </w:rPr>
          <w:t>AEM Project Structure</w:t>
        </w:r>
      </w:hyperlink>
      <w:r>
        <w:br/>
      </w:r>
    </w:p>
    <w:p w14:paraId="7689A82A" w14:textId="77777777" w:rsidR="0096405E" w:rsidRDefault="00000000">
      <w:pPr>
        <w:pStyle w:val="Compact"/>
        <w:numPr>
          <w:ilvl w:val="0"/>
          <w:numId w:val="98"/>
        </w:numPr>
      </w:pPr>
      <w:hyperlink r:id="rId10">
        <w:r>
          <w:rPr>
            <w:rStyle w:val="Hyperlink"/>
          </w:rPr>
          <w:t>AEM Project Archetype Overview</w:t>
        </w:r>
      </w:hyperlink>
    </w:p>
    <w:p w14:paraId="1A055051" w14:textId="77777777" w:rsidR="0096405E" w:rsidRDefault="00000000">
      <w:pPr>
        <w:pStyle w:val="FirstParagraph"/>
      </w:pPr>
      <w:r>
        <w:rPr>
          <w:b/>
          <w:bCs/>
        </w:rPr>
        <w:t>3.1.2 Components, HTL &amp; Sling Models</w:t>
      </w:r>
    </w:p>
    <w:p w14:paraId="58E6ED0B" w14:textId="77777777" w:rsidR="0096405E" w:rsidRDefault="00000000">
      <w:pPr>
        <w:pStyle w:val="Compact"/>
        <w:numPr>
          <w:ilvl w:val="0"/>
          <w:numId w:val="99"/>
        </w:numPr>
      </w:pPr>
      <w:r>
        <w:rPr>
          <w:b/>
          <w:bCs/>
        </w:rPr>
        <w:t>HTL (Sightly) best practices</w:t>
      </w:r>
    </w:p>
    <w:p w14:paraId="2E20B2FD" w14:textId="77777777" w:rsidR="0096405E" w:rsidRDefault="00000000">
      <w:pPr>
        <w:pStyle w:val="Compact"/>
        <w:numPr>
          <w:ilvl w:val="1"/>
          <w:numId w:val="100"/>
        </w:numPr>
      </w:pPr>
      <w:r>
        <w:t>Zero business logic: only simple expressions, conditionals, iteration.</w:t>
      </w:r>
    </w:p>
    <w:p w14:paraId="377F4E48" w14:textId="77777777" w:rsidR="0096405E" w:rsidRDefault="00000000">
      <w:pPr>
        <w:pStyle w:val="Compact"/>
        <w:numPr>
          <w:ilvl w:val="1"/>
          <w:numId w:val="100"/>
        </w:numPr>
      </w:pPr>
      <w:r>
        <w:t>Delegate to Sling Models for any logic or external integrations.</w:t>
      </w:r>
    </w:p>
    <w:p w14:paraId="29EAE6BE" w14:textId="77777777" w:rsidR="0096405E" w:rsidRDefault="00000000">
      <w:pPr>
        <w:pStyle w:val="Compact"/>
        <w:numPr>
          <w:ilvl w:val="0"/>
          <w:numId w:val="99"/>
        </w:numPr>
      </w:pPr>
      <w:r>
        <w:rPr>
          <w:b/>
          <w:bCs/>
        </w:rPr>
        <w:lastRenderedPageBreak/>
        <w:t>Sling Models</w:t>
      </w:r>
    </w:p>
    <w:p w14:paraId="33A2BE8C" w14:textId="77777777" w:rsidR="0096405E" w:rsidRDefault="00000000">
      <w:pPr>
        <w:pStyle w:val="Compact"/>
        <w:numPr>
          <w:ilvl w:val="1"/>
          <w:numId w:val="101"/>
        </w:numPr>
      </w:pPr>
      <w:r>
        <w:t xml:space="preserve">Prefer </w:t>
      </w:r>
      <w:r>
        <w:rPr>
          <w:rStyle w:val="VerbatimChar"/>
        </w:rPr>
        <w:t>@Model(adaptables = Resource.class)</w:t>
      </w:r>
      <w:r>
        <w:t xml:space="preserve"> for components; </w:t>
      </w:r>
      <w:r>
        <w:rPr>
          <w:rStyle w:val="VerbatimChar"/>
        </w:rPr>
        <w:t>SlingHttpServletRequest</w:t>
      </w:r>
      <w:r>
        <w:t xml:space="preserve"> only when needed.</w:t>
      </w:r>
    </w:p>
    <w:p w14:paraId="0574CB31" w14:textId="77777777" w:rsidR="0096405E" w:rsidRDefault="00000000">
      <w:pPr>
        <w:pStyle w:val="Compact"/>
        <w:numPr>
          <w:ilvl w:val="1"/>
          <w:numId w:val="101"/>
        </w:numPr>
      </w:pPr>
      <w:r>
        <w:t>Keep models pure: no writes to repository in getters; no heavy I/O in constructors.</w:t>
      </w:r>
    </w:p>
    <w:p w14:paraId="6CA3D178" w14:textId="77777777" w:rsidR="0096405E" w:rsidRDefault="00000000">
      <w:pPr>
        <w:pStyle w:val="Compact"/>
        <w:numPr>
          <w:ilvl w:val="0"/>
          <w:numId w:val="99"/>
        </w:numPr>
      </w:pPr>
      <w:r>
        <w:rPr>
          <w:b/>
          <w:bCs/>
        </w:rPr>
        <w:t>OSGi Services</w:t>
      </w:r>
    </w:p>
    <w:p w14:paraId="63A7CB0C" w14:textId="77777777" w:rsidR="0096405E" w:rsidRDefault="00000000">
      <w:pPr>
        <w:pStyle w:val="Compact"/>
        <w:numPr>
          <w:ilvl w:val="1"/>
          <w:numId w:val="102"/>
        </w:numPr>
      </w:pPr>
      <w:r>
        <w:t>Encapsulate integrations (Workday, TransPerfect, DPLT, etc.) behind interfaces.</w:t>
      </w:r>
    </w:p>
    <w:p w14:paraId="37257F20" w14:textId="77777777" w:rsidR="0096405E" w:rsidRDefault="00000000">
      <w:pPr>
        <w:pStyle w:val="Compact"/>
        <w:numPr>
          <w:ilvl w:val="1"/>
          <w:numId w:val="102"/>
        </w:numPr>
      </w:pPr>
      <w:r>
        <w:t xml:space="preserve">Use </w:t>
      </w:r>
      <w:r>
        <w:rPr>
          <w:b/>
          <w:bCs/>
        </w:rPr>
        <w:t>factory configs</w:t>
      </w:r>
      <w:r>
        <w:t xml:space="preserve"> and environment variables for endpoints/credentials, never hard‑code URLs or secrets.</w:t>
      </w:r>
    </w:p>
    <w:p w14:paraId="348ABA74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491FC716" w14:textId="77777777" w:rsidR="0096405E" w:rsidRDefault="00000000">
      <w:pPr>
        <w:pStyle w:val="Compact"/>
        <w:numPr>
          <w:ilvl w:val="0"/>
          <w:numId w:val="103"/>
        </w:numPr>
      </w:pPr>
      <w:hyperlink r:id="rId11">
        <w:r>
          <w:rPr>
            <w:rStyle w:val="Hyperlink"/>
          </w:rPr>
          <w:t>Component Development in AEM Sites</w:t>
        </w:r>
      </w:hyperlink>
    </w:p>
    <w:p w14:paraId="632573C0" w14:textId="77777777" w:rsidR="0096405E" w:rsidRDefault="00000000">
      <w:pPr>
        <w:pStyle w:val="FirstParagraph"/>
      </w:pPr>
      <w:r>
        <w:rPr>
          <w:b/>
          <w:bCs/>
        </w:rPr>
        <w:t>3.1.3 Cloud-Aware Coding</w:t>
      </w:r>
    </w:p>
    <w:p w14:paraId="2ED68802" w14:textId="77777777" w:rsidR="0096405E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Cluster awareness</w:t>
      </w:r>
    </w:p>
    <w:p w14:paraId="772C86D8" w14:textId="77777777" w:rsidR="0096405E" w:rsidRDefault="00000000">
      <w:pPr>
        <w:pStyle w:val="Compact"/>
        <w:numPr>
          <w:ilvl w:val="1"/>
          <w:numId w:val="105"/>
        </w:numPr>
      </w:pPr>
      <w:r>
        <w:t>Schedulers and listeners must be idempotent and safe when executed on multiple pods.</w:t>
      </w:r>
    </w:p>
    <w:p w14:paraId="023E0FAC" w14:textId="77777777" w:rsidR="0096405E" w:rsidRDefault="00000000">
      <w:pPr>
        <w:pStyle w:val="Compact"/>
        <w:numPr>
          <w:ilvl w:val="1"/>
          <w:numId w:val="105"/>
        </w:numPr>
      </w:pPr>
      <w:r>
        <w:t>Avoid in‑memory caches as primary state; if you must cache, use short TTL and treat them as hints.</w:t>
      </w:r>
    </w:p>
    <w:p w14:paraId="21EBEF0F" w14:textId="77777777" w:rsidR="0096405E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I/O discipline</w:t>
      </w:r>
    </w:p>
    <w:p w14:paraId="733EE76B" w14:textId="77777777" w:rsidR="0096405E" w:rsidRDefault="00000000">
      <w:pPr>
        <w:pStyle w:val="Compact"/>
        <w:numPr>
          <w:ilvl w:val="1"/>
          <w:numId w:val="106"/>
        </w:numPr>
      </w:pPr>
      <w:r>
        <w:t>No writes to local filesystem except officially supported temp locations (rare).</w:t>
      </w:r>
      <w:r>
        <w:br/>
      </w:r>
    </w:p>
    <w:p w14:paraId="4F40E3F7" w14:textId="77777777" w:rsidR="0096405E" w:rsidRDefault="00000000">
      <w:pPr>
        <w:pStyle w:val="Compact"/>
        <w:numPr>
          <w:ilvl w:val="1"/>
          <w:numId w:val="106"/>
        </w:numPr>
      </w:pPr>
      <w:r>
        <w:t>All durable state goes into JCR or external systems (e.g., Workday).</w:t>
      </w:r>
    </w:p>
    <w:p w14:paraId="07764A62" w14:textId="77777777" w:rsidR="0096405E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Indexing awareness</w:t>
      </w:r>
    </w:p>
    <w:p w14:paraId="6010484C" w14:textId="77777777" w:rsidR="0096405E" w:rsidRDefault="00000000">
      <w:pPr>
        <w:pStyle w:val="Compact"/>
        <w:numPr>
          <w:ilvl w:val="1"/>
          <w:numId w:val="107"/>
        </w:numPr>
      </w:pPr>
      <w:r>
        <w:t>Design queries before writing components.</w:t>
      </w:r>
      <w:r>
        <w:br/>
      </w:r>
    </w:p>
    <w:p w14:paraId="6BB27C60" w14:textId="77777777" w:rsidR="0096405E" w:rsidRDefault="00000000">
      <w:pPr>
        <w:pStyle w:val="Compact"/>
        <w:numPr>
          <w:ilvl w:val="1"/>
          <w:numId w:val="107"/>
        </w:numPr>
      </w:pPr>
      <w:r>
        <w:t>Ensure every non‑trivial query is backed by an appropriate index rule (or OOTB index).</w:t>
      </w:r>
    </w:p>
    <w:p w14:paraId="395A56E0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59C3ADB5" w14:textId="77777777" w:rsidR="0096405E" w:rsidRDefault="00000000">
      <w:pPr>
        <w:pStyle w:val="Compact"/>
        <w:numPr>
          <w:ilvl w:val="0"/>
          <w:numId w:val="108"/>
        </w:numPr>
      </w:pPr>
      <w:hyperlink r:id="rId12">
        <w:r>
          <w:rPr>
            <w:rStyle w:val="Hyperlink"/>
          </w:rPr>
          <w:t>AEM as a Cloud Service Development Guidelines</w:t>
        </w:r>
      </w:hyperlink>
      <w:r>
        <w:br/>
      </w:r>
    </w:p>
    <w:p w14:paraId="42EBECE5" w14:textId="77777777" w:rsidR="0096405E" w:rsidRDefault="00000000">
      <w:pPr>
        <w:pStyle w:val="Compact"/>
        <w:numPr>
          <w:ilvl w:val="0"/>
          <w:numId w:val="108"/>
        </w:numPr>
      </w:pPr>
      <w:hyperlink r:id="rId13">
        <w:r>
          <w:rPr>
            <w:rStyle w:val="Hyperlink"/>
          </w:rPr>
          <w:t>Query and Indexing Best Practices</w:t>
        </w:r>
      </w:hyperlink>
    </w:p>
    <w:p w14:paraId="6FEBD57F" w14:textId="77777777" w:rsidR="0096405E" w:rsidRDefault="00000000">
      <w:pPr>
        <w:pStyle w:val="Heading4"/>
      </w:pPr>
      <w:bookmarkStart w:id="7" w:name="shrss-overlay-engineering"/>
      <w:r>
        <w:t>SHRSS Overlay – Engineering</w:t>
      </w:r>
    </w:p>
    <w:p w14:paraId="456A4DD7" w14:textId="77777777" w:rsidR="0096405E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Content Fragments as primary data model</w:t>
      </w:r>
    </w:p>
    <w:p w14:paraId="1A390FBE" w14:textId="77777777" w:rsidR="0096405E" w:rsidRDefault="00000000">
      <w:pPr>
        <w:pStyle w:val="Compact"/>
        <w:numPr>
          <w:ilvl w:val="1"/>
          <w:numId w:val="110"/>
        </w:numPr>
      </w:pPr>
      <w:r>
        <w:t xml:space="preserve">Jobs, Events, News, and Locations are modeled as CFs with </w:t>
      </w:r>
      <w:r>
        <w:rPr>
          <w:b/>
          <w:bCs/>
        </w:rPr>
        <w:t>integration-friendly fields</w:t>
      </w:r>
      <w:r>
        <w:t xml:space="preserve"> (IDs, URLs, dates, references).</w:t>
      </w:r>
    </w:p>
    <w:p w14:paraId="1A1DAF50" w14:textId="77777777" w:rsidR="0096405E" w:rsidRDefault="00000000">
      <w:pPr>
        <w:pStyle w:val="Compact"/>
        <w:numPr>
          <w:ilvl w:val="1"/>
          <w:numId w:val="110"/>
        </w:numPr>
      </w:pPr>
      <w:r>
        <w:t xml:space="preserve">SHRSS Sling Models should treat CFs as </w:t>
      </w:r>
      <w:r>
        <w:rPr>
          <w:b/>
          <w:bCs/>
        </w:rPr>
        <w:t>immutable records</w:t>
      </w:r>
      <w:r>
        <w:t xml:space="preserve"> coming from Workday/DPLT; only enrich with rendering‑specific metadata.</w:t>
      </w:r>
    </w:p>
    <w:p w14:paraId="7FDB47E1" w14:textId="77777777" w:rsidR="0096405E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Workday Jobs integration</w:t>
      </w:r>
    </w:p>
    <w:p w14:paraId="1A618F4E" w14:textId="77777777" w:rsidR="0096405E" w:rsidRDefault="00000000">
      <w:pPr>
        <w:pStyle w:val="Compact"/>
        <w:numPr>
          <w:ilvl w:val="1"/>
          <w:numId w:val="111"/>
        </w:numPr>
      </w:pPr>
      <w:r>
        <w:t>Workday drives core job fields; SHRSS code must:</w:t>
      </w:r>
    </w:p>
    <w:p w14:paraId="2BC373E3" w14:textId="77777777" w:rsidR="0096405E" w:rsidRDefault="00000000">
      <w:pPr>
        <w:pStyle w:val="Compact"/>
        <w:numPr>
          <w:ilvl w:val="2"/>
          <w:numId w:val="112"/>
        </w:numPr>
      </w:pPr>
      <w:r>
        <w:lastRenderedPageBreak/>
        <w:t xml:space="preserve">Treat Workday IDs as </w:t>
      </w:r>
      <w:r>
        <w:rPr>
          <w:b/>
          <w:bCs/>
        </w:rPr>
        <w:t>immutable foreign keys</w:t>
      </w:r>
      <w:r>
        <w:t>.</w:t>
      </w:r>
    </w:p>
    <w:p w14:paraId="0441890F" w14:textId="77777777" w:rsidR="0096405E" w:rsidRDefault="00000000">
      <w:pPr>
        <w:pStyle w:val="Compact"/>
        <w:numPr>
          <w:ilvl w:val="2"/>
          <w:numId w:val="112"/>
        </w:numPr>
      </w:pPr>
      <w:r>
        <w:t>Respect the “Is API Data” flag: API‑managed vs author‑managed jobs follow different update rules.</w:t>
      </w:r>
    </w:p>
    <w:p w14:paraId="6133C3C3" w14:textId="77777777" w:rsidR="0096405E" w:rsidRDefault="00000000">
      <w:pPr>
        <w:pStyle w:val="Compact"/>
        <w:numPr>
          <w:ilvl w:val="1"/>
          <w:numId w:val="111"/>
        </w:numPr>
      </w:pPr>
      <w:r>
        <w:t xml:space="preserve">When building queries or indexes (e.g., Jobs listing/search), </w:t>
      </w:r>
      <w:r>
        <w:rPr>
          <w:b/>
          <w:bCs/>
        </w:rPr>
        <w:t>always include the CF model path</w:t>
      </w:r>
      <w:r>
        <w:t xml:space="preserve"> and/or </w:t>
      </w:r>
      <w:r>
        <w:rPr>
          <w:rStyle w:val="VerbatimChar"/>
        </w:rPr>
        <w:t>contentFragment=true</w:t>
      </w:r>
      <w:r>
        <w:t xml:space="preserve"> in constraints.</w:t>
      </w:r>
    </w:p>
    <w:p w14:paraId="19E9FC57" w14:textId="77777777" w:rsidR="0096405E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GraphQL &amp; persisted queries</w:t>
      </w:r>
    </w:p>
    <w:p w14:paraId="408249AE" w14:textId="77777777" w:rsidR="0096405E" w:rsidRDefault="00000000">
      <w:pPr>
        <w:pStyle w:val="Compact"/>
        <w:numPr>
          <w:ilvl w:val="1"/>
          <w:numId w:val="113"/>
        </w:numPr>
      </w:pPr>
      <w:r>
        <w:t xml:space="preserve">For headless or component‑level data access (e.g., Jobs/Events lists), SHRSS favors </w:t>
      </w:r>
      <w:r>
        <w:rPr>
          <w:b/>
          <w:bCs/>
        </w:rPr>
        <w:t>persisted GraphQL queries</w:t>
      </w:r>
      <w:r>
        <w:t xml:space="preserve"> with caching through CDN/Dispatcher.</w:t>
      </w:r>
    </w:p>
    <w:p w14:paraId="61517B44" w14:textId="77777777" w:rsidR="0096405E" w:rsidRDefault="00000000">
      <w:pPr>
        <w:pStyle w:val="Compact"/>
        <w:numPr>
          <w:ilvl w:val="1"/>
          <w:numId w:val="113"/>
        </w:numPr>
      </w:pPr>
      <w:r>
        <w:t>Engineering should:</w:t>
      </w:r>
    </w:p>
    <w:p w14:paraId="0DF2BE7E" w14:textId="77777777" w:rsidR="0096405E" w:rsidRDefault="00000000">
      <w:pPr>
        <w:pStyle w:val="Compact"/>
        <w:numPr>
          <w:ilvl w:val="2"/>
          <w:numId w:val="114"/>
        </w:numPr>
      </w:pPr>
      <w:r>
        <w:t xml:space="preserve">Keep persisted queries </w:t>
      </w:r>
      <w:r>
        <w:rPr>
          <w:b/>
          <w:bCs/>
        </w:rPr>
        <w:t>versioned</w:t>
      </w:r>
      <w:r>
        <w:t xml:space="preserve"> and named by use case (e.g., </w:t>
      </w:r>
      <w:r>
        <w:rPr>
          <w:rStyle w:val="VerbatimChar"/>
        </w:rPr>
        <w:t>jobsByLocation_v1</w:t>
      </w:r>
      <w:r>
        <w:t>).</w:t>
      </w:r>
    </w:p>
    <w:p w14:paraId="348292A2" w14:textId="77777777" w:rsidR="0096405E" w:rsidRDefault="00000000">
      <w:pPr>
        <w:pStyle w:val="Compact"/>
        <w:numPr>
          <w:ilvl w:val="2"/>
          <w:numId w:val="114"/>
        </w:numPr>
      </w:pPr>
      <w:r>
        <w:t>Avoid sending arbitrary POST queries from front‑end in production; use GET persisted queries instead.</w:t>
      </w:r>
    </w:p>
    <w:p w14:paraId="104026CC" w14:textId="77777777" w:rsidR="0096405E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Dispatcher/CDN alignment</w:t>
      </w:r>
    </w:p>
    <w:p w14:paraId="081D20B4" w14:textId="77777777" w:rsidR="0096405E" w:rsidRDefault="00000000">
      <w:pPr>
        <w:pStyle w:val="Compact"/>
        <w:numPr>
          <w:ilvl w:val="1"/>
          <w:numId w:val="115"/>
        </w:numPr>
      </w:pPr>
      <w:r>
        <w:t xml:space="preserve">SHRSS list/detail components are designed to be </w:t>
      </w:r>
      <w:r>
        <w:rPr>
          <w:b/>
          <w:bCs/>
        </w:rPr>
        <w:t>cache‑friendly</w:t>
      </w:r>
      <w:r>
        <w:t>:</w:t>
      </w:r>
    </w:p>
    <w:p w14:paraId="607C3C88" w14:textId="77777777" w:rsidR="0096405E" w:rsidRDefault="00000000">
      <w:pPr>
        <w:pStyle w:val="Compact"/>
        <w:numPr>
          <w:ilvl w:val="2"/>
          <w:numId w:val="116"/>
        </w:numPr>
      </w:pPr>
      <w:r>
        <w:t>No user‑specific state in Jobs/Events/News listing responses.</w:t>
      </w:r>
    </w:p>
    <w:p w14:paraId="192B0E84" w14:textId="77777777" w:rsidR="0096405E" w:rsidRDefault="00000000">
      <w:pPr>
        <w:pStyle w:val="Compact"/>
        <w:numPr>
          <w:ilvl w:val="2"/>
          <w:numId w:val="116"/>
        </w:numPr>
      </w:pPr>
      <w:r>
        <w:t>Clear cache keys and TTLs to avoid stale results after CF updates.</w:t>
      </w:r>
    </w:p>
    <w:p w14:paraId="23D8A104" w14:textId="77777777" w:rsidR="0096405E" w:rsidRDefault="00000000">
      <w:pPr>
        <w:pStyle w:val="Compact"/>
        <w:numPr>
          <w:ilvl w:val="1"/>
          <w:numId w:val="115"/>
        </w:numPr>
      </w:pPr>
      <w:r>
        <w:t>Engineering must honor these constraints when evolving components (e.g., avoid mixing personalization with heavily cached templates).</w:t>
      </w:r>
    </w:p>
    <w:p w14:paraId="48A5DFBC" w14:textId="77777777" w:rsidR="0096405E" w:rsidRDefault="00000000">
      <w:pPr>
        <w:pStyle w:val="Heading2"/>
      </w:pPr>
      <w:bookmarkStart w:id="8" w:name="admin-devops"/>
      <w:bookmarkEnd w:id="5"/>
      <w:bookmarkEnd w:id="6"/>
      <w:bookmarkEnd w:id="7"/>
      <w:r>
        <w:t>4. Admin / DevOps</w:t>
      </w:r>
    </w:p>
    <w:p w14:paraId="1E84FB80" w14:textId="77777777" w:rsidR="0096405E" w:rsidRDefault="00000000">
      <w:pPr>
        <w:pStyle w:val="Heading3"/>
      </w:pPr>
      <w:bookmarkStart w:id="9" w:name="cloud-manager-environments"/>
      <w:r>
        <w:t>4.1 Cloud Manager &amp; Environments</w:t>
      </w:r>
    </w:p>
    <w:p w14:paraId="6EB12CEC" w14:textId="77777777" w:rsidR="0096405E" w:rsidRDefault="00000000">
      <w:pPr>
        <w:pStyle w:val="Compact"/>
        <w:numPr>
          <w:ilvl w:val="0"/>
          <w:numId w:val="117"/>
        </w:numPr>
      </w:pPr>
      <w:r>
        <w:rPr>
          <w:b/>
          <w:bCs/>
        </w:rPr>
        <w:t>Programs &amp; environments</w:t>
      </w:r>
    </w:p>
    <w:p w14:paraId="1E154842" w14:textId="77777777" w:rsidR="0096405E" w:rsidRDefault="00000000">
      <w:pPr>
        <w:pStyle w:val="Compact"/>
        <w:numPr>
          <w:ilvl w:val="1"/>
          <w:numId w:val="118"/>
        </w:numPr>
      </w:pPr>
      <w:r>
        <w:t xml:space="preserve">Use a simple, predictable env set: DEV → STAGE → PROD, plus </w:t>
      </w:r>
      <w:r>
        <w:rPr>
          <w:b/>
          <w:bCs/>
        </w:rPr>
        <w:t>RDE</w:t>
      </w:r>
      <w:r>
        <w:t xml:space="preserve"> for rapid dev testing.</w:t>
      </w:r>
    </w:p>
    <w:p w14:paraId="3181BC75" w14:textId="77777777" w:rsidR="0096405E" w:rsidRDefault="00000000">
      <w:pPr>
        <w:pStyle w:val="Compact"/>
        <w:numPr>
          <w:ilvl w:val="1"/>
          <w:numId w:val="118"/>
        </w:numPr>
      </w:pPr>
      <w:r>
        <w:t>Keep environment purpose clear: DEV for integration, STAGE for release validation, PROD for live traffic.</w:t>
      </w:r>
    </w:p>
    <w:p w14:paraId="59279BFC" w14:textId="77777777" w:rsidR="0096405E" w:rsidRDefault="00000000">
      <w:pPr>
        <w:pStyle w:val="Compact"/>
        <w:numPr>
          <w:ilvl w:val="0"/>
          <w:numId w:val="117"/>
        </w:numPr>
      </w:pPr>
      <w:r>
        <w:rPr>
          <w:b/>
          <w:bCs/>
        </w:rPr>
        <w:t>Pipelines</w:t>
      </w:r>
    </w:p>
    <w:p w14:paraId="5F97F753" w14:textId="77777777" w:rsidR="0096405E" w:rsidRDefault="00000000">
      <w:pPr>
        <w:pStyle w:val="Compact"/>
        <w:numPr>
          <w:ilvl w:val="1"/>
          <w:numId w:val="119"/>
        </w:numPr>
      </w:pPr>
      <w:r>
        <w:t>Non‑prod pipeline: for DEV deployments and quality checks.</w:t>
      </w:r>
    </w:p>
    <w:p w14:paraId="63F810C1" w14:textId="77777777" w:rsidR="0096405E" w:rsidRDefault="00000000">
      <w:pPr>
        <w:pStyle w:val="Compact"/>
        <w:numPr>
          <w:ilvl w:val="1"/>
          <w:numId w:val="119"/>
        </w:numPr>
      </w:pPr>
      <w:r>
        <w:t>Prod pipeline: Stage + Prod deployment with quality gates, functional tests, UI tests, and performance/experience checks.</w:t>
      </w:r>
    </w:p>
    <w:p w14:paraId="3EA7A1A4" w14:textId="77777777" w:rsidR="0096405E" w:rsidRDefault="00000000">
      <w:pPr>
        <w:pStyle w:val="Compact"/>
        <w:numPr>
          <w:ilvl w:val="0"/>
          <w:numId w:val="117"/>
        </w:numPr>
      </w:pPr>
      <w:r>
        <w:rPr>
          <w:b/>
          <w:bCs/>
        </w:rPr>
        <w:t>Quality gates</w:t>
      </w:r>
    </w:p>
    <w:p w14:paraId="3FF0EF23" w14:textId="77777777" w:rsidR="0096405E" w:rsidRDefault="00000000">
      <w:pPr>
        <w:pStyle w:val="Compact"/>
        <w:numPr>
          <w:ilvl w:val="1"/>
          <w:numId w:val="120"/>
        </w:numPr>
      </w:pPr>
      <w:r>
        <w:t xml:space="preserve">Treat code quality, security, and performance scores as </w:t>
      </w:r>
      <w:r>
        <w:rPr>
          <w:b/>
          <w:bCs/>
        </w:rPr>
        <w:t>blocking</w:t>
      </w:r>
      <w:r>
        <w:t xml:space="preserve"> unless there is a documented, reviewed exception.</w:t>
      </w:r>
    </w:p>
    <w:p w14:paraId="1912F466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0736A900" w14:textId="77777777" w:rsidR="0096405E" w:rsidRDefault="00000000">
      <w:pPr>
        <w:pStyle w:val="Compact"/>
        <w:numPr>
          <w:ilvl w:val="0"/>
          <w:numId w:val="121"/>
        </w:numPr>
      </w:pPr>
      <w:hyperlink r:id="rId14">
        <w:r>
          <w:rPr>
            <w:rStyle w:val="Hyperlink"/>
          </w:rPr>
          <w:t>CI/CD Pipelines</w:t>
        </w:r>
      </w:hyperlink>
      <w:r>
        <w:br/>
      </w:r>
    </w:p>
    <w:p w14:paraId="56FE2477" w14:textId="77777777" w:rsidR="0096405E" w:rsidRDefault="00000000">
      <w:pPr>
        <w:pStyle w:val="Compact"/>
        <w:numPr>
          <w:ilvl w:val="0"/>
          <w:numId w:val="121"/>
        </w:numPr>
      </w:pPr>
      <w:hyperlink r:id="rId15">
        <w:r>
          <w:rPr>
            <w:rStyle w:val="Hyperlink"/>
          </w:rPr>
          <w:t>Using the CI/CD Pipeline in Cloud Manager</w:t>
        </w:r>
      </w:hyperlink>
    </w:p>
    <w:p w14:paraId="6EC9BD4C" w14:textId="77777777" w:rsidR="0096405E" w:rsidRDefault="00000000">
      <w:pPr>
        <w:pStyle w:val="Heading3"/>
      </w:pPr>
      <w:bookmarkStart w:id="10" w:name="operations-monitoring-troubleshooting"/>
      <w:bookmarkEnd w:id="9"/>
      <w:r>
        <w:lastRenderedPageBreak/>
        <w:t>4.2 Operations, Monitoring &amp; Troubleshooting</w:t>
      </w:r>
    </w:p>
    <w:p w14:paraId="4C70052B" w14:textId="77777777" w:rsidR="0096405E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Logging</w:t>
      </w:r>
    </w:p>
    <w:p w14:paraId="00832681" w14:textId="77777777" w:rsidR="0096405E" w:rsidRDefault="00000000">
      <w:pPr>
        <w:pStyle w:val="Compact"/>
        <w:numPr>
          <w:ilvl w:val="1"/>
          <w:numId w:val="123"/>
        </w:numPr>
      </w:pPr>
      <w:r>
        <w:t>Prefer Cloud Manager logs for historical analysis; Developer Console for live debugging.</w:t>
      </w:r>
    </w:p>
    <w:p w14:paraId="4268DB36" w14:textId="77777777" w:rsidR="0096405E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Runtime health</w:t>
      </w:r>
    </w:p>
    <w:p w14:paraId="4BAE70DF" w14:textId="77777777" w:rsidR="0096405E" w:rsidRDefault="00000000">
      <w:pPr>
        <w:pStyle w:val="Compact"/>
        <w:numPr>
          <w:ilvl w:val="1"/>
          <w:numId w:val="124"/>
        </w:numPr>
      </w:pPr>
      <w:r>
        <w:t>Use Developer Console health checks and status endpoints; never SSH into hosts.</w:t>
      </w:r>
    </w:p>
    <w:p w14:paraId="7E2D0089" w14:textId="77777777" w:rsidR="0096405E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Rollback &amp; content integrity</w:t>
      </w:r>
    </w:p>
    <w:p w14:paraId="1F7A8CB2" w14:textId="77777777" w:rsidR="0096405E" w:rsidRDefault="00000000">
      <w:pPr>
        <w:pStyle w:val="Compact"/>
        <w:numPr>
          <w:ilvl w:val="1"/>
          <w:numId w:val="125"/>
        </w:numPr>
      </w:pPr>
      <w:r>
        <w:t xml:space="preserve">Roll back via </w:t>
      </w:r>
      <w:r>
        <w:rPr>
          <w:b/>
          <w:bCs/>
        </w:rPr>
        <w:t>code redeploy</w:t>
      </w:r>
      <w:r>
        <w:t xml:space="preserve"> (previous image), not via content manipulation.</w:t>
      </w:r>
    </w:p>
    <w:p w14:paraId="3B7444FB" w14:textId="77777777" w:rsidR="0096405E" w:rsidRDefault="00000000">
      <w:pPr>
        <w:pStyle w:val="Compact"/>
        <w:numPr>
          <w:ilvl w:val="1"/>
          <w:numId w:val="125"/>
        </w:numPr>
      </w:pPr>
      <w:r>
        <w:t xml:space="preserve">For content issues, use </w:t>
      </w:r>
      <w:r>
        <w:rPr>
          <w:b/>
          <w:bCs/>
        </w:rPr>
        <w:t>content restore</w:t>
      </w:r>
      <w:r>
        <w:t xml:space="preserve"> and </w:t>
      </w:r>
      <w:r>
        <w:rPr>
          <w:b/>
          <w:bCs/>
        </w:rPr>
        <w:t>content copy</w:t>
      </w:r>
      <w:r>
        <w:t xml:space="preserve"> tools, not manual JCR edits.</w:t>
      </w:r>
    </w:p>
    <w:p w14:paraId="7687337D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3BCF283D" w14:textId="77777777" w:rsidR="0096405E" w:rsidRDefault="00000000">
      <w:pPr>
        <w:pStyle w:val="Compact"/>
        <w:numPr>
          <w:ilvl w:val="0"/>
          <w:numId w:val="126"/>
        </w:numPr>
      </w:pPr>
      <w:hyperlink r:id="rId16">
        <w:r>
          <w:rPr>
            <w:rStyle w:val="Hyperlink"/>
          </w:rPr>
          <w:t>Debugging AEM as a Cloud Service with the Developer Console</w:t>
        </w:r>
      </w:hyperlink>
      <w:r>
        <w:br/>
      </w:r>
    </w:p>
    <w:p w14:paraId="1547804F" w14:textId="77777777" w:rsidR="0096405E" w:rsidRDefault="00000000">
      <w:pPr>
        <w:pStyle w:val="Compact"/>
        <w:numPr>
          <w:ilvl w:val="0"/>
          <w:numId w:val="126"/>
        </w:numPr>
      </w:pPr>
      <w:hyperlink r:id="rId17">
        <w:r>
          <w:rPr>
            <w:rStyle w:val="Hyperlink"/>
          </w:rPr>
          <w:t>Troubleshooting AEM as a Cloud Service</w:t>
        </w:r>
      </w:hyperlink>
    </w:p>
    <w:p w14:paraId="7312097F" w14:textId="77777777" w:rsidR="0096405E" w:rsidRDefault="00000000">
      <w:pPr>
        <w:pStyle w:val="Heading4"/>
      </w:pPr>
      <w:bookmarkStart w:id="11" w:name="shrss-overlay-admindevops"/>
      <w:r>
        <w:t>SHRSS Overlay – Admin/DevOps</w:t>
      </w:r>
    </w:p>
    <w:p w14:paraId="16035330" w14:textId="77777777" w:rsidR="0096405E" w:rsidRDefault="00000000">
      <w:pPr>
        <w:pStyle w:val="Compact"/>
        <w:numPr>
          <w:ilvl w:val="0"/>
          <w:numId w:val="127"/>
        </w:numPr>
      </w:pPr>
      <w:r>
        <w:rPr>
          <w:b/>
          <w:bCs/>
        </w:rPr>
        <w:t>Program &amp; pipeline strategy</w:t>
      </w:r>
    </w:p>
    <w:p w14:paraId="189B0A44" w14:textId="77777777" w:rsidR="0096405E" w:rsidRDefault="00000000">
      <w:pPr>
        <w:pStyle w:val="Compact"/>
        <w:numPr>
          <w:ilvl w:val="1"/>
          <w:numId w:val="128"/>
        </w:numPr>
      </w:pPr>
      <w:r>
        <w:t>SHRSS uses a standard three‑tier environment topology plus RDEs; ensure:</w:t>
      </w:r>
    </w:p>
    <w:p w14:paraId="0EE5A487" w14:textId="77777777" w:rsidR="0096405E" w:rsidRDefault="00000000">
      <w:pPr>
        <w:pStyle w:val="Compact"/>
        <w:numPr>
          <w:ilvl w:val="2"/>
          <w:numId w:val="129"/>
        </w:numPr>
      </w:pPr>
      <w:r>
        <w:rPr>
          <w:b/>
          <w:bCs/>
        </w:rPr>
        <w:t>Jobs &amp; Events indices</w:t>
      </w:r>
      <w:r>
        <w:t xml:space="preserve"> are stable before promoting code.</w:t>
      </w:r>
    </w:p>
    <w:p w14:paraId="1AE59002" w14:textId="77777777" w:rsidR="0096405E" w:rsidRDefault="00000000">
      <w:pPr>
        <w:pStyle w:val="Compact"/>
        <w:numPr>
          <w:ilvl w:val="2"/>
          <w:numId w:val="129"/>
        </w:numPr>
      </w:pPr>
      <w:r>
        <w:t>Integration endpoints (Workday, TransPerfect, DPLT) are configured via environment variables/OSGi configs, not hard‑coded.</w:t>
      </w:r>
    </w:p>
    <w:p w14:paraId="73D262B5" w14:textId="77777777" w:rsidR="0096405E" w:rsidRDefault="00000000">
      <w:pPr>
        <w:pStyle w:val="Compact"/>
        <w:numPr>
          <w:ilvl w:val="0"/>
          <w:numId w:val="127"/>
        </w:numPr>
      </w:pPr>
      <w:r>
        <w:rPr>
          <w:b/>
          <w:bCs/>
        </w:rPr>
        <w:t>Search/indexing monitoring</w:t>
      </w:r>
    </w:p>
    <w:p w14:paraId="6921AC9E" w14:textId="77777777" w:rsidR="0096405E" w:rsidRDefault="00000000">
      <w:pPr>
        <w:pStyle w:val="Compact"/>
        <w:numPr>
          <w:ilvl w:val="1"/>
          <w:numId w:val="130"/>
        </w:numPr>
      </w:pPr>
      <w:r>
        <w:t>SHRSS relies heavily on Jobs/Events/News search; admins should:</w:t>
      </w:r>
    </w:p>
    <w:p w14:paraId="4BE814C5" w14:textId="77777777" w:rsidR="0096405E" w:rsidRDefault="00000000">
      <w:pPr>
        <w:pStyle w:val="Compact"/>
        <w:numPr>
          <w:ilvl w:val="2"/>
          <w:numId w:val="131"/>
        </w:numPr>
      </w:pPr>
      <w:r>
        <w:t xml:space="preserve">Watch for </w:t>
      </w:r>
      <w:r>
        <w:rPr>
          <w:b/>
          <w:bCs/>
        </w:rPr>
        <w:t>“query without index detected”</w:t>
      </w:r>
      <w:r>
        <w:t xml:space="preserve"> alerts.</w:t>
      </w:r>
    </w:p>
    <w:p w14:paraId="2171AE92" w14:textId="77777777" w:rsidR="0096405E" w:rsidRDefault="00000000">
      <w:pPr>
        <w:pStyle w:val="Compact"/>
        <w:numPr>
          <w:ilvl w:val="2"/>
          <w:numId w:val="131"/>
        </w:numPr>
      </w:pPr>
      <w:r>
        <w:t xml:space="preserve">Use the </w:t>
      </w:r>
      <w:r>
        <w:rPr>
          <w:b/>
          <w:bCs/>
        </w:rPr>
        <w:t>Query Performance Tool/Query Analyzer</w:t>
      </w:r>
      <w:r>
        <w:t xml:space="preserve"> to periodically review top queries (e.g., Jobs search by location).</w:t>
      </w:r>
    </w:p>
    <w:p w14:paraId="2142EB30" w14:textId="77777777" w:rsidR="0096405E" w:rsidRDefault="00000000">
      <w:pPr>
        <w:pStyle w:val="Compact"/>
        <w:numPr>
          <w:ilvl w:val="0"/>
          <w:numId w:val="127"/>
        </w:numPr>
      </w:pPr>
      <w:r>
        <w:rPr>
          <w:b/>
          <w:bCs/>
        </w:rPr>
        <w:t>Dispatcher rules</w:t>
      </w:r>
    </w:p>
    <w:p w14:paraId="1F45433E" w14:textId="77777777" w:rsidR="0096405E" w:rsidRDefault="00000000">
      <w:pPr>
        <w:pStyle w:val="Compact"/>
        <w:numPr>
          <w:ilvl w:val="1"/>
          <w:numId w:val="132"/>
        </w:numPr>
      </w:pPr>
      <w:r>
        <w:t xml:space="preserve">Filtering rules must protect SHRSS custom servlets and APIs under </w:t>
      </w:r>
      <w:r>
        <w:rPr>
          <w:rStyle w:val="VerbatimChar"/>
        </w:rPr>
        <w:t>/bin</w:t>
      </w:r>
      <w:r>
        <w:t xml:space="preserve">, </w:t>
      </w:r>
      <w:r>
        <w:rPr>
          <w:rStyle w:val="VerbatimChar"/>
        </w:rPr>
        <w:t>/api</w:t>
      </w:r>
      <w:r>
        <w:t>, etc.</w:t>
      </w:r>
      <w:r>
        <w:br/>
      </w:r>
    </w:p>
    <w:p w14:paraId="3F315AD8" w14:textId="77777777" w:rsidR="0096405E" w:rsidRDefault="00000000">
      <w:pPr>
        <w:pStyle w:val="Compact"/>
        <w:numPr>
          <w:ilvl w:val="1"/>
          <w:numId w:val="132"/>
        </w:numPr>
      </w:pPr>
      <w:r>
        <w:t>Any change in SHRSS integration endpoints or GraphQL endpoints must be reviewed for security and caching impact.</w:t>
      </w:r>
    </w:p>
    <w:p w14:paraId="6376E895" w14:textId="77777777" w:rsidR="0096405E" w:rsidRDefault="00000000">
      <w:pPr>
        <w:pStyle w:val="Heading2"/>
      </w:pPr>
      <w:bookmarkStart w:id="12" w:name="authors"/>
      <w:bookmarkEnd w:id="8"/>
      <w:bookmarkEnd w:id="10"/>
      <w:bookmarkEnd w:id="11"/>
      <w:r>
        <w:t>5. Authors</w:t>
      </w:r>
    </w:p>
    <w:p w14:paraId="63C58D58" w14:textId="77777777" w:rsidR="0096405E" w:rsidRDefault="00000000">
      <w:pPr>
        <w:pStyle w:val="Heading3"/>
      </w:pPr>
      <w:bookmarkStart w:id="13" w:name="general-authoring-practices"/>
      <w:r>
        <w:t>5.1 General Authoring Practices</w:t>
      </w:r>
    </w:p>
    <w:p w14:paraId="2CCC546B" w14:textId="77777777" w:rsidR="0096405E" w:rsidRDefault="00000000">
      <w:pPr>
        <w:pStyle w:val="Compact"/>
        <w:numPr>
          <w:ilvl w:val="0"/>
          <w:numId w:val="133"/>
        </w:numPr>
      </w:pPr>
      <w:r>
        <w:t xml:space="preserve">Prefer </w:t>
      </w:r>
      <w:r>
        <w:rPr>
          <w:b/>
          <w:bCs/>
        </w:rPr>
        <w:t>Core Components</w:t>
      </w:r>
      <w:r>
        <w:t xml:space="preserve"> and SHRSS components built on them; avoid custom HTML if a component exists.</w:t>
      </w:r>
    </w:p>
    <w:p w14:paraId="35CF527B" w14:textId="77777777" w:rsidR="0096405E" w:rsidRDefault="00000000">
      <w:pPr>
        <w:pStyle w:val="Compact"/>
        <w:numPr>
          <w:ilvl w:val="0"/>
          <w:numId w:val="133"/>
        </w:numPr>
      </w:pPr>
      <w:r>
        <w:t xml:space="preserve">Keep </w:t>
      </w:r>
      <w:r>
        <w:rPr>
          <w:b/>
          <w:bCs/>
        </w:rPr>
        <w:t>content and presentation separate</w:t>
      </w:r>
      <w:r>
        <w:t>:</w:t>
      </w:r>
    </w:p>
    <w:p w14:paraId="6D9C08B4" w14:textId="77777777" w:rsidR="0096405E" w:rsidRDefault="00000000">
      <w:pPr>
        <w:pStyle w:val="Compact"/>
        <w:numPr>
          <w:ilvl w:val="1"/>
          <w:numId w:val="134"/>
        </w:numPr>
      </w:pPr>
      <w:r>
        <w:t>Use CFs and tags for data, templates and policies for look &amp; feel.</w:t>
      </w:r>
    </w:p>
    <w:p w14:paraId="1606E14C" w14:textId="77777777" w:rsidR="0096405E" w:rsidRDefault="00000000">
      <w:pPr>
        <w:pStyle w:val="Compact"/>
        <w:numPr>
          <w:ilvl w:val="0"/>
          <w:numId w:val="133"/>
        </w:numPr>
      </w:pPr>
      <w:r>
        <w:lastRenderedPageBreak/>
        <w:t xml:space="preserve">Rely on </w:t>
      </w:r>
      <w:r>
        <w:rPr>
          <w:b/>
          <w:bCs/>
        </w:rPr>
        <w:t>language copies and MSM</w:t>
      </w:r>
      <w:r>
        <w:t xml:space="preserve"> where appropriate; avoid manual duplication across locales.</w:t>
      </w:r>
    </w:p>
    <w:p w14:paraId="20FDD67C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451A1D87" w14:textId="77777777" w:rsidR="0096405E" w:rsidRDefault="00000000">
      <w:pPr>
        <w:pStyle w:val="Compact"/>
        <w:numPr>
          <w:ilvl w:val="0"/>
          <w:numId w:val="135"/>
        </w:numPr>
      </w:pPr>
      <w:hyperlink r:id="rId18">
        <w:r>
          <w:rPr>
            <w:rStyle w:val="Hyperlink"/>
          </w:rPr>
          <w:t>Authoring in AEM Sites</w:t>
        </w:r>
      </w:hyperlink>
      <w:r>
        <w:br/>
      </w:r>
    </w:p>
    <w:p w14:paraId="15EB8CA7" w14:textId="77777777" w:rsidR="0096405E" w:rsidRDefault="00000000">
      <w:pPr>
        <w:pStyle w:val="Compact"/>
        <w:numPr>
          <w:ilvl w:val="0"/>
          <w:numId w:val="135"/>
        </w:numPr>
      </w:pPr>
      <w:hyperlink r:id="rId19">
        <w:r>
          <w:rPr>
            <w:rStyle w:val="Hyperlink"/>
          </w:rPr>
          <w:t>Content Fragments</w:t>
        </w:r>
      </w:hyperlink>
    </w:p>
    <w:p w14:paraId="087F9686" w14:textId="77777777" w:rsidR="0096405E" w:rsidRDefault="00000000">
      <w:pPr>
        <w:pStyle w:val="Heading4"/>
      </w:pPr>
      <w:bookmarkStart w:id="14" w:name="shrss-overlay-authors"/>
      <w:r>
        <w:t>SHRSS Overlay – Authors</w:t>
      </w:r>
    </w:p>
    <w:p w14:paraId="21BE3A78" w14:textId="77777777" w:rsidR="0096405E" w:rsidRDefault="00000000">
      <w:pPr>
        <w:pStyle w:val="Compact"/>
        <w:numPr>
          <w:ilvl w:val="0"/>
          <w:numId w:val="136"/>
        </w:numPr>
      </w:pPr>
      <w:r>
        <w:rPr>
          <w:b/>
          <w:bCs/>
        </w:rPr>
        <w:t>Jobs</w:t>
      </w:r>
    </w:p>
    <w:p w14:paraId="19D5D261" w14:textId="77777777" w:rsidR="0096405E" w:rsidRDefault="00000000">
      <w:pPr>
        <w:pStyle w:val="Compact"/>
        <w:numPr>
          <w:ilvl w:val="1"/>
          <w:numId w:val="137"/>
        </w:numPr>
      </w:pPr>
      <w:r>
        <w:t xml:space="preserve">Jobs are CFs under </w:t>
      </w:r>
      <w:r>
        <w:rPr>
          <w:rStyle w:val="VerbatimChar"/>
        </w:rPr>
        <w:t>Assets &gt; Files &gt; SHRSS &gt; Content Fragments &gt; Jobs &gt; &lt;region&gt;/&lt;country&gt;/&lt;property&gt;</w:t>
      </w:r>
      <w:r>
        <w:t>.</w:t>
      </w:r>
    </w:p>
    <w:p w14:paraId="3AF4A356" w14:textId="77777777" w:rsidR="0096405E" w:rsidRDefault="00000000">
      <w:pPr>
        <w:pStyle w:val="Compact"/>
        <w:numPr>
          <w:ilvl w:val="1"/>
          <w:numId w:val="137"/>
        </w:numPr>
      </w:pPr>
      <w:r>
        <w:t xml:space="preserve">Follow the </w:t>
      </w:r>
      <w:r>
        <w:rPr>
          <w:b/>
          <w:bCs/>
        </w:rPr>
        <w:t>“Is API Data”</w:t>
      </w:r>
      <w:r>
        <w:t xml:space="preserve"> flag rule:</w:t>
      </w:r>
    </w:p>
    <w:p w14:paraId="562AFAC0" w14:textId="77777777" w:rsidR="0096405E" w:rsidRDefault="00000000">
      <w:pPr>
        <w:pStyle w:val="Compact"/>
        <w:numPr>
          <w:ilvl w:val="2"/>
          <w:numId w:val="138"/>
        </w:numPr>
      </w:pPr>
      <w:r>
        <w:t>ON → Workday job; do not change IDs or system fields.</w:t>
      </w:r>
      <w:r>
        <w:br/>
      </w:r>
    </w:p>
    <w:p w14:paraId="49E26FCA" w14:textId="77777777" w:rsidR="0096405E" w:rsidRDefault="00000000">
      <w:pPr>
        <w:pStyle w:val="Compact"/>
        <w:numPr>
          <w:ilvl w:val="2"/>
          <w:numId w:val="138"/>
        </w:numPr>
      </w:pPr>
      <w:r>
        <w:t>OFF → manual job; maintain tag consistency with Workday jobs.</w:t>
      </w:r>
    </w:p>
    <w:p w14:paraId="0EE782A2" w14:textId="77777777" w:rsidR="0096405E" w:rsidRDefault="00000000">
      <w:pPr>
        <w:pStyle w:val="Compact"/>
        <w:numPr>
          <w:ilvl w:val="1"/>
          <w:numId w:val="137"/>
        </w:numPr>
      </w:pPr>
      <w:r>
        <w:t xml:space="preserve">Use </w:t>
      </w:r>
      <w:r>
        <w:rPr>
          <w:b/>
          <w:bCs/>
        </w:rPr>
        <w:t>Hot Job</w:t>
      </w:r>
      <w:r>
        <w:t xml:space="preserve"> flag sparingly to keep visual emphasis meaningful.</w:t>
      </w:r>
    </w:p>
    <w:p w14:paraId="628B4A0E" w14:textId="77777777" w:rsidR="0096405E" w:rsidRDefault="00000000">
      <w:pPr>
        <w:pStyle w:val="Compact"/>
        <w:numPr>
          <w:ilvl w:val="0"/>
          <w:numId w:val="136"/>
        </w:numPr>
      </w:pPr>
      <w:r>
        <w:rPr>
          <w:b/>
          <w:bCs/>
        </w:rPr>
        <w:t>Events</w:t>
      </w:r>
    </w:p>
    <w:p w14:paraId="14A4E6B0" w14:textId="77777777" w:rsidR="0096405E" w:rsidRDefault="00000000">
      <w:pPr>
        <w:pStyle w:val="Compact"/>
        <w:numPr>
          <w:ilvl w:val="1"/>
          <w:numId w:val="139"/>
        </w:numPr>
      </w:pPr>
      <w:r>
        <w:t xml:space="preserve">Model events as CFs referencing </w:t>
      </w:r>
      <w:r>
        <w:rPr>
          <w:b/>
          <w:bCs/>
        </w:rPr>
        <w:t>Location CFs</w:t>
      </w:r>
      <w:r>
        <w:t xml:space="preserve"> for consistency in addresses and maps.</w:t>
      </w:r>
    </w:p>
    <w:p w14:paraId="15329B1F" w14:textId="77777777" w:rsidR="0096405E" w:rsidRDefault="00000000">
      <w:pPr>
        <w:pStyle w:val="Compact"/>
        <w:numPr>
          <w:ilvl w:val="1"/>
          <w:numId w:val="139"/>
        </w:numPr>
      </w:pPr>
      <w:r>
        <w:t>Use event status + status message fields to manage cancellations/rescheduling instead of editing titles.</w:t>
      </w:r>
    </w:p>
    <w:p w14:paraId="5175BC0B" w14:textId="77777777" w:rsidR="0096405E" w:rsidRDefault="00000000">
      <w:pPr>
        <w:pStyle w:val="Compact"/>
        <w:numPr>
          <w:ilvl w:val="0"/>
          <w:numId w:val="136"/>
        </w:numPr>
      </w:pPr>
      <w:r>
        <w:rPr>
          <w:b/>
          <w:bCs/>
        </w:rPr>
        <w:t>News</w:t>
      </w:r>
    </w:p>
    <w:p w14:paraId="2CBBCC49" w14:textId="77777777" w:rsidR="0096405E" w:rsidRDefault="00000000">
      <w:pPr>
        <w:pStyle w:val="Compact"/>
        <w:numPr>
          <w:ilvl w:val="1"/>
          <w:numId w:val="140"/>
        </w:numPr>
      </w:pPr>
      <w:r>
        <w:t>Use CFs for structured news metadata (date, category, hero image) and pages/components for narrative layout.</w:t>
      </w:r>
    </w:p>
    <w:p w14:paraId="3B98E1A3" w14:textId="77777777" w:rsidR="0096405E" w:rsidRDefault="00000000">
      <w:pPr>
        <w:pStyle w:val="Compact"/>
        <w:numPr>
          <w:ilvl w:val="0"/>
          <w:numId w:val="136"/>
        </w:numPr>
      </w:pPr>
      <w:r>
        <w:rPr>
          <w:b/>
          <w:bCs/>
        </w:rPr>
        <w:t>Locations</w:t>
      </w:r>
    </w:p>
    <w:p w14:paraId="7315113D" w14:textId="77777777" w:rsidR="0096405E" w:rsidRDefault="00000000">
      <w:pPr>
        <w:pStyle w:val="Compact"/>
        <w:numPr>
          <w:ilvl w:val="1"/>
          <w:numId w:val="141"/>
        </w:numPr>
      </w:pPr>
      <w:r>
        <w:t xml:space="preserve">Locations come from DPLT; treat </w:t>
      </w:r>
      <w:r>
        <w:rPr>
          <w:b/>
          <w:bCs/>
        </w:rPr>
        <w:t>Location CFs as authoritative</w:t>
      </w:r>
      <w:r>
        <w:t xml:space="preserve"> for address/geo data.</w:t>
      </w:r>
    </w:p>
    <w:p w14:paraId="0A434800" w14:textId="77777777" w:rsidR="0096405E" w:rsidRDefault="00000000">
      <w:pPr>
        <w:pStyle w:val="Compact"/>
        <w:numPr>
          <w:ilvl w:val="1"/>
          <w:numId w:val="141"/>
        </w:numPr>
      </w:pPr>
      <w:r>
        <w:t>If you need to correct a location, follow the agreed DPLT change process; do not “fix” addresses directly in AEM.</w:t>
      </w:r>
    </w:p>
    <w:p w14:paraId="522DDE9F" w14:textId="77777777" w:rsidR="0096405E" w:rsidRDefault="00000000">
      <w:pPr>
        <w:pStyle w:val="Compact"/>
        <w:numPr>
          <w:ilvl w:val="0"/>
          <w:numId w:val="136"/>
        </w:numPr>
      </w:pPr>
      <w:r>
        <w:rPr>
          <w:b/>
          <w:bCs/>
        </w:rPr>
        <w:t>Navigation &amp; Data Display</w:t>
      </w:r>
    </w:p>
    <w:p w14:paraId="44C2638F" w14:textId="77777777" w:rsidR="0096405E" w:rsidRDefault="00000000">
      <w:pPr>
        <w:pStyle w:val="Compact"/>
        <w:numPr>
          <w:ilvl w:val="1"/>
          <w:numId w:val="142"/>
        </w:numPr>
      </w:pPr>
      <w:r>
        <w:t xml:space="preserve">Use shared data CFs and tags to drive </w:t>
      </w:r>
      <w:r>
        <w:rPr>
          <w:b/>
          <w:bCs/>
        </w:rPr>
        <w:t>menus, cards, and filters</w:t>
      </w:r>
      <w:r>
        <w:t xml:space="preserve"> consistently across Jobs, Events, and News.</w:t>
      </w:r>
    </w:p>
    <w:p w14:paraId="70725111" w14:textId="77777777" w:rsidR="0096405E" w:rsidRDefault="00000000">
      <w:pPr>
        <w:pStyle w:val="Compact"/>
        <w:numPr>
          <w:ilvl w:val="1"/>
          <w:numId w:val="142"/>
        </w:numPr>
      </w:pPr>
      <w:r>
        <w:t>When something does not appear in a list:</w:t>
      </w:r>
    </w:p>
    <w:p w14:paraId="6C9CFD7F" w14:textId="77777777" w:rsidR="0096405E" w:rsidRDefault="00000000">
      <w:pPr>
        <w:pStyle w:val="Compact"/>
        <w:numPr>
          <w:ilvl w:val="2"/>
          <w:numId w:val="143"/>
        </w:numPr>
      </w:pPr>
      <w:r>
        <w:t xml:space="preserve">Check CF is </w:t>
      </w:r>
      <w:r>
        <w:rPr>
          <w:b/>
          <w:bCs/>
        </w:rPr>
        <w:t>published</w:t>
      </w:r>
      <w:r>
        <w:t>.</w:t>
      </w:r>
    </w:p>
    <w:p w14:paraId="5DB5E8CC" w14:textId="77777777" w:rsidR="0096405E" w:rsidRDefault="00000000">
      <w:pPr>
        <w:pStyle w:val="Compact"/>
        <w:numPr>
          <w:ilvl w:val="2"/>
          <w:numId w:val="143"/>
        </w:numPr>
      </w:pPr>
      <w:r>
        <w:t>Check tags and required fields are set.</w:t>
      </w:r>
    </w:p>
    <w:p w14:paraId="26B0B719" w14:textId="77777777" w:rsidR="0096405E" w:rsidRDefault="00000000">
      <w:pPr>
        <w:pStyle w:val="Compact"/>
        <w:numPr>
          <w:ilvl w:val="2"/>
          <w:numId w:val="143"/>
        </w:numPr>
      </w:pPr>
      <w:r>
        <w:t>Check effective dates (for Jobs/Events).</w:t>
      </w:r>
    </w:p>
    <w:p w14:paraId="646CFD84" w14:textId="77777777" w:rsidR="0096405E" w:rsidRDefault="00000000">
      <w:pPr>
        <w:pStyle w:val="FirstParagraph"/>
      </w:pPr>
      <w:r>
        <w:t xml:space="preserve">Pair this with the </w:t>
      </w:r>
      <w:r>
        <w:rPr>
          <w:rStyle w:val="VerbatimChar"/>
        </w:rPr>
        <w:t>SHRSS AEM Content Authoring Guide</w:t>
      </w:r>
      <w:r>
        <w:t xml:space="preserve"> for step‑by‑step “how to” instructions.</w:t>
      </w:r>
    </w:p>
    <w:p w14:paraId="44469D13" w14:textId="77777777" w:rsidR="0096405E" w:rsidRDefault="00000000">
      <w:pPr>
        <w:pStyle w:val="Heading2"/>
      </w:pPr>
      <w:bookmarkStart w:id="15" w:name="dam-architects-librarians"/>
      <w:bookmarkEnd w:id="12"/>
      <w:bookmarkEnd w:id="13"/>
      <w:bookmarkEnd w:id="14"/>
      <w:r>
        <w:lastRenderedPageBreak/>
        <w:t>6. DAM Architects / Librarians</w:t>
      </w:r>
    </w:p>
    <w:p w14:paraId="6404BFDC" w14:textId="77777777" w:rsidR="0096405E" w:rsidRDefault="00000000">
      <w:pPr>
        <w:pStyle w:val="Heading3"/>
      </w:pPr>
      <w:bookmarkStart w:id="16" w:name="asset-cf-governance"/>
      <w:r>
        <w:t>6.1 Asset &amp; CF Governance</w:t>
      </w:r>
    </w:p>
    <w:p w14:paraId="25415296" w14:textId="77777777" w:rsidR="0096405E" w:rsidRDefault="00000000">
      <w:pPr>
        <w:pStyle w:val="Compact"/>
        <w:numPr>
          <w:ilvl w:val="0"/>
          <w:numId w:val="144"/>
        </w:numPr>
      </w:pPr>
      <w:r>
        <w:t xml:space="preserve">Design folder structures around </w:t>
      </w:r>
      <w:r>
        <w:rPr>
          <w:b/>
          <w:bCs/>
        </w:rPr>
        <w:t>business domains &amp; access</w:t>
      </w:r>
      <w:r>
        <w:t>, not system tables.</w:t>
      </w:r>
    </w:p>
    <w:p w14:paraId="5609FB0A" w14:textId="77777777" w:rsidR="0096405E" w:rsidRDefault="00000000">
      <w:pPr>
        <w:pStyle w:val="Compact"/>
        <w:numPr>
          <w:ilvl w:val="0"/>
          <w:numId w:val="144"/>
        </w:numPr>
      </w:pPr>
      <w:r>
        <w:t>Normalize metadata: required fields, controlled vocabularies (tags), approval flows.</w:t>
      </w:r>
    </w:p>
    <w:p w14:paraId="57F09176" w14:textId="77777777" w:rsidR="0096405E" w:rsidRDefault="00000000">
      <w:pPr>
        <w:pStyle w:val="Compact"/>
        <w:numPr>
          <w:ilvl w:val="0"/>
          <w:numId w:val="144"/>
        </w:numPr>
      </w:pPr>
      <w:r>
        <w:t xml:space="preserve">Use </w:t>
      </w:r>
      <w:r>
        <w:rPr>
          <w:b/>
          <w:bCs/>
        </w:rPr>
        <w:t>Content Fragments for structured data</w:t>
      </w:r>
      <w:r>
        <w:t xml:space="preserve"> (Jobs, Events, Locations) and </w:t>
      </w:r>
      <w:r>
        <w:rPr>
          <w:b/>
          <w:bCs/>
        </w:rPr>
        <w:t>Assets for media</w:t>
      </w:r>
      <w:r>
        <w:t xml:space="preserve"> (images, docs, video).</w:t>
      </w:r>
    </w:p>
    <w:p w14:paraId="43094C1C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56B9ABC2" w14:textId="77777777" w:rsidR="0096405E" w:rsidRDefault="00000000">
      <w:pPr>
        <w:pStyle w:val="Compact"/>
        <w:numPr>
          <w:ilvl w:val="0"/>
          <w:numId w:val="145"/>
        </w:numPr>
      </w:pPr>
      <w:hyperlink r:id="rId20">
        <w:r>
          <w:rPr>
            <w:rStyle w:val="Hyperlink"/>
          </w:rPr>
          <w:t>Architecture of Assets as a Cloud Service solution</w:t>
        </w:r>
      </w:hyperlink>
      <w:r>
        <w:br/>
      </w:r>
    </w:p>
    <w:p w14:paraId="2BFF064C" w14:textId="77777777" w:rsidR="0096405E" w:rsidRDefault="00000000">
      <w:pPr>
        <w:pStyle w:val="Compact"/>
        <w:numPr>
          <w:ilvl w:val="0"/>
          <w:numId w:val="145"/>
        </w:numPr>
      </w:pPr>
      <w:hyperlink r:id="rId21">
        <w:r>
          <w:rPr>
            <w:rStyle w:val="Hyperlink"/>
          </w:rPr>
          <w:t>Assets as a Cloud Service documentation</w:t>
        </w:r>
      </w:hyperlink>
    </w:p>
    <w:p w14:paraId="71A15CC2" w14:textId="77777777" w:rsidR="0096405E" w:rsidRDefault="00000000">
      <w:pPr>
        <w:pStyle w:val="Heading4"/>
      </w:pPr>
      <w:bookmarkStart w:id="17" w:name="shrss-overlay-dam"/>
      <w:r>
        <w:t>SHRSS Overlay – DAM</w:t>
      </w:r>
    </w:p>
    <w:p w14:paraId="567085CC" w14:textId="77777777" w:rsidR="0096405E" w:rsidRDefault="00000000">
      <w:pPr>
        <w:pStyle w:val="Compact"/>
        <w:numPr>
          <w:ilvl w:val="0"/>
          <w:numId w:val="146"/>
        </w:numPr>
      </w:pPr>
      <w:r>
        <w:rPr>
          <w:b/>
          <w:bCs/>
        </w:rPr>
        <w:t>Folder IA</w:t>
      </w:r>
    </w:p>
    <w:p w14:paraId="35C9BE99" w14:textId="77777777" w:rsidR="0096405E" w:rsidRDefault="00000000">
      <w:pPr>
        <w:pStyle w:val="Compact"/>
        <w:numPr>
          <w:ilvl w:val="1"/>
          <w:numId w:val="147"/>
        </w:numPr>
      </w:pPr>
      <w:r>
        <w:t xml:space="preserve">CFs live under </w:t>
      </w:r>
      <w:r>
        <w:rPr>
          <w:rStyle w:val="VerbatimChar"/>
        </w:rPr>
        <w:t>Assets &gt; Files &gt; SHRSS &gt; Content Fragments &gt; ...</w:t>
      </w:r>
      <w:r>
        <w:br/>
      </w:r>
    </w:p>
    <w:p w14:paraId="17A1C51B" w14:textId="77777777" w:rsidR="0096405E" w:rsidRDefault="00000000">
      <w:pPr>
        <w:pStyle w:val="Compact"/>
        <w:numPr>
          <w:ilvl w:val="1"/>
          <w:numId w:val="147"/>
        </w:numPr>
      </w:pPr>
      <w:r>
        <w:t xml:space="preserve">Media assets under </w:t>
      </w:r>
      <w:r>
        <w:rPr>
          <w:rStyle w:val="VerbatimChar"/>
        </w:rPr>
        <w:t>Assets &gt; Files &gt; SHRSS &gt; Media &gt; ...</w:t>
      </w:r>
      <w:r>
        <w:br/>
      </w:r>
    </w:p>
    <w:p w14:paraId="34136843" w14:textId="77777777" w:rsidR="0096405E" w:rsidRDefault="00000000">
      <w:pPr>
        <w:pStyle w:val="Compact"/>
        <w:numPr>
          <w:ilvl w:val="1"/>
          <w:numId w:val="147"/>
        </w:numPr>
      </w:pPr>
      <w:r>
        <w:t xml:space="preserve">Keep CF folders aligned with </w:t>
      </w:r>
      <w:r>
        <w:rPr>
          <w:b/>
          <w:bCs/>
        </w:rPr>
        <w:t>Jobs/Events/Locations</w:t>
      </w:r>
      <w:r>
        <w:t xml:space="preserve"> hierarchies (e.g., region/country/property).</w:t>
      </w:r>
    </w:p>
    <w:p w14:paraId="6793A8CE" w14:textId="77777777" w:rsidR="0096405E" w:rsidRDefault="00000000">
      <w:pPr>
        <w:pStyle w:val="Compact"/>
        <w:numPr>
          <w:ilvl w:val="0"/>
          <w:numId w:val="146"/>
        </w:numPr>
      </w:pPr>
      <w:r>
        <w:rPr>
          <w:b/>
          <w:bCs/>
        </w:rPr>
        <w:t>Metadata &amp; tags</w:t>
      </w:r>
    </w:p>
    <w:p w14:paraId="26BFD834" w14:textId="77777777" w:rsidR="0096405E" w:rsidRDefault="00000000">
      <w:pPr>
        <w:pStyle w:val="Compact"/>
        <w:numPr>
          <w:ilvl w:val="1"/>
          <w:numId w:val="148"/>
        </w:numPr>
      </w:pPr>
      <w:r>
        <w:t xml:space="preserve">Maintain tag taxonomies that align with </w:t>
      </w:r>
      <w:r>
        <w:rPr>
          <w:b/>
          <w:bCs/>
        </w:rPr>
        <w:t>Workday (jobs)</w:t>
      </w:r>
      <w:r>
        <w:t xml:space="preserve"> and </w:t>
      </w:r>
      <w:r>
        <w:rPr>
          <w:b/>
          <w:bCs/>
        </w:rPr>
        <w:t>DPLT (locations)</w:t>
      </w:r>
      <w:r>
        <w:t>; never create ad‑hoc tags that break filters.</w:t>
      </w:r>
    </w:p>
    <w:p w14:paraId="28D615EA" w14:textId="77777777" w:rsidR="0096405E" w:rsidRDefault="00000000">
      <w:pPr>
        <w:pStyle w:val="Compact"/>
        <w:numPr>
          <w:ilvl w:val="1"/>
          <w:numId w:val="148"/>
        </w:numPr>
      </w:pPr>
      <w:r>
        <w:t>Use metadata schemas to:</w:t>
      </w:r>
    </w:p>
    <w:p w14:paraId="38136F60" w14:textId="77777777" w:rsidR="0096405E" w:rsidRDefault="00000000">
      <w:pPr>
        <w:pStyle w:val="Compact"/>
        <w:numPr>
          <w:ilvl w:val="2"/>
          <w:numId w:val="149"/>
        </w:numPr>
      </w:pPr>
      <w:r>
        <w:t>Enforce required fields for job images, event hero images, etc.</w:t>
      </w:r>
    </w:p>
    <w:p w14:paraId="5CA486A5" w14:textId="77777777" w:rsidR="0096405E" w:rsidRDefault="00000000">
      <w:pPr>
        <w:pStyle w:val="Compact"/>
        <w:numPr>
          <w:ilvl w:val="2"/>
          <w:numId w:val="149"/>
        </w:numPr>
      </w:pPr>
      <w:r>
        <w:t>Ensure rights/expiry metadata is present for marketing assets.</w:t>
      </w:r>
    </w:p>
    <w:p w14:paraId="2ECE60CD" w14:textId="77777777" w:rsidR="0096405E" w:rsidRDefault="00000000">
      <w:pPr>
        <w:pStyle w:val="Compact"/>
        <w:numPr>
          <w:ilvl w:val="0"/>
          <w:numId w:val="146"/>
        </w:numPr>
      </w:pPr>
      <w:r>
        <w:rPr>
          <w:b/>
          <w:bCs/>
        </w:rPr>
        <w:t>Lifecycle</w:t>
      </w:r>
    </w:p>
    <w:p w14:paraId="3E6471CA" w14:textId="77777777" w:rsidR="0096405E" w:rsidRDefault="00000000">
      <w:pPr>
        <w:pStyle w:val="Compact"/>
        <w:numPr>
          <w:ilvl w:val="1"/>
          <w:numId w:val="150"/>
        </w:numPr>
      </w:pPr>
      <w:r>
        <w:t>Define lifecycle for:</w:t>
      </w:r>
    </w:p>
    <w:p w14:paraId="2E6E19A4" w14:textId="77777777" w:rsidR="0096405E" w:rsidRDefault="00000000">
      <w:pPr>
        <w:pStyle w:val="Compact"/>
        <w:numPr>
          <w:ilvl w:val="2"/>
          <w:numId w:val="151"/>
        </w:numPr>
      </w:pPr>
      <w:r>
        <w:t>Expired jobs → archived CFs; related media kept or archived based on reuse.</w:t>
      </w:r>
    </w:p>
    <w:p w14:paraId="50DA7873" w14:textId="77777777" w:rsidR="0096405E" w:rsidRDefault="00000000">
      <w:pPr>
        <w:pStyle w:val="Compact"/>
        <w:numPr>
          <w:ilvl w:val="2"/>
          <w:numId w:val="151"/>
        </w:numPr>
      </w:pPr>
      <w:r>
        <w:t>Past events → archived CFs; long‑tail SEO pages may remain live but marked as past.</w:t>
      </w:r>
    </w:p>
    <w:p w14:paraId="684BC5BE" w14:textId="77777777" w:rsidR="0096405E" w:rsidRDefault="00000000">
      <w:pPr>
        <w:pStyle w:val="Heading2"/>
      </w:pPr>
      <w:bookmarkStart w:id="18" w:name="cross-cutting-indexing-performance"/>
      <w:bookmarkEnd w:id="15"/>
      <w:bookmarkEnd w:id="16"/>
      <w:bookmarkEnd w:id="17"/>
      <w:r>
        <w:t>7. Cross-Cutting: Indexing &amp; Performance</w:t>
      </w:r>
    </w:p>
    <w:p w14:paraId="3DEDEE6E" w14:textId="77777777" w:rsidR="0096405E" w:rsidRDefault="00000000">
      <w:pPr>
        <w:pStyle w:val="Compact"/>
        <w:numPr>
          <w:ilvl w:val="0"/>
          <w:numId w:val="152"/>
        </w:numPr>
      </w:pPr>
      <w:r>
        <w:t xml:space="preserve">Treat </w:t>
      </w:r>
      <w:r>
        <w:rPr>
          <w:b/>
          <w:bCs/>
        </w:rPr>
        <w:t>index design as part of the feature design</w:t>
      </w:r>
      <w:r>
        <w:t>, not as an afterthought:</w:t>
      </w:r>
    </w:p>
    <w:p w14:paraId="6BE0B4B8" w14:textId="77777777" w:rsidR="0096405E" w:rsidRDefault="00000000">
      <w:pPr>
        <w:pStyle w:val="Compact"/>
        <w:numPr>
          <w:ilvl w:val="1"/>
          <w:numId w:val="153"/>
        </w:numPr>
      </w:pPr>
      <w:r>
        <w:t>Always design queries before building components.</w:t>
      </w:r>
    </w:p>
    <w:p w14:paraId="2681F0FB" w14:textId="77777777" w:rsidR="0096405E" w:rsidRDefault="00000000">
      <w:pPr>
        <w:pStyle w:val="Compact"/>
        <w:numPr>
          <w:ilvl w:val="1"/>
          <w:numId w:val="153"/>
        </w:numPr>
      </w:pPr>
      <w:r>
        <w:t>Ensure each non‑trivial query has a backing index or leverages an OOTB one.</w:t>
      </w:r>
    </w:p>
    <w:p w14:paraId="62068381" w14:textId="77777777" w:rsidR="0096405E" w:rsidRDefault="00000000">
      <w:pPr>
        <w:pStyle w:val="Compact"/>
        <w:numPr>
          <w:ilvl w:val="0"/>
          <w:numId w:val="152"/>
        </w:numPr>
      </w:pPr>
      <w:r>
        <w:t xml:space="preserve">Use </w:t>
      </w:r>
      <w:r>
        <w:rPr>
          <w:b/>
          <w:bCs/>
        </w:rPr>
        <w:t>property + ordered properties</w:t>
      </w:r>
      <w:r>
        <w:t xml:space="preserve"> for filters &amp; sorting, rather than fulltext over everything.</w:t>
      </w:r>
    </w:p>
    <w:p w14:paraId="2EEFE027" w14:textId="77777777" w:rsidR="0096405E" w:rsidRDefault="00000000">
      <w:pPr>
        <w:pStyle w:val="Compact"/>
        <w:numPr>
          <w:ilvl w:val="0"/>
          <w:numId w:val="152"/>
        </w:numPr>
      </w:pPr>
      <w:r>
        <w:lastRenderedPageBreak/>
        <w:t>Guard against:</w:t>
      </w:r>
    </w:p>
    <w:p w14:paraId="43770E69" w14:textId="77777777" w:rsidR="0096405E" w:rsidRDefault="00000000">
      <w:pPr>
        <w:pStyle w:val="Compact"/>
        <w:numPr>
          <w:ilvl w:val="1"/>
          <w:numId w:val="154"/>
        </w:numPr>
      </w:pPr>
      <w:r>
        <w:rPr>
          <w:rStyle w:val="VerbatimChar"/>
        </w:rPr>
        <w:t>LIKE '%foo%'</w:t>
      </w:r>
      <w:r>
        <w:t xml:space="preserve"> patterns without proper index rules.</w:t>
      </w:r>
    </w:p>
    <w:p w14:paraId="4970AE9B" w14:textId="77777777" w:rsidR="0096405E" w:rsidRDefault="00000000">
      <w:pPr>
        <w:pStyle w:val="Compact"/>
        <w:numPr>
          <w:ilvl w:val="1"/>
          <w:numId w:val="154"/>
        </w:numPr>
      </w:pPr>
      <w:r>
        <w:t xml:space="preserve">Queries without </w:t>
      </w:r>
      <w:r>
        <w:rPr>
          <w:rStyle w:val="VerbatimChar"/>
        </w:rPr>
        <w:t>ISDESCENDANTNODE</w:t>
      </w:r>
      <w:r>
        <w:t xml:space="preserve"> constraints.</w:t>
      </w:r>
    </w:p>
    <w:p w14:paraId="02E74FB2" w14:textId="77777777" w:rsidR="0096405E" w:rsidRDefault="00000000">
      <w:pPr>
        <w:pStyle w:val="Compact"/>
        <w:numPr>
          <w:ilvl w:val="1"/>
          <w:numId w:val="154"/>
        </w:numPr>
      </w:pPr>
      <w:r>
        <w:t>Over‑indexing (indexing every property) which inflates index size and slows reindex.</w:t>
      </w:r>
    </w:p>
    <w:p w14:paraId="7EE91BE7" w14:textId="77777777" w:rsidR="0096405E" w:rsidRDefault="00000000">
      <w:pPr>
        <w:pStyle w:val="FirstParagraph"/>
      </w:pPr>
      <w:r>
        <w:rPr>
          <w:b/>
          <w:bCs/>
        </w:rPr>
        <w:t>References</w:t>
      </w:r>
    </w:p>
    <w:p w14:paraId="4FE06E9F" w14:textId="77777777" w:rsidR="0096405E" w:rsidRDefault="00000000">
      <w:pPr>
        <w:pStyle w:val="Compact"/>
        <w:numPr>
          <w:ilvl w:val="0"/>
          <w:numId w:val="155"/>
        </w:numPr>
      </w:pPr>
      <w:hyperlink r:id="rId22">
        <w:r>
          <w:rPr>
            <w:rStyle w:val="Hyperlink"/>
          </w:rPr>
          <w:t>Content Search and Indexing</w:t>
        </w:r>
      </w:hyperlink>
      <w:r>
        <w:br/>
      </w:r>
    </w:p>
    <w:p w14:paraId="7000A459" w14:textId="77777777" w:rsidR="0096405E" w:rsidRDefault="00000000">
      <w:pPr>
        <w:pStyle w:val="Compact"/>
        <w:numPr>
          <w:ilvl w:val="0"/>
          <w:numId w:val="155"/>
        </w:numPr>
      </w:pPr>
      <w:hyperlink r:id="rId23">
        <w:r>
          <w:rPr>
            <w:rStyle w:val="Hyperlink"/>
          </w:rPr>
          <w:t>Search and indexing in AEM as a Cloud Service</w:t>
        </w:r>
      </w:hyperlink>
    </w:p>
    <w:p w14:paraId="63ADDB52" w14:textId="77777777" w:rsidR="0096405E" w:rsidRDefault="00000000">
      <w:pPr>
        <w:pStyle w:val="Heading4"/>
      </w:pPr>
      <w:bookmarkStart w:id="19" w:name="shrss-overlay-indexing-performance"/>
      <w:r>
        <w:t>SHRSS Overlay – Indexing &amp; Performance</w:t>
      </w:r>
    </w:p>
    <w:p w14:paraId="1FC3D5B2" w14:textId="77777777" w:rsidR="0096405E" w:rsidRDefault="00000000">
      <w:pPr>
        <w:pStyle w:val="Compact"/>
        <w:numPr>
          <w:ilvl w:val="0"/>
          <w:numId w:val="156"/>
        </w:numPr>
      </w:pPr>
      <w:r>
        <w:t xml:space="preserve">Jobs, Events, News, and Locations rely on </w:t>
      </w:r>
      <w:r>
        <w:rPr>
          <w:b/>
          <w:bCs/>
        </w:rPr>
        <w:t>CF‑backed searches</w:t>
      </w:r>
      <w:r>
        <w:t>; for each domain:</w:t>
      </w:r>
    </w:p>
    <w:p w14:paraId="36E9DFA3" w14:textId="77777777" w:rsidR="0096405E" w:rsidRDefault="00000000">
      <w:pPr>
        <w:pStyle w:val="Compact"/>
        <w:numPr>
          <w:ilvl w:val="1"/>
          <w:numId w:val="157"/>
        </w:numPr>
      </w:pPr>
      <w:r>
        <w:t>Queries must constrain by:</w:t>
      </w:r>
    </w:p>
    <w:p w14:paraId="45353F1D" w14:textId="77777777" w:rsidR="0096405E" w:rsidRDefault="00000000">
      <w:pPr>
        <w:pStyle w:val="Compact"/>
        <w:numPr>
          <w:ilvl w:val="2"/>
          <w:numId w:val="158"/>
        </w:numPr>
      </w:pPr>
      <w:r>
        <w:t xml:space="preserve">Path (e.g., </w:t>
      </w:r>
      <w:r>
        <w:rPr>
          <w:rStyle w:val="VerbatimChar"/>
        </w:rPr>
        <w:t>/content/dam/shrss/content-fragments/jobs</w:t>
      </w:r>
      <w:r>
        <w:t>),</w:t>
      </w:r>
    </w:p>
    <w:p w14:paraId="26C31FA4" w14:textId="77777777" w:rsidR="0096405E" w:rsidRDefault="00000000">
      <w:pPr>
        <w:pStyle w:val="Compact"/>
        <w:numPr>
          <w:ilvl w:val="2"/>
          <w:numId w:val="158"/>
        </w:numPr>
      </w:pPr>
      <w:r>
        <w:t>CF model path (</w:t>
      </w:r>
      <w:r>
        <w:rPr>
          <w:rStyle w:val="VerbatimChar"/>
        </w:rPr>
        <w:t>/conf/shrss/.../models/job</w:t>
      </w:r>
      <w:r>
        <w:t>),</w:t>
      </w:r>
    </w:p>
    <w:p w14:paraId="26A1A3D5" w14:textId="77777777" w:rsidR="0096405E" w:rsidRDefault="00000000">
      <w:pPr>
        <w:pStyle w:val="Compact"/>
        <w:numPr>
          <w:ilvl w:val="2"/>
          <w:numId w:val="158"/>
        </w:numPr>
      </w:pPr>
      <w:r>
        <w:rPr>
          <w:rStyle w:val="VerbatimChar"/>
        </w:rPr>
        <w:t>contentFragment=true</w:t>
      </w:r>
      <w:r>
        <w:t>.</w:t>
      </w:r>
    </w:p>
    <w:p w14:paraId="2216E046" w14:textId="77777777" w:rsidR="0096405E" w:rsidRDefault="00000000">
      <w:pPr>
        <w:pStyle w:val="Compact"/>
        <w:numPr>
          <w:ilvl w:val="1"/>
          <w:numId w:val="157"/>
        </w:numPr>
      </w:pPr>
      <w:r>
        <w:t xml:space="preserve">Indexes should be </w:t>
      </w:r>
      <w:r>
        <w:rPr>
          <w:b/>
          <w:bCs/>
        </w:rPr>
        <w:t>customizations of OOTB Lucene indexes</w:t>
      </w:r>
      <w:r>
        <w:t xml:space="preserve"> (e.g., </w:t>
      </w:r>
      <w:r>
        <w:rPr>
          <w:rStyle w:val="VerbatimChar"/>
        </w:rPr>
        <w:t>damAssetLucene-*</w:t>
      </w:r>
      <w:r>
        <w:t xml:space="preserve">) following </w:t>
      </w:r>
      <w:r>
        <w:rPr>
          <w:rStyle w:val="VerbatimChar"/>
        </w:rPr>
        <w:t>*-custom-*</w:t>
      </w:r>
      <w:r>
        <w:t xml:space="preserve"> naming patterns.</w:t>
      </w:r>
    </w:p>
    <w:p w14:paraId="62A69241" w14:textId="77777777" w:rsidR="0096405E" w:rsidRDefault="00000000">
      <w:pPr>
        <w:pStyle w:val="Compact"/>
        <w:numPr>
          <w:ilvl w:val="0"/>
          <w:numId w:val="156"/>
        </w:numPr>
      </w:pPr>
      <w:r>
        <w:t xml:space="preserve">The </w:t>
      </w:r>
      <w:r>
        <w:rPr>
          <w:b/>
          <w:bCs/>
        </w:rPr>
        <w:t>SHRSS Indexing &amp; Performance Volume</w:t>
      </w:r>
      <w:r>
        <w:t xml:space="preserve"> contains:</w:t>
      </w:r>
    </w:p>
    <w:p w14:paraId="2B45A3A0" w14:textId="77777777" w:rsidR="0096405E" w:rsidRDefault="00000000">
      <w:pPr>
        <w:pStyle w:val="Compact"/>
        <w:numPr>
          <w:ilvl w:val="1"/>
          <w:numId w:val="159"/>
        </w:numPr>
      </w:pPr>
      <w:r>
        <w:t>A worked example of a Jobs index definition (</w:t>
      </w:r>
      <w:r>
        <w:rPr>
          <w:rStyle w:val="VerbatimChar"/>
        </w:rPr>
        <w:t>damAssetLucene-8-custom-*</w:t>
      </w:r>
      <w:r>
        <w:t>) and line‑by‑line explanation.</w:t>
      </w:r>
    </w:p>
    <w:p w14:paraId="29A30D10" w14:textId="77777777" w:rsidR="0096405E" w:rsidRDefault="00000000">
      <w:pPr>
        <w:pStyle w:val="Compact"/>
        <w:numPr>
          <w:ilvl w:val="1"/>
          <w:numId w:val="159"/>
        </w:numPr>
      </w:pPr>
      <w:r>
        <w:t xml:space="preserve">Guidance for using </w:t>
      </w:r>
      <w:r>
        <w:rPr>
          <w:b/>
          <w:bCs/>
        </w:rPr>
        <w:t>Query Performance Tool, Query Analyzer, and Developer Console</w:t>
      </w:r>
      <w:r>
        <w:t xml:space="preserve"> to identify slow queries impacting Jobs/Events listings.</w:t>
      </w:r>
    </w:p>
    <w:p w14:paraId="6F38F3C7" w14:textId="77777777" w:rsidR="0096405E" w:rsidRDefault="00000000">
      <w:pPr>
        <w:pStyle w:val="Heading2"/>
      </w:pPr>
      <w:bookmarkStart w:id="20" w:name="governance-release-management"/>
      <w:bookmarkEnd w:id="18"/>
      <w:bookmarkEnd w:id="19"/>
      <w:r>
        <w:t>8. Governance &amp; Release Management</w:t>
      </w:r>
    </w:p>
    <w:p w14:paraId="76ED18BE" w14:textId="77777777" w:rsidR="0096405E" w:rsidRDefault="00000000">
      <w:pPr>
        <w:pStyle w:val="Compact"/>
        <w:numPr>
          <w:ilvl w:val="0"/>
          <w:numId w:val="160"/>
        </w:numPr>
      </w:pPr>
      <w:r>
        <w:t xml:space="preserve">Keep </w:t>
      </w:r>
      <w:r>
        <w:rPr>
          <w:b/>
          <w:bCs/>
        </w:rPr>
        <w:t>branching strategy</w:t>
      </w:r>
      <w:r>
        <w:t xml:space="preserve"> simple and visible:</w:t>
      </w:r>
    </w:p>
    <w:p w14:paraId="00DB302E" w14:textId="77777777" w:rsidR="0096405E" w:rsidRDefault="00000000">
      <w:pPr>
        <w:pStyle w:val="Compact"/>
        <w:numPr>
          <w:ilvl w:val="1"/>
          <w:numId w:val="161"/>
        </w:numPr>
      </w:pPr>
      <w:r>
        <w:rPr>
          <w:rStyle w:val="VerbatimChar"/>
        </w:rPr>
        <w:t>main</w:t>
      </w:r>
      <w:r>
        <w:t xml:space="preserve"> → production pipeline.</w:t>
      </w:r>
    </w:p>
    <w:p w14:paraId="73D411A0" w14:textId="77777777" w:rsidR="0096405E" w:rsidRDefault="00000000">
      <w:pPr>
        <w:pStyle w:val="Compact"/>
        <w:numPr>
          <w:ilvl w:val="1"/>
          <w:numId w:val="161"/>
        </w:numPr>
      </w:pPr>
      <w:r>
        <w:rPr>
          <w:rStyle w:val="VerbatimChar"/>
        </w:rPr>
        <w:t>develop</w:t>
      </w:r>
      <w:r>
        <w:t xml:space="preserve"> → non‑prod pipeline.</w:t>
      </w:r>
    </w:p>
    <w:p w14:paraId="29B51AD1" w14:textId="77777777" w:rsidR="0096405E" w:rsidRDefault="00000000">
      <w:pPr>
        <w:pStyle w:val="Compact"/>
        <w:numPr>
          <w:ilvl w:val="1"/>
          <w:numId w:val="161"/>
        </w:numPr>
      </w:pPr>
      <w:r>
        <w:t>Feature branches → short‑lived, PR‑driven.</w:t>
      </w:r>
    </w:p>
    <w:p w14:paraId="23D29453" w14:textId="77777777" w:rsidR="0096405E" w:rsidRDefault="00000000">
      <w:pPr>
        <w:pStyle w:val="Compact"/>
        <w:numPr>
          <w:ilvl w:val="0"/>
          <w:numId w:val="160"/>
        </w:numPr>
      </w:pPr>
      <w:r>
        <w:t>Require:</w:t>
      </w:r>
    </w:p>
    <w:p w14:paraId="60910A2B" w14:textId="77777777" w:rsidR="0096405E" w:rsidRDefault="00000000">
      <w:pPr>
        <w:pStyle w:val="Compact"/>
        <w:numPr>
          <w:ilvl w:val="1"/>
          <w:numId w:val="162"/>
        </w:numPr>
      </w:pPr>
      <w:r>
        <w:t>Automated testing (unit + IT + UI) for changes touching shared components.</w:t>
      </w:r>
    </w:p>
    <w:p w14:paraId="3740018B" w14:textId="77777777" w:rsidR="0096405E" w:rsidRDefault="00000000">
      <w:pPr>
        <w:pStyle w:val="Compact"/>
        <w:numPr>
          <w:ilvl w:val="1"/>
          <w:numId w:val="162"/>
        </w:numPr>
      </w:pPr>
      <w:r>
        <w:t>Index review for features introducing new queries or filters.</w:t>
      </w:r>
    </w:p>
    <w:p w14:paraId="2D87F6E2" w14:textId="77777777" w:rsidR="0096405E" w:rsidRDefault="00000000">
      <w:pPr>
        <w:pStyle w:val="Compact"/>
        <w:numPr>
          <w:ilvl w:val="0"/>
          <w:numId w:val="160"/>
        </w:numPr>
      </w:pPr>
      <w:r>
        <w:t xml:space="preserve">Run periodic </w:t>
      </w:r>
      <w:r>
        <w:rPr>
          <w:b/>
          <w:bCs/>
        </w:rPr>
        <w:t>technical debt reviews</w:t>
      </w:r>
      <w:r>
        <w:t>:</w:t>
      </w:r>
    </w:p>
    <w:p w14:paraId="5416F738" w14:textId="77777777" w:rsidR="0096405E" w:rsidRDefault="00000000">
      <w:pPr>
        <w:pStyle w:val="Compact"/>
        <w:numPr>
          <w:ilvl w:val="1"/>
          <w:numId w:val="163"/>
        </w:numPr>
      </w:pPr>
      <w:r>
        <w:t>“Code smells” (tight coupling, hard‑coded paths).</w:t>
      </w:r>
    </w:p>
    <w:p w14:paraId="10170540" w14:textId="77777777" w:rsidR="0096405E" w:rsidRDefault="00000000">
      <w:pPr>
        <w:pStyle w:val="Compact"/>
        <w:numPr>
          <w:ilvl w:val="1"/>
          <w:numId w:val="163"/>
        </w:numPr>
      </w:pPr>
      <w:r>
        <w:t>Config drift across environments.</w:t>
      </w:r>
    </w:p>
    <w:p w14:paraId="5E311CEC" w14:textId="77777777" w:rsidR="0096405E" w:rsidRDefault="00000000">
      <w:pPr>
        <w:pStyle w:val="Compact"/>
        <w:numPr>
          <w:ilvl w:val="1"/>
          <w:numId w:val="163"/>
        </w:numPr>
      </w:pPr>
      <w:r>
        <w:t>Overgrown indexes or dead feature flags.</w:t>
      </w:r>
    </w:p>
    <w:p w14:paraId="1D2F7E2D" w14:textId="77777777" w:rsidR="0096405E" w:rsidRDefault="00000000">
      <w:pPr>
        <w:pStyle w:val="Heading2"/>
      </w:pPr>
      <w:bookmarkStart w:id="21" w:name="references"/>
      <w:bookmarkEnd w:id="20"/>
      <w:r>
        <w:lastRenderedPageBreak/>
        <w:t>9. References</w:t>
      </w:r>
    </w:p>
    <w:p w14:paraId="4208422A" w14:textId="77777777" w:rsidR="0096405E" w:rsidRDefault="00000000">
      <w:pPr>
        <w:pStyle w:val="FirstParagraph"/>
      </w:pPr>
      <w:r>
        <w:t>Core public references used throughout this volume:</w:t>
      </w:r>
    </w:p>
    <w:p w14:paraId="51DF197A" w14:textId="77777777" w:rsidR="0096405E" w:rsidRDefault="00000000">
      <w:pPr>
        <w:pStyle w:val="Compact"/>
        <w:numPr>
          <w:ilvl w:val="0"/>
          <w:numId w:val="164"/>
        </w:numPr>
      </w:pPr>
      <w:hyperlink r:id="rId24">
        <w:r>
          <w:rPr>
            <w:rStyle w:val="Hyperlink"/>
          </w:rPr>
          <w:t>AEM Technical Foundations</w:t>
        </w:r>
      </w:hyperlink>
      <w:r>
        <w:br/>
      </w:r>
    </w:p>
    <w:p w14:paraId="76E13D73" w14:textId="77777777" w:rsidR="0096405E" w:rsidRDefault="00000000">
      <w:pPr>
        <w:pStyle w:val="Compact"/>
        <w:numPr>
          <w:ilvl w:val="0"/>
          <w:numId w:val="164"/>
        </w:numPr>
      </w:pPr>
      <w:hyperlink r:id="rId25">
        <w:r>
          <w:rPr>
            <w:rStyle w:val="Hyperlink"/>
          </w:rPr>
          <w:t>Introduction to the Architecture of Adobe Experience Manager as a Cloud Service</w:t>
        </w:r>
      </w:hyperlink>
      <w:r>
        <w:br/>
      </w:r>
    </w:p>
    <w:p w14:paraId="39FF66B4" w14:textId="77777777" w:rsidR="0096405E" w:rsidRDefault="00000000">
      <w:pPr>
        <w:pStyle w:val="Compact"/>
        <w:numPr>
          <w:ilvl w:val="0"/>
          <w:numId w:val="164"/>
        </w:numPr>
      </w:pPr>
      <w:hyperlink r:id="rId26">
        <w:r>
          <w:rPr>
            <w:rStyle w:val="Hyperlink"/>
          </w:rPr>
          <w:t>Implementing Applications for AEM as a Cloud Service</w:t>
        </w:r>
      </w:hyperlink>
      <w:r>
        <w:br/>
      </w:r>
    </w:p>
    <w:p w14:paraId="1613DFE2" w14:textId="77777777" w:rsidR="0096405E" w:rsidRDefault="00000000">
      <w:pPr>
        <w:pStyle w:val="Compact"/>
        <w:numPr>
          <w:ilvl w:val="0"/>
          <w:numId w:val="164"/>
        </w:numPr>
      </w:pPr>
      <w:hyperlink r:id="rId27">
        <w:r>
          <w:rPr>
            <w:rStyle w:val="Hyperlink"/>
          </w:rPr>
          <w:t>AEM as a Cloud Service Development Guidelines</w:t>
        </w:r>
      </w:hyperlink>
      <w:r>
        <w:br/>
      </w:r>
    </w:p>
    <w:p w14:paraId="1380A870" w14:textId="77777777" w:rsidR="0096405E" w:rsidRDefault="00000000">
      <w:pPr>
        <w:pStyle w:val="Compact"/>
        <w:numPr>
          <w:ilvl w:val="0"/>
          <w:numId w:val="164"/>
        </w:numPr>
      </w:pPr>
      <w:hyperlink r:id="rId28">
        <w:r>
          <w:rPr>
            <w:rStyle w:val="Hyperlink"/>
          </w:rPr>
          <w:t>Content Search and Indexing</w:t>
        </w:r>
      </w:hyperlink>
      <w:r>
        <w:br/>
      </w:r>
    </w:p>
    <w:p w14:paraId="49CA812A" w14:textId="77777777" w:rsidR="0096405E" w:rsidRDefault="00000000">
      <w:pPr>
        <w:pStyle w:val="Compact"/>
        <w:numPr>
          <w:ilvl w:val="0"/>
          <w:numId w:val="164"/>
        </w:numPr>
      </w:pPr>
      <w:hyperlink r:id="rId29">
        <w:r>
          <w:rPr>
            <w:rStyle w:val="Hyperlink"/>
          </w:rPr>
          <w:t>Query and Indexing Best Practices</w:t>
        </w:r>
      </w:hyperlink>
      <w:r>
        <w:br/>
      </w:r>
    </w:p>
    <w:p w14:paraId="78CA1619" w14:textId="77777777" w:rsidR="0096405E" w:rsidRDefault="00000000">
      <w:pPr>
        <w:pStyle w:val="Compact"/>
        <w:numPr>
          <w:ilvl w:val="0"/>
          <w:numId w:val="164"/>
        </w:numPr>
      </w:pPr>
      <w:hyperlink r:id="rId30">
        <w:r>
          <w:rPr>
            <w:rStyle w:val="Hyperlink"/>
          </w:rPr>
          <w:t>Cloud Manager – Key Concepts</w:t>
        </w:r>
      </w:hyperlink>
    </w:p>
    <w:p w14:paraId="7BBEC838" w14:textId="77777777" w:rsidR="0096405E" w:rsidRDefault="00000000">
      <w:pPr>
        <w:pStyle w:val="FirstParagraph"/>
      </w:pPr>
      <w:r>
        <w:t>Use these links as canonical anchors when evolving this volume.</w:t>
      </w:r>
      <w:bookmarkEnd w:id="0"/>
      <w:bookmarkEnd w:id="21"/>
    </w:p>
    <w:sectPr w:rsidR="0096405E" w:rsidSect="00034616">
      <w:headerReference w:type="default" r:id="rId31"/>
      <w:footerReference w:type="default" r:id="rId32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0DE2" w14:textId="77777777" w:rsidR="004A7317" w:rsidRDefault="004A7317">
      <w:pPr>
        <w:spacing w:after="0" w:line="240" w:lineRule="auto"/>
      </w:pPr>
      <w:r>
        <w:separator/>
      </w:r>
    </w:p>
  </w:endnote>
  <w:endnote w:type="continuationSeparator" w:id="0">
    <w:p w14:paraId="7681ABD3" w14:textId="77777777" w:rsidR="004A7317" w:rsidRDefault="004A7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Clean SemiLight">
    <w:panose1 w:val="020B04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8CE8" w14:textId="77777777" w:rsidR="00FD1D45" w:rsidRPr="00312B44" w:rsidRDefault="00FD1D45" w:rsidP="00A510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BDF3" w14:textId="77777777" w:rsidR="004A7317" w:rsidRDefault="004A7317">
      <w:pPr>
        <w:spacing w:after="0" w:line="240" w:lineRule="auto"/>
      </w:pPr>
      <w:r>
        <w:separator/>
      </w:r>
    </w:p>
  </w:footnote>
  <w:footnote w:type="continuationSeparator" w:id="0">
    <w:p w14:paraId="4261665B" w14:textId="77777777" w:rsidR="004A7317" w:rsidRDefault="004A7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ADF3" w14:textId="77777777" w:rsidR="00FD1D45" w:rsidRPr="004B0787" w:rsidRDefault="00782A2E" w:rsidP="004B0787">
    <w:pPr>
      <w:pStyle w:val="Header"/>
    </w:pPr>
    <w:r>
      <w:fldChar w:fldCharType="begin"/>
    </w:r>
    <w:r>
      <w:instrText xml:space="preserve"> TITLE  \* MERGEFORMAT </w:instrText>
    </w:r>
    <w:r>
      <w:fldChar w:fldCharType="end"/>
    </w:r>
    <w:r>
      <w:fldChar w:fldCharType="begin"/>
    </w:r>
    <w:r>
      <w:instrText xml:space="preserve"> TITLE  \* MERGEFORMAT </w:instrText>
    </w:r>
    <w:r>
      <w:fldChar w:fldCharType="end"/>
    </w:r>
    <w:r w:rsidR="00584D6C" w:rsidRPr="004B078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F70D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EA7D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E80A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7E6DAE"/>
    <w:multiLevelType w:val="multilevel"/>
    <w:tmpl w:val="04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4475E56"/>
    <w:multiLevelType w:val="multilevel"/>
    <w:tmpl w:val="C97A0C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4BC7542"/>
    <w:multiLevelType w:val="multilevel"/>
    <w:tmpl w:val="B3EAA270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80E4AB9"/>
    <w:multiLevelType w:val="multilevel"/>
    <w:tmpl w:val="99DC23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254C7C"/>
    <w:multiLevelType w:val="multilevel"/>
    <w:tmpl w:val="0409001D"/>
    <w:styleLink w:val="CurrentList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76630C"/>
    <w:multiLevelType w:val="multilevel"/>
    <w:tmpl w:val="8C1CAE6E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AC108C"/>
    <w:multiLevelType w:val="hybridMultilevel"/>
    <w:tmpl w:val="DDA0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F0169"/>
    <w:multiLevelType w:val="multilevel"/>
    <w:tmpl w:val="C33A0736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3380611"/>
    <w:multiLevelType w:val="hybridMultilevel"/>
    <w:tmpl w:val="C13C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45D0A"/>
    <w:multiLevelType w:val="multilevel"/>
    <w:tmpl w:val="4790B4CC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B220F7B"/>
    <w:multiLevelType w:val="hybridMultilevel"/>
    <w:tmpl w:val="48A41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236E0"/>
    <w:multiLevelType w:val="multilevel"/>
    <w:tmpl w:val="99DC23FA"/>
    <w:styleLink w:val="CurrentList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7DD0098"/>
    <w:multiLevelType w:val="multilevel"/>
    <w:tmpl w:val="0B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2BF1"/>
    <w:multiLevelType w:val="multilevel"/>
    <w:tmpl w:val="66265938"/>
    <w:styleLink w:val="CurrentList1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C12E7"/>
    <w:multiLevelType w:val="multilevel"/>
    <w:tmpl w:val="99DC23FA"/>
    <w:styleLink w:val="CurrentList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9FB223A"/>
    <w:multiLevelType w:val="hybridMultilevel"/>
    <w:tmpl w:val="7756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6B99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5541D6"/>
    <w:multiLevelType w:val="multilevel"/>
    <w:tmpl w:val="52EA59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62363D3"/>
    <w:multiLevelType w:val="hybridMultilevel"/>
    <w:tmpl w:val="BBAE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D689E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DAC079B"/>
    <w:multiLevelType w:val="hybridMultilevel"/>
    <w:tmpl w:val="FB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525CE"/>
    <w:multiLevelType w:val="hybridMultilevel"/>
    <w:tmpl w:val="014C2614"/>
    <w:lvl w:ilvl="0" w:tplc="45F096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392386274">
    <w:abstractNumId w:val="9"/>
  </w:num>
  <w:num w:numId="11" w16cid:durableId="1300458296">
    <w:abstractNumId w:val="10"/>
  </w:num>
  <w:num w:numId="12" w16cid:durableId="1067076125">
    <w:abstractNumId w:val="10"/>
  </w:num>
  <w:num w:numId="13" w16cid:durableId="1519000190">
    <w:abstractNumId w:val="10"/>
  </w:num>
  <w:num w:numId="14" w16cid:durableId="1742866104">
    <w:abstractNumId w:val="10"/>
  </w:num>
  <w:num w:numId="15" w16cid:durableId="13369601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3440635">
    <w:abstractNumId w:val="10"/>
  </w:num>
  <w:num w:numId="17" w16cid:durableId="1195775833">
    <w:abstractNumId w:val="10"/>
  </w:num>
  <w:num w:numId="18" w16cid:durableId="1666201373">
    <w:abstractNumId w:val="10"/>
  </w:num>
  <w:num w:numId="19" w16cid:durableId="257836038">
    <w:abstractNumId w:val="10"/>
  </w:num>
  <w:num w:numId="20" w16cid:durableId="1187989823">
    <w:abstractNumId w:val="10"/>
  </w:num>
  <w:num w:numId="21" w16cid:durableId="169948800">
    <w:abstractNumId w:val="10"/>
  </w:num>
  <w:num w:numId="22" w16cid:durableId="986015321">
    <w:abstractNumId w:val="10"/>
  </w:num>
  <w:num w:numId="23" w16cid:durableId="1025519752">
    <w:abstractNumId w:val="10"/>
  </w:num>
  <w:num w:numId="24" w16cid:durableId="643243687">
    <w:abstractNumId w:val="10"/>
  </w:num>
  <w:num w:numId="25" w16cid:durableId="1750614130">
    <w:abstractNumId w:val="10"/>
  </w:num>
  <w:num w:numId="26" w16cid:durableId="523325610">
    <w:abstractNumId w:val="10"/>
  </w:num>
  <w:num w:numId="27" w16cid:durableId="244844589">
    <w:abstractNumId w:val="10"/>
  </w:num>
  <w:num w:numId="28" w16cid:durableId="762989482">
    <w:abstractNumId w:val="10"/>
  </w:num>
  <w:num w:numId="29" w16cid:durableId="865556376">
    <w:abstractNumId w:val="10"/>
  </w:num>
  <w:num w:numId="30" w16cid:durableId="1800875949">
    <w:abstractNumId w:val="10"/>
  </w:num>
  <w:num w:numId="31" w16cid:durableId="841312941">
    <w:abstractNumId w:val="10"/>
  </w:num>
  <w:num w:numId="32" w16cid:durableId="867178801">
    <w:abstractNumId w:val="10"/>
  </w:num>
  <w:num w:numId="33" w16cid:durableId="682433888">
    <w:abstractNumId w:val="10"/>
  </w:num>
  <w:num w:numId="34" w16cid:durableId="1526626852">
    <w:abstractNumId w:val="10"/>
  </w:num>
  <w:num w:numId="35" w16cid:durableId="839933716">
    <w:abstractNumId w:val="10"/>
  </w:num>
  <w:num w:numId="36" w16cid:durableId="889420507">
    <w:abstractNumId w:val="10"/>
  </w:num>
  <w:num w:numId="37" w16cid:durableId="1075668705">
    <w:abstractNumId w:val="10"/>
  </w:num>
  <w:num w:numId="38" w16cid:durableId="68580678">
    <w:abstractNumId w:val="10"/>
  </w:num>
  <w:num w:numId="39" w16cid:durableId="1112481838">
    <w:abstractNumId w:val="10"/>
  </w:num>
  <w:num w:numId="40" w16cid:durableId="1835489447">
    <w:abstractNumId w:val="10"/>
  </w:num>
  <w:num w:numId="41" w16cid:durableId="1018386616">
    <w:abstractNumId w:val="10"/>
  </w:num>
  <w:num w:numId="42" w16cid:durableId="2040274760">
    <w:abstractNumId w:val="10"/>
  </w:num>
  <w:num w:numId="43" w16cid:durableId="1677926135">
    <w:abstractNumId w:val="10"/>
  </w:num>
  <w:num w:numId="44" w16cid:durableId="1143500224">
    <w:abstractNumId w:val="10"/>
  </w:num>
  <w:num w:numId="45" w16cid:durableId="920485018">
    <w:abstractNumId w:val="10"/>
  </w:num>
  <w:num w:numId="46" w16cid:durableId="1933510428">
    <w:abstractNumId w:val="10"/>
  </w:num>
  <w:num w:numId="47" w16cid:durableId="1788159451">
    <w:abstractNumId w:val="10"/>
  </w:num>
  <w:num w:numId="48" w16cid:durableId="894271070">
    <w:abstractNumId w:val="10"/>
  </w:num>
  <w:num w:numId="49" w16cid:durableId="703989795">
    <w:abstractNumId w:val="10"/>
  </w:num>
  <w:num w:numId="50" w16cid:durableId="1164706307">
    <w:abstractNumId w:val="10"/>
  </w:num>
  <w:num w:numId="51" w16cid:durableId="2005889921">
    <w:abstractNumId w:val="10"/>
  </w:num>
  <w:num w:numId="52" w16cid:durableId="2029332723">
    <w:abstractNumId w:val="10"/>
  </w:num>
  <w:num w:numId="53" w16cid:durableId="1156267343">
    <w:abstractNumId w:val="10"/>
  </w:num>
  <w:num w:numId="54" w16cid:durableId="1995068092">
    <w:abstractNumId w:val="10"/>
  </w:num>
  <w:num w:numId="55" w16cid:durableId="1028065254">
    <w:abstractNumId w:val="10"/>
  </w:num>
  <w:num w:numId="56" w16cid:durableId="1891574670">
    <w:abstractNumId w:val="10"/>
  </w:num>
  <w:num w:numId="57" w16cid:durableId="1757088360">
    <w:abstractNumId w:val="10"/>
  </w:num>
  <w:num w:numId="58" w16cid:durableId="696010072">
    <w:abstractNumId w:val="10"/>
  </w:num>
  <w:num w:numId="59" w16cid:durableId="830829673">
    <w:abstractNumId w:val="10"/>
  </w:num>
  <w:num w:numId="60" w16cid:durableId="1131052183">
    <w:abstractNumId w:val="10"/>
  </w:num>
  <w:num w:numId="61" w16cid:durableId="1675566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66238798">
    <w:abstractNumId w:val="10"/>
  </w:num>
  <w:num w:numId="63" w16cid:durableId="3871698">
    <w:abstractNumId w:val="10"/>
  </w:num>
  <w:num w:numId="64" w16cid:durableId="81613978">
    <w:abstractNumId w:val="10"/>
  </w:num>
  <w:num w:numId="65" w16cid:durableId="1275822073">
    <w:abstractNumId w:val="10"/>
  </w:num>
  <w:num w:numId="66" w16cid:durableId="2127507082">
    <w:abstractNumId w:val="13"/>
  </w:num>
  <w:num w:numId="67" w16cid:durableId="1927956718">
    <w:abstractNumId w:val="25"/>
  </w:num>
  <w:num w:numId="68" w16cid:durableId="166479914">
    <w:abstractNumId w:val="21"/>
  </w:num>
  <w:num w:numId="69" w16cid:durableId="530606342">
    <w:abstractNumId w:val="17"/>
  </w:num>
  <w:num w:numId="70" w16cid:durableId="1735659139">
    <w:abstractNumId w:val="27"/>
  </w:num>
  <w:num w:numId="71" w16cid:durableId="1968003167">
    <w:abstractNumId w:val="30"/>
  </w:num>
  <w:num w:numId="72" w16cid:durableId="1818257175">
    <w:abstractNumId w:val="18"/>
  </w:num>
  <w:num w:numId="73" w16cid:durableId="1097864596">
    <w:abstractNumId w:val="29"/>
  </w:num>
  <w:num w:numId="74" w16cid:durableId="1571844118">
    <w:abstractNumId w:val="22"/>
  </w:num>
  <w:num w:numId="75" w16cid:durableId="2112703831">
    <w:abstractNumId w:val="20"/>
  </w:num>
  <w:num w:numId="76" w16cid:durableId="1873574036">
    <w:abstractNumId w:val="24"/>
  </w:num>
  <w:num w:numId="77" w16cid:durableId="942809916">
    <w:abstractNumId w:val="19"/>
  </w:num>
  <w:num w:numId="78" w16cid:durableId="1564952461">
    <w:abstractNumId w:val="15"/>
  </w:num>
  <w:num w:numId="79" w16cid:durableId="1041900779">
    <w:abstractNumId w:val="14"/>
  </w:num>
  <w:num w:numId="80" w16cid:durableId="291062147">
    <w:abstractNumId w:val="31"/>
  </w:num>
  <w:num w:numId="81" w16cid:durableId="1557009712">
    <w:abstractNumId w:val="12"/>
  </w:num>
  <w:num w:numId="82" w16cid:durableId="2051417821">
    <w:abstractNumId w:val="23"/>
  </w:num>
  <w:num w:numId="83" w16cid:durableId="1757285548">
    <w:abstractNumId w:val="26"/>
  </w:num>
  <w:num w:numId="84" w16cid:durableId="914361100">
    <w:abstractNumId w:val="28"/>
  </w:num>
  <w:num w:numId="85" w16cid:durableId="535193841">
    <w:abstractNumId w:val="16"/>
  </w:num>
  <w:num w:numId="86" w16cid:durableId="807213033">
    <w:abstractNumId w:val="33"/>
  </w:num>
  <w:num w:numId="87" w16cid:durableId="1764301498">
    <w:abstractNumId w:val="32"/>
  </w:num>
  <w:num w:numId="88" w16cid:durableId="1844003895">
    <w:abstractNumId w:val="9"/>
  </w:num>
  <w:num w:numId="89" w16cid:durableId="2010058369">
    <w:abstractNumId w:val="10"/>
  </w:num>
  <w:num w:numId="90" w16cid:durableId="2030520372">
    <w:abstractNumId w:val="10"/>
  </w:num>
  <w:num w:numId="91" w16cid:durableId="1364945293">
    <w:abstractNumId w:val="10"/>
  </w:num>
  <w:num w:numId="92" w16cid:durableId="1329865879">
    <w:abstractNumId w:val="10"/>
  </w:num>
  <w:num w:numId="93" w16cid:durableId="1368917497">
    <w:abstractNumId w:val="10"/>
  </w:num>
  <w:num w:numId="94" w16cid:durableId="1427462816">
    <w:abstractNumId w:val="10"/>
  </w:num>
  <w:num w:numId="95" w16cid:durableId="257058987">
    <w:abstractNumId w:val="10"/>
  </w:num>
  <w:num w:numId="96" w16cid:durableId="1857890926">
    <w:abstractNumId w:val="10"/>
  </w:num>
  <w:num w:numId="97" w16cid:durableId="2054110519">
    <w:abstractNumId w:val="10"/>
  </w:num>
  <w:num w:numId="98" w16cid:durableId="428161540">
    <w:abstractNumId w:val="10"/>
  </w:num>
  <w:num w:numId="99" w16cid:durableId="1630164204">
    <w:abstractNumId w:val="10"/>
  </w:num>
  <w:num w:numId="100" w16cid:durableId="1229850816">
    <w:abstractNumId w:val="10"/>
  </w:num>
  <w:num w:numId="101" w16cid:durableId="860315365">
    <w:abstractNumId w:val="10"/>
  </w:num>
  <w:num w:numId="102" w16cid:durableId="582758448">
    <w:abstractNumId w:val="10"/>
  </w:num>
  <w:num w:numId="103" w16cid:durableId="139930100">
    <w:abstractNumId w:val="10"/>
  </w:num>
  <w:num w:numId="104" w16cid:durableId="706419194">
    <w:abstractNumId w:val="10"/>
  </w:num>
  <w:num w:numId="105" w16cid:durableId="1494645202">
    <w:abstractNumId w:val="10"/>
  </w:num>
  <w:num w:numId="106" w16cid:durableId="1643928944">
    <w:abstractNumId w:val="10"/>
  </w:num>
  <w:num w:numId="107" w16cid:durableId="2031831289">
    <w:abstractNumId w:val="10"/>
  </w:num>
  <w:num w:numId="108" w16cid:durableId="668680091">
    <w:abstractNumId w:val="10"/>
  </w:num>
  <w:num w:numId="109" w16cid:durableId="719088600">
    <w:abstractNumId w:val="10"/>
  </w:num>
  <w:num w:numId="110" w16cid:durableId="1326736914">
    <w:abstractNumId w:val="10"/>
  </w:num>
  <w:num w:numId="111" w16cid:durableId="172838846">
    <w:abstractNumId w:val="10"/>
  </w:num>
  <w:num w:numId="112" w16cid:durableId="1871140580">
    <w:abstractNumId w:val="10"/>
  </w:num>
  <w:num w:numId="113" w16cid:durableId="989867535">
    <w:abstractNumId w:val="10"/>
  </w:num>
  <w:num w:numId="114" w16cid:durableId="820002122">
    <w:abstractNumId w:val="10"/>
  </w:num>
  <w:num w:numId="115" w16cid:durableId="631832761">
    <w:abstractNumId w:val="10"/>
  </w:num>
  <w:num w:numId="116" w16cid:durableId="1700622426">
    <w:abstractNumId w:val="10"/>
  </w:num>
  <w:num w:numId="117" w16cid:durableId="1655791029">
    <w:abstractNumId w:val="10"/>
  </w:num>
  <w:num w:numId="118" w16cid:durableId="1436754157">
    <w:abstractNumId w:val="10"/>
  </w:num>
  <w:num w:numId="119" w16cid:durableId="1283000682">
    <w:abstractNumId w:val="10"/>
  </w:num>
  <w:num w:numId="120" w16cid:durableId="1809593831">
    <w:abstractNumId w:val="10"/>
  </w:num>
  <w:num w:numId="121" w16cid:durableId="1959333294">
    <w:abstractNumId w:val="10"/>
  </w:num>
  <w:num w:numId="122" w16cid:durableId="273876183">
    <w:abstractNumId w:val="10"/>
  </w:num>
  <w:num w:numId="123" w16cid:durableId="1420253899">
    <w:abstractNumId w:val="10"/>
  </w:num>
  <w:num w:numId="124" w16cid:durableId="1561595287">
    <w:abstractNumId w:val="10"/>
  </w:num>
  <w:num w:numId="125" w16cid:durableId="1836141734">
    <w:abstractNumId w:val="10"/>
  </w:num>
  <w:num w:numId="126" w16cid:durableId="1462571429">
    <w:abstractNumId w:val="10"/>
  </w:num>
  <w:num w:numId="127" w16cid:durableId="230310923">
    <w:abstractNumId w:val="10"/>
  </w:num>
  <w:num w:numId="128" w16cid:durableId="1176379588">
    <w:abstractNumId w:val="10"/>
  </w:num>
  <w:num w:numId="129" w16cid:durableId="1680424251">
    <w:abstractNumId w:val="10"/>
  </w:num>
  <w:num w:numId="130" w16cid:durableId="257567889">
    <w:abstractNumId w:val="10"/>
  </w:num>
  <w:num w:numId="131" w16cid:durableId="989946822">
    <w:abstractNumId w:val="10"/>
  </w:num>
  <w:num w:numId="132" w16cid:durableId="1176260786">
    <w:abstractNumId w:val="10"/>
  </w:num>
  <w:num w:numId="133" w16cid:durableId="105196883">
    <w:abstractNumId w:val="10"/>
  </w:num>
  <w:num w:numId="134" w16cid:durableId="2102599830">
    <w:abstractNumId w:val="10"/>
  </w:num>
  <w:num w:numId="135" w16cid:durableId="1973703485">
    <w:abstractNumId w:val="10"/>
  </w:num>
  <w:num w:numId="136" w16cid:durableId="174341448">
    <w:abstractNumId w:val="10"/>
  </w:num>
  <w:num w:numId="137" w16cid:durableId="133255470">
    <w:abstractNumId w:val="10"/>
  </w:num>
  <w:num w:numId="138" w16cid:durableId="2037777615">
    <w:abstractNumId w:val="10"/>
  </w:num>
  <w:num w:numId="139" w16cid:durableId="224412841">
    <w:abstractNumId w:val="10"/>
  </w:num>
  <w:num w:numId="140" w16cid:durableId="894972010">
    <w:abstractNumId w:val="10"/>
  </w:num>
  <w:num w:numId="141" w16cid:durableId="1933198734">
    <w:abstractNumId w:val="10"/>
  </w:num>
  <w:num w:numId="142" w16cid:durableId="692458998">
    <w:abstractNumId w:val="10"/>
  </w:num>
  <w:num w:numId="143" w16cid:durableId="320232944">
    <w:abstractNumId w:val="10"/>
  </w:num>
  <w:num w:numId="144" w16cid:durableId="417363162">
    <w:abstractNumId w:val="10"/>
  </w:num>
  <w:num w:numId="145" w16cid:durableId="1956985694">
    <w:abstractNumId w:val="10"/>
  </w:num>
  <w:num w:numId="146" w16cid:durableId="2009014821">
    <w:abstractNumId w:val="10"/>
  </w:num>
  <w:num w:numId="147" w16cid:durableId="1125462118">
    <w:abstractNumId w:val="10"/>
  </w:num>
  <w:num w:numId="148" w16cid:durableId="578177026">
    <w:abstractNumId w:val="10"/>
  </w:num>
  <w:num w:numId="149" w16cid:durableId="507790507">
    <w:abstractNumId w:val="10"/>
  </w:num>
  <w:num w:numId="150" w16cid:durableId="1855994750">
    <w:abstractNumId w:val="10"/>
  </w:num>
  <w:num w:numId="151" w16cid:durableId="849442849">
    <w:abstractNumId w:val="10"/>
  </w:num>
  <w:num w:numId="152" w16cid:durableId="1526559132">
    <w:abstractNumId w:val="10"/>
  </w:num>
  <w:num w:numId="153" w16cid:durableId="1897274949">
    <w:abstractNumId w:val="10"/>
  </w:num>
  <w:num w:numId="154" w16cid:durableId="1125929791">
    <w:abstractNumId w:val="10"/>
  </w:num>
  <w:num w:numId="155" w16cid:durableId="1422097361">
    <w:abstractNumId w:val="10"/>
  </w:num>
  <w:num w:numId="156" w16cid:durableId="1184592112">
    <w:abstractNumId w:val="10"/>
  </w:num>
  <w:num w:numId="157" w16cid:durableId="1315177790">
    <w:abstractNumId w:val="10"/>
  </w:num>
  <w:num w:numId="158" w16cid:durableId="210073114">
    <w:abstractNumId w:val="10"/>
  </w:num>
  <w:num w:numId="159" w16cid:durableId="146210945">
    <w:abstractNumId w:val="10"/>
  </w:num>
  <w:num w:numId="160" w16cid:durableId="1945577217">
    <w:abstractNumId w:val="10"/>
  </w:num>
  <w:num w:numId="161" w16cid:durableId="1037051155">
    <w:abstractNumId w:val="10"/>
  </w:num>
  <w:num w:numId="162" w16cid:durableId="1265848178">
    <w:abstractNumId w:val="10"/>
  </w:num>
  <w:num w:numId="163" w16cid:durableId="966398773">
    <w:abstractNumId w:val="10"/>
  </w:num>
  <w:num w:numId="164" w16cid:durableId="447626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5"/>
    <w:rsid w:val="000158D1"/>
    <w:rsid w:val="00034616"/>
    <w:rsid w:val="00057080"/>
    <w:rsid w:val="0006063C"/>
    <w:rsid w:val="000A6844"/>
    <w:rsid w:val="000D2DD7"/>
    <w:rsid w:val="0010531A"/>
    <w:rsid w:val="00105DD6"/>
    <w:rsid w:val="00111095"/>
    <w:rsid w:val="00130E9D"/>
    <w:rsid w:val="00137FA8"/>
    <w:rsid w:val="001476A5"/>
    <w:rsid w:val="0015074B"/>
    <w:rsid w:val="0018618E"/>
    <w:rsid w:val="00187AFE"/>
    <w:rsid w:val="001D387F"/>
    <w:rsid w:val="00217502"/>
    <w:rsid w:val="00222872"/>
    <w:rsid w:val="0023517B"/>
    <w:rsid w:val="00252CDE"/>
    <w:rsid w:val="002961F1"/>
    <w:rsid w:val="0029639D"/>
    <w:rsid w:val="002A5BE0"/>
    <w:rsid w:val="002B784F"/>
    <w:rsid w:val="002E733D"/>
    <w:rsid w:val="00312B44"/>
    <w:rsid w:val="00326F90"/>
    <w:rsid w:val="0035742B"/>
    <w:rsid w:val="00381ED3"/>
    <w:rsid w:val="00385561"/>
    <w:rsid w:val="00391236"/>
    <w:rsid w:val="003A3213"/>
    <w:rsid w:val="003C2C65"/>
    <w:rsid w:val="003D3580"/>
    <w:rsid w:val="00442B5A"/>
    <w:rsid w:val="0047033C"/>
    <w:rsid w:val="0047059D"/>
    <w:rsid w:val="004A1717"/>
    <w:rsid w:val="004A349D"/>
    <w:rsid w:val="004A7317"/>
    <w:rsid w:val="004B0787"/>
    <w:rsid w:val="004B20AD"/>
    <w:rsid w:val="004B7FA1"/>
    <w:rsid w:val="00543A28"/>
    <w:rsid w:val="0055239F"/>
    <w:rsid w:val="0057078D"/>
    <w:rsid w:val="00584D6C"/>
    <w:rsid w:val="005C0261"/>
    <w:rsid w:val="005E3BCA"/>
    <w:rsid w:val="00606575"/>
    <w:rsid w:val="00612EEF"/>
    <w:rsid w:val="00613575"/>
    <w:rsid w:val="006320E2"/>
    <w:rsid w:val="006F03C5"/>
    <w:rsid w:val="00732D60"/>
    <w:rsid w:val="00782A2E"/>
    <w:rsid w:val="00796E95"/>
    <w:rsid w:val="007A2D43"/>
    <w:rsid w:val="007C383F"/>
    <w:rsid w:val="008252EC"/>
    <w:rsid w:val="00833757"/>
    <w:rsid w:val="008E3F75"/>
    <w:rsid w:val="00901D7C"/>
    <w:rsid w:val="00925544"/>
    <w:rsid w:val="0096405E"/>
    <w:rsid w:val="00970522"/>
    <w:rsid w:val="00A26744"/>
    <w:rsid w:val="00A3129E"/>
    <w:rsid w:val="00A5105D"/>
    <w:rsid w:val="00A51654"/>
    <w:rsid w:val="00A76D51"/>
    <w:rsid w:val="00A84B13"/>
    <w:rsid w:val="00AA1D8D"/>
    <w:rsid w:val="00AD6612"/>
    <w:rsid w:val="00AE3515"/>
    <w:rsid w:val="00B1162A"/>
    <w:rsid w:val="00B148D0"/>
    <w:rsid w:val="00B3549D"/>
    <w:rsid w:val="00B357E5"/>
    <w:rsid w:val="00B45B65"/>
    <w:rsid w:val="00B47730"/>
    <w:rsid w:val="00B6232C"/>
    <w:rsid w:val="00B7228F"/>
    <w:rsid w:val="00B94483"/>
    <w:rsid w:val="00BB5D15"/>
    <w:rsid w:val="00BC1E8F"/>
    <w:rsid w:val="00BD7765"/>
    <w:rsid w:val="00C1035D"/>
    <w:rsid w:val="00C13244"/>
    <w:rsid w:val="00C20D20"/>
    <w:rsid w:val="00C71CD4"/>
    <w:rsid w:val="00C8011F"/>
    <w:rsid w:val="00CB0664"/>
    <w:rsid w:val="00D02692"/>
    <w:rsid w:val="00D3174F"/>
    <w:rsid w:val="00DB144C"/>
    <w:rsid w:val="00DB3A1E"/>
    <w:rsid w:val="00DD0087"/>
    <w:rsid w:val="00DF2A83"/>
    <w:rsid w:val="00DF672C"/>
    <w:rsid w:val="00E47F57"/>
    <w:rsid w:val="00E6441D"/>
    <w:rsid w:val="00EF0F44"/>
    <w:rsid w:val="00F47C93"/>
    <w:rsid w:val="00F840FE"/>
    <w:rsid w:val="00FA7FD4"/>
    <w:rsid w:val="00FB055F"/>
    <w:rsid w:val="00FB6604"/>
    <w:rsid w:val="00FB7B18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7B358"/>
  <w15:docId w15:val="{D8A49F05-6EBC-FF46-9FD2-1BA1AFF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80"/>
    <w:rPr>
      <w:rFonts w:ascii="Adobe Clean" w:hAnsi="Adobe Cle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B44"/>
    <w:pPr>
      <w:keepNext/>
      <w:keepLines/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2B44"/>
    <w:pPr>
      <w:keepNext/>
      <w:keepLines/>
      <w:spacing w:before="160" w:after="80" w:line="300" w:lineRule="atLeast"/>
      <w:outlineLvl w:val="1"/>
    </w:pPr>
    <w:rPr>
      <w:rFonts w:eastAsiaTheme="majorEastAsia" w:cs="Segoe U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2B44"/>
    <w:pPr>
      <w:keepNext/>
      <w:keepLines/>
      <w:spacing w:before="160" w:after="80"/>
      <w:outlineLvl w:val="2"/>
    </w:pPr>
    <w:rPr>
      <w:rFonts w:ascii="Adobe Clean SemiLight" w:eastAsiaTheme="majorEastAsia" w:hAnsi="Adobe Clean SemiLight" w:cstheme="majorBidi"/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12B44"/>
    <w:pPr>
      <w:keepNext/>
      <w:keepLines/>
      <w:spacing w:before="160" w:after="80"/>
      <w:outlineLvl w:val="3"/>
    </w:pPr>
    <w:rPr>
      <w:rFonts w:ascii="Adobe Clean SemiLight" w:eastAsiaTheme="majorEastAsia" w:hAnsi="Adobe Clean SemiLight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06575"/>
    <w:pPr>
      <w:keepNext/>
      <w:keepLines/>
      <w:numPr>
        <w:ilvl w:val="4"/>
        <w:numId w:val="78"/>
      </w:numPr>
      <w:spacing w:before="160" w:after="80"/>
      <w:outlineLvl w:val="4"/>
    </w:pPr>
    <w:rPr>
      <w:rFonts w:ascii="Adobe Clean SemiLight" w:eastAsiaTheme="majorEastAsia" w:hAnsi="Adobe Clean SemiLight" w:cstheme="majorBidi"/>
      <w:i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312B44"/>
    <w:pPr>
      <w:keepNext/>
      <w:keepLines/>
      <w:numPr>
        <w:ilvl w:val="5"/>
        <w:numId w:val="78"/>
      </w:numPr>
      <w:spacing w:before="16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312B44"/>
    <w:pPr>
      <w:keepNext/>
      <w:keepLines/>
      <w:numPr>
        <w:ilvl w:val="6"/>
        <w:numId w:val="78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925544"/>
    <w:pPr>
      <w:keepNext/>
      <w:keepLines/>
      <w:numPr>
        <w:ilvl w:val="7"/>
        <w:numId w:val="78"/>
      </w:numPr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75"/>
    <w:pPr>
      <w:keepNext/>
      <w:keepLines/>
      <w:numPr>
        <w:ilvl w:val="8"/>
        <w:numId w:val="7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312B44"/>
    <w:pPr>
      <w:tabs>
        <w:tab w:val="center" w:pos="4680"/>
        <w:tab w:val="right" w:pos="9360"/>
      </w:tabs>
      <w:spacing w:after="0" w:line="240" w:lineRule="auto"/>
      <w:jc w:val="right"/>
    </w:pPr>
    <w:rPr>
      <w:color w:val="88888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B44"/>
    <w:rPr>
      <w:rFonts w:ascii="Adobe Clean" w:hAnsi="Adobe Clean"/>
      <w:color w:val="888888"/>
      <w:sz w:val="20"/>
      <w:szCs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1717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6575"/>
    <w:rPr>
      <w:rFonts w:ascii="Adobe Clean" w:eastAsiaTheme="majorEastAsia" w:hAnsi="Adobe Clean" w:cs="Segoe U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41D"/>
    <w:rPr>
      <w:rFonts w:ascii="Adobe Clean SemiLight" w:eastAsiaTheme="majorEastAsia" w:hAnsi="Adobe Clean SemiLight" w:cstheme="majorBidi"/>
      <w:b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2872"/>
    <w:pPr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2872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165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1654"/>
    <w:rPr>
      <w:rFonts w:ascii="Adobe Clean" w:eastAsiaTheme="majorEastAsia" w:hAnsi="Adobe Clean" w:cstheme="majorBidi"/>
      <w:b/>
      <w:iCs/>
      <w:color w:val="2C2C2C"/>
      <w:spacing w:val="15"/>
      <w:sz w:val="40"/>
      <w:szCs w:val="24"/>
    </w:rPr>
  </w:style>
  <w:style w:type="paragraph" w:styleId="ListParagraph">
    <w:name w:val="List Paragraph"/>
    <w:basedOn w:val="Normal"/>
    <w:autoRedefine/>
    <w:uiPriority w:val="34"/>
    <w:qFormat/>
    <w:rsid w:val="002A5BE0"/>
    <w:pPr>
      <w:numPr>
        <w:numId w:val="86"/>
      </w:numPr>
      <w:spacing w:after="0" w:line="240" w:lineRule="auto"/>
      <w:contextualSpacing/>
    </w:p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12B44"/>
  </w:style>
  <w:style w:type="character" w:customStyle="1" w:styleId="BodyTextChar">
    <w:name w:val="Body Text Char"/>
    <w:basedOn w:val="DefaultParagraphFont"/>
    <w:link w:val="BodyText"/>
    <w:uiPriority w:val="99"/>
    <w:rsid w:val="00312B44"/>
    <w:rPr>
      <w:rFonts w:ascii="Adobe Clean" w:hAnsi="Adobe Cle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autoRedefine/>
    <w:uiPriority w:val="99"/>
    <w:unhideWhenUsed/>
    <w:qFormat/>
    <w:rsid w:val="00B148D0"/>
    <w:pPr>
      <w:spacing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autoRedefine/>
    <w:uiPriority w:val="99"/>
    <w:unhideWhenUsed/>
    <w:qFormat/>
    <w:rsid w:val="00B148D0"/>
    <w:pPr>
      <w:numPr>
        <w:numId w:val="1"/>
      </w:numPr>
      <w:spacing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autoRedefine/>
    <w:uiPriority w:val="99"/>
    <w:unhideWhenUsed/>
    <w:qFormat/>
    <w:rsid w:val="00B148D0"/>
    <w:pPr>
      <w:numPr>
        <w:numId w:val="5"/>
      </w:numPr>
      <w:spacing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autoRedefine/>
    <w:uiPriority w:val="99"/>
    <w:unhideWhenUsed/>
    <w:qFormat/>
    <w:rsid w:val="00B148D0"/>
    <w:pPr>
      <w:spacing w:after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6575"/>
    <w:rPr>
      <w:rFonts w:ascii="Adobe Clean SemiLight" w:eastAsiaTheme="majorEastAsia" w:hAnsi="Adobe Clean SemiLight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52CDE"/>
    <w:rPr>
      <w:rFonts w:ascii="Adobe Clean SemiLight" w:eastAsiaTheme="majorEastAsia" w:hAnsi="Adobe Clean SemiLight" w:cstheme="majorBidi"/>
      <w:i/>
      <w:color w:val="2C2C2C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44"/>
    <w:rPr>
      <w:rFonts w:ascii="Adobe Clean" w:eastAsiaTheme="majorEastAsia" w:hAnsi="Adobe Clean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44"/>
    <w:rPr>
      <w:rFonts w:ascii="Adobe Clean" w:eastAsiaTheme="majorEastAsia" w:hAnsi="Adobe Clean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44"/>
    <w:rPr>
      <w:rFonts w:ascii="Adobe Clean" w:eastAsiaTheme="majorEastAsia" w:hAnsi="Adobe Clean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autoRedefine/>
    <w:qFormat/>
    <w:rsid w:val="00970522"/>
    <w:pPr>
      <w:spacing w:after="120"/>
    </w:pPr>
    <w:rPr>
      <w:rFonts w:ascii="Adobe Clean" w:eastAsia="Aptos" w:hAnsi="Adobe Clean"/>
      <w:bCs/>
      <w:i/>
      <w:color w:val="2C2C2C"/>
      <w:sz w:val="20"/>
    </w:rPr>
  </w:style>
  <w:style w:type="paragraph" w:customStyle="1" w:styleId="ImageCaption">
    <w:name w:val="Image Caption"/>
    <w:autoRedefine/>
    <w:qFormat/>
    <w:rsid w:val="00543A28"/>
    <w:pPr>
      <w:spacing w:after="120"/>
    </w:pPr>
    <w:rPr>
      <w:rFonts w:ascii="Adobe Clean" w:eastAsia="Aptos" w:hAnsi="Adobe Clean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autoRedefine/>
    <w:qFormat/>
    <w:rsid w:val="00543A28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21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qFormat/>
    <w:rsid w:val="00543A28"/>
    <w:rPr>
      <w:rFonts w:ascii="Adobe Clean" w:hAnsi="Adobe Clean"/>
      <w:color w:val="FA0F00"/>
      <w:sz w:val="24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autoRedefine/>
    <w:qFormat/>
    <w:rsid w:val="00543A28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autoRedefine/>
    <w:qFormat/>
    <w:rsid w:val="00543A28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numbering" w:customStyle="1" w:styleId="CurrentList1">
    <w:name w:val="Current List1"/>
    <w:uiPriority w:val="99"/>
    <w:rsid w:val="00B3549D"/>
    <w:pPr>
      <w:numPr>
        <w:numId w:val="67"/>
      </w:numPr>
    </w:pPr>
  </w:style>
  <w:style w:type="numbering" w:customStyle="1" w:styleId="CurrentList2">
    <w:name w:val="Current List2"/>
    <w:uiPriority w:val="99"/>
    <w:rsid w:val="00B3549D"/>
    <w:pPr>
      <w:numPr>
        <w:numId w:val="68"/>
      </w:numPr>
    </w:pPr>
  </w:style>
  <w:style w:type="numbering" w:customStyle="1" w:styleId="CurrentList3">
    <w:name w:val="Current List3"/>
    <w:uiPriority w:val="99"/>
    <w:rsid w:val="00B357E5"/>
    <w:pPr>
      <w:numPr>
        <w:numId w:val="6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175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50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750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312B44"/>
    <w:rPr>
      <w:rFonts w:ascii="Adobe Clean" w:hAnsi="Adobe Clean"/>
      <w:color w:val="FA1000"/>
      <w:sz w:val="24"/>
      <w:u w:val="single"/>
    </w:rPr>
  </w:style>
  <w:style w:type="paragraph" w:styleId="NormalWeb">
    <w:name w:val="Normal (Web)"/>
    <w:basedOn w:val="Normal"/>
    <w:autoRedefine/>
    <w:uiPriority w:val="99"/>
    <w:unhideWhenUsed/>
    <w:qFormat/>
    <w:rsid w:val="00312B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numbering" w:customStyle="1" w:styleId="CurrentList4">
    <w:name w:val="Current List4"/>
    <w:uiPriority w:val="99"/>
    <w:rsid w:val="004A1717"/>
    <w:pPr>
      <w:numPr>
        <w:numId w:val="77"/>
      </w:numPr>
    </w:pPr>
  </w:style>
  <w:style w:type="numbering" w:customStyle="1" w:styleId="CurrentList5">
    <w:name w:val="Current List5"/>
    <w:uiPriority w:val="99"/>
    <w:rsid w:val="00606575"/>
    <w:pPr>
      <w:numPr>
        <w:numId w:val="79"/>
      </w:numPr>
    </w:pPr>
  </w:style>
  <w:style w:type="numbering" w:customStyle="1" w:styleId="CurrentList6">
    <w:name w:val="Current List6"/>
    <w:uiPriority w:val="99"/>
    <w:rsid w:val="00606575"/>
    <w:pPr>
      <w:numPr>
        <w:numId w:val="80"/>
      </w:numPr>
    </w:pPr>
  </w:style>
  <w:style w:type="numbering" w:customStyle="1" w:styleId="CurrentList7">
    <w:name w:val="Current List7"/>
    <w:uiPriority w:val="99"/>
    <w:rsid w:val="00606575"/>
    <w:pPr>
      <w:numPr>
        <w:numId w:val="81"/>
      </w:numPr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312B44"/>
    <w:rPr>
      <w:rFonts w:ascii="Adobe Clean" w:hAnsi="Adobe Clean"/>
      <w:color w:val="FA1000"/>
      <w:u w:val="single"/>
    </w:rPr>
  </w:style>
  <w:style w:type="numbering" w:customStyle="1" w:styleId="CurrentList8">
    <w:name w:val="Current List8"/>
    <w:uiPriority w:val="99"/>
    <w:rsid w:val="00312B44"/>
    <w:pPr>
      <w:numPr>
        <w:numId w:val="82"/>
      </w:numPr>
    </w:pPr>
  </w:style>
  <w:style w:type="numbering" w:customStyle="1" w:styleId="CurrentList9">
    <w:name w:val="Current List9"/>
    <w:uiPriority w:val="99"/>
    <w:rsid w:val="00312B44"/>
    <w:pPr>
      <w:numPr>
        <w:numId w:val="83"/>
      </w:numPr>
    </w:pPr>
  </w:style>
  <w:style w:type="numbering" w:customStyle="1" w:styleId="CurrentList10">
    <w:name w:val="Current List10"/>
    <w:uiPriority w:val="99"/>
    <w:rsid w:val="00312B44"/>
    <w:pPr>
      <w:numPr>
        <w:numId w:val="84"/>
      </w:numPr>
    </w:pPr>
  </w:style>
  <w:style w:type="numbering" w:customStyle="1" w:styleId="CurrentList11">
    <w:name w:val="Current List11"/>
    <w:uiPriority w:val="99"/>
    <w:rsid w:val="00312B44"/>
    <w:pPr>
      <w:numPr>
        <w:numId w:val="85"/>
      </w:numPr>
    </w:p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B148D0"/>
    <w:pPr>
      <w:spacing w:after="0" w:line="240" w:lineRule="auto"/>
      <w:ind w:left="245" w:hanging="24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xperienceleague.adobe.com/en/docs/experience-manager-cloud-service/content/operations/query-and-indexing-best-practices" TargetMode="External"/><Relationship Id="rId18" Type="http://schemas.openxmlformats.org/officeDocument/2006/relationships/hyperlink" Target="https://experienceleague.adobe.com/en/docs/experience-manager-learn/sites/page-authoring/aem-sites-authoring-overview" TargetMode="External"/><Relationship Id="rId26" Type="http://schemas.openxmlformats.org/officeDocument/2006/relationships/hyperlink" Target="https://experienceleague.adobe.com/en/docs/experience-manager-cloud-service/content/implementing/ho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xperienceleague.adobe.com/en/docs/experience-manager-cloud-service/content/assets/hom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xperienceleague.adobe.com/en/docs/experience-manager-cloud-service/content/overview/architecture" TargetMode="External"/><Relationship Id="rId12" Type="http://schemas.openxmlformats.org/officeDocument/2006/relationships/hyperlink" Target="https://experienceleague.adobe.com/en/docs/experience-manager-cloud-service/content/implementing/developing/development-guidelines" TargetMode="External"/><Relationship Id="rId17" Type="http://schemas.openxmlformats.org/officeDocument/2006/relationships/hyperlink" Target="https://experienceleague.adobe.com/en/docs/experience-manager-learn/cloud-service/migration/moving-to-aem-as-a-cloud-service/troubleshooting" TargetMode="External"/><Relationship Id="rId25" Type="http://schemas.openxmlformats.org/officeDocument/2006/relationships/hyperlink" Target="https://experienceleague.adobe.com/en/docs/experience-manager-cloud-service/content/overview/architecture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xperienceleague.adobe.com/en/docs/experience-manager-learn/cloud-service/debugging/debugging-aem-as-a-cloud-service/developer-console" TargetMode="External"/><Relationship Id="rId20" Type="http://schemas.openxmlformats.org/officeDocument/2006/relationships/hyperlink" Target="https://experienceleague.adobe.com/en/docs/experience-manager-cloud-service/content/assets/architecture" TargetMode="External"/><Relationship Id="rId29" Type="http://schemas.openxmlformats.org/officeDocument/2006/relationships/hyperlink" Target="https://experienceleague.adobe.com/en/docs/experience-manager-cloud-service/content/operations/query-and-indexing-best-practic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erienceleague.adobe.com/en/docs/experience-manager-learn/sites/components/component-development" TargetMode="External"/><Relationship Id="rId24" Type="http://schemas.openxmlformats.org/officeDocument/2006/relationships/hyperlink" Target="https://experienceleague.adobe.com/en/docs/experience-manager-cloud-service/content/implementing/developing/aem-technologies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experienceleague.adobe.com/en/docs/experience-manager-learn/foundation/cloud-manager/use-the-cicd-pipeline-in-cloud-manager-for-aem" TargetMode="External"/><Relationship Id="rId23" Type="http://schemas.openxmlformats.org/officeDocument/2006/relationships/hyperlink" Target="https://experienceleague.adobe.com/en/docs/experience-manager-learn/cloud-service/migration/moving-to-aem-as-a-cloud-service/search-and-indexing" TargetMode="External"/><Relationship Id="rId28" Type="http://schemas.openxmlformats.org/officeDocument/2006/relationships/hyperlink" Target="https://experienceleague.adobe.com/en/docs/experience-manager-cloud-service/content/operations/indexing" TargetMode="External"/><Relationship Id="rId10" Type="http://schemas.openxmlformats.org/officeDocument/2006/relationships/hyperlink" Target="https://experienceleague.adobe.com/en/docs/experience-manager-core-components/using/developing/archetype/overview" TargetMode="External"/><Relationship Id="rId19" Type="http://schemas.openxmlformats.org/officeDocument/2006/relationships/hyperlink" Target="https://experienceleague.adobe.com/en/docs/experience-manager-cloud-service/content/sites/authoring/fragments/content-fragments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cloud-service/content/implementing/developing/aem-project-content-package-structure" TargetMode="External"/><Relationship Id="rId14" Type="http://schemas.openxmlformats.org/officeDocument/2006/relationships/hyperlink" Target="https://experienceleague.adobe.com/en/docs/experience-manager-cloud-manager/content/overview/ci-cd-pipelines" TargetMode="External"/><Relationship Id="rId22" Type="http://schemas.openxmlformats.org/officeDocument/2006/relationships/hyperlink" Target="https://experienceleague.adobe.com/en/docs/experience-manager-cloud-service/content/operations/indexing" TargetMode="External"/><Relationship Id="rId27" Type="http://schemas.openxmlformats.org/officeDocument/2006/relationships/hyperlink" Target="https://experienceleague.adobe.com/en/docs/experience-manager-cloud-service/content/implementing/developing/development-guidelines" TargetMode="External"/><Relationship Id="rId30" Type="http://schemas.openxmlformats.org/officeDocument/2006/relationships/hyperlink" Target="https://experienceleague.adobe.com/en/docs/experience-manager-cloud-manager/content/overview/key-concepts" TargetMode="External"/><Relationship Id="rId8" Type="http://schemas.openxmlformats.org/officeDocument/2006/relationships/hyperlink" Target="https://experienceleague.adobe.com/en/docs/experience-manager-cloud-service/content/implementing/developing/aem-technolog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mbert/Library/Group%20Containers/UBF8T346G9.Office/User%20Content.localized/Templates.localized/Adobe_Word_Template_No_Numb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Adobe_Word_Template_No_Numbering.dotx</Template>
  <TotalTime>1</TotalTime>
  <Pages>9</Pages>
  <Words>1916</Words>
  <Characters>11153</Characters>
  <Application>Microsoft Office Word</Application>
  <DocSecurity>0</DocSecurity>
  <Lines>287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Manager/>
  <Company/>
  <LinksUpToDate>false</LinksUpToDate>
  <CharactersWithSpaces>12958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2026-03-22T19:53:00Z</dcterms:created>
  <dcterms:modified xsi:type="dcterms:W3CDTF">2026-03-22T19:54:00Z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/>
  </property>
  <property fmtid="{D5CDD505-2E9C-101B-9397-08002B2CF9AE}" pid="3" name="section_break_level">
    <vt:lpwstr>1</vt:lpwstr>
  </property>
</Properties>
</file>