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6651D1">
        <w:rPr>
          <w:rFonts w:eastAsia="微軟正黑體" w:cstheme="minorHAnsi" w:hint="eastAsia"/>
          <w:sz w:val="40"/>
          <w:szCs w:val="40"/>
        </w:rPr>
        <w:t>十九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6651D1">
        <w:rPr>
          <w:rFonts w:eastAsia="微軟正黑體" w:cstheme="minorHAnsi" w:hint="eastAsia"/>
          <w:sz w:val="40"/>
          <w:szCs w:val="40"/>
        </w:rPr>
        <w:t>金融機構出售不良債權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7507F" w:rsidRDefault="006651D1" w:rsidP="00C9720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金融機構出售不良債權應注意事項</w:t>
      </w:r>
    </w:p>
    <w:p w:rsidR="00C9720A" w:rsidRDefault="006651D1" w:rsidP="00C9720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信用合作社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票</w:t>
      </w:r>
      <w:proofErr w:type="gramStart"/>
      <w:r>
        <w:rPr>
          <w:rFonts w:eastAsia="微軟正黑體" w:cstheme="minorHAnsi" w:hint="eastAsia"/>
        </w:rPr>
        <w:t>券</w:t>
      </w:r>
      <w:proofErr w:type="gramEnd"/>
      <w:r>
        <w:rPr>
          <w:rFonts w:eastAsia="微軟正黑體" w:cstheme="minorHAnsi" w:hint="eastAsia"/>
        </w:rPr>
        <w:t>金融公司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信用卡業務機關</w:t>
      </w:r>
    </w:p>
    <w:p w:rsidR="006651D1" w:rsidRDefault="006651D1" w:rsidP="006651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不良債券以</w:t>
      </w:r>
      <w:proofErr w:type="gramStart"/>
      <w:r>
        <w:rPr>
          <w:rFonts w:eastAsia="微軟正黑體" w:cstheme="minorHAnsi" w:hint="eastAsia"/>
        </w:rPr>
        <w:t>自行催理為</w:t>
      </w:r>
      <w:proofErr w:type="gramEnd"/>
      <w:r>
        <w:rPr>
          <w:rFonts w:eastAsia="微軟正黑體" w:cstheme="minorHAnsi" w:hint="eastAsia"/>
        </w:rPr>
        <w:t>原則，除下列情況得予出售</w:t>
      </w:r>
    </w:p>
    <w:p w:rsidR="006651D1" w:rsidRP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金融機構最近四季底之平均逾放比率大於</w:t>
      </w:r>
      <w:r w:rsidRPr="006651D1">
        <w:rPr>
          <w:rFonts w:eastAsia="微軟正黑體" w:cstheme="minorHAnsi" w:hint="eastAsia"/>
          <w:shd w:val="clear" w:color="auto" w:fill="FFFF00"/>
        </w:rPr>
        <w:t>3%</w:t>
      </w:r>
      <w:r w:rsidRPr="006651D1">
        <w:rPr>
          <w:rFonts w:eastAsia="微軟正黑體" w:cstheme="minorHAnsi" w:hint="eastAsia"/>
        </w:rPr>
        <w:t>，經</w:t>
      </w:r>
      <w:proofErr w:type="gramStart"/>
      <w:r w:rsidRPr="006651D1">
        <w:rPr>
          <w:rFonts w:eastAsia="微軟正黑體" w:cstheme="minorHAnsi" w:hint="eastAsia"/>
        </w:rPr>
        <w:t>自行催理</w:t>
      </w:r>
      <w:proofErr w:type="gramEnd"/>
      <w:r w:rsidRPr="006651D1">
        <w:rPr>
          <w:rFonts w:eastAsia="微軟正黑體" w:cstheme="minorHAnsi" w:hint="eastAsia"/>
        </w:rPr>
        <w:t>，仍無法改善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經董事會決議通過之案件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聯貸案件</w:t>
      </w:r>
      <w:proofErr w:type="gramStart"/>
      <w:r>
        <w:rPr>
          <w:rFonts w:eastAsia="微軟正黑體" w:cstheme="minorHAnsi" w:hint="eastAsia"/>
        </w:rPr>
        <w:t>併</w:t>
      </w:r>
      <w:proofErr w:type="gramEnd"/>
      <w:r>
        <w:rPr>
          <w:rFonts w:eastAsia="微軟正黑體" w:cstheme="minorHAnsi" w:hint="eastAsia"/>
        </w:rPr>
        <w:t>同處理之案件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境外授</w:t>
      </w:r>
      <w:proofErr w:type="gramEnd"/>
      <w:r>
        <w:rPr>
          <w:rFonts w:eastAsia="微軟正黑體" w:cstheme="minorHAnsi" w:hint="eastAsia"/>
        </w:rPr>
        <w:t>信案件</w:t>
      </w:r>
    </w:p>
    <w:p w:rsidR="006651D1" w:rsidRDefault="006651D1" w:rsidP="006651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出售不良債權之決議，除聯貸案件係由參貸行共同決定外，應依下列規定辦理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出售不良債權前，若擔保品為不動產，應重新衡量擔保品之公允價格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提報董事會決議，應注意利益迴避原則，盡保密義務</w:t>
      </w:r>
    </w:p>
    <w:p w:rsidR="006651D1" w:rsidRDefault="006651D1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擬出售之不良債權標的如銀行法</w:t>
      </w:r>
      <w:r>
        <w:rPr>
          <w:rFonts w:eastAsia="微軟正黑體" w:cstheme="minorHAnsi" w:hint="eastAsia"/>
        </w:rPr>
        <w:t>33</w:t>
      </w:r>
      <w:r>
        <w:rPr>
          <w:rFonts w:eastAsia="微軟正黑體" w:cstheme="minorHAnsi" w:hint="eastAsia"/>
        </w:rPr>
        <w:t>條稱之利害關係人授信案件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需</w:t>
      </w:r>
      <w:r>
        <w:rPr>
          <w:rFonts w:eastAsia="微軟正黑體" w:cstheme="minorHAnsi" w:hint="eastAsia"/>
        </w:rPr>
        <w:t>2/3</w:t>
      </w:r>
      <w:r>
        <w:rPr>
          <w:rFonts w:eastAsia="微軟正黑體" w:cstheme="minorHAnsi" w:hint="eastAsia"/>
        </w:rPr>
        <w:t>董事會出席，</w:t>
      </w:r>
      <w:r>
        <w:rPr>
          <w:rFonts w:eastAsia="微軟正黑體" w:cstheme="minorHAnsi" w:hint="eastAsia"/>
        </w:rPr>
        <w:t>3/4</w:t>
      </w:r>
      <w:r>
        <w:rPr>
          <w:rFonts w:eastAsia="微軟正黑體" w:cstheme="minorHAnsi" w:hint="eastAsia"/>
        </w:rPr>
        <w:t>出席董事同意</w:t>
      </w:r>
    </w:p>
    <w:p w:rsidR="006651D1" w:rsidRDefault="006651D1" w:rsidP="006651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出售不良債權之作業程序</w:t>
      </w:r>
    </w:p>
    <w:p w:rsidR="006651D1" w:rsidRDefault="0022259E" w:rsidP="006651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除下列情況，都應以</w:t>
      </w:r>
      <w:r w:rsidR="006651D1">
        <w:rPr>
          <w:rFonts w:eastAsia="微軟正黑體" w:cstheme="minorHAnsi" w:hint="eastAsia"/>
        </w:rPr>
        <w:t>公開標售</w:t>
      </w:r>
      <w:r>
        <w:rPr>
          <w:rFonts w:eastAsia="微軟正黑體" w:cstheme="minorHAnsi" w:hint="eastAsia"/>
        </w:rPr>
        <w:t>為原則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債權可全數回收或明確市場價格時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個案議價方式出售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但不得有利害關係人非常規交易情事</w:t>
      </w:r>
    </w:p>
    <w:p w:rsidR="006651D1" w:rsidRDefault="006651D1" w:rsidP="006651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公開標售未成交者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以參與競標之最高出價買人議價之</w:t>
      </w:r>
    </w:p>
    <w:p w:rsidR="006651D1" w:rsidRDefault="006651D1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成交價格不得低於該應買人原始出價</w:t>
      </w:r>
    </w:p>
    <w:p w:rsidR="006651D1" w:rsidRDefault="0022259E" w:rsidP="006651D1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境外不良債權，得依當地實務出售</w:t>
      </w:r>
    </w:p>
    <w:p w:rsidR="0022259E" w:rsidRDefault="0022259E" w:rsidP="002225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申報相關資訊</w:t>
      </w:r>
    </w:p>
    <w:p w:rsidR="0022259E" w:rsidRDefault="0022259E" w:rsidP="0022259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公開發行之金融機構</w:t>
      </w:r>
    </w:p>
    <w:p w:rsidR="0022259E" w:rsidRDefault="0022259E" w:rsidP="0022259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應於台灣證券交易所之公開資訊觀測站公告</w:t>
      </w:r>
    </w:p>
    <w:p w:rsidR="0022259E" w:rsidRDefault="0022259E" w:rsidP="0022259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非公開發行之金融機構</w:t>
      </w:r>
    </w:p>
    <w:p w:rsidR="0022259E" w:rsidRDefault="0022259E" w:rsidP="0022259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所屬業別公會網站公告</w:t>
      </w:r>
    </w:p>
    <w:p w:rsidR="0022259E" w:rsidRDefault="0022259E" w:rsidP="0022259E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金融機構之子公司</w:t>
      </w:r>
    </w:p>
    <w:p w:rsidR="0022259E" w:rsidRDefault="0022259E" w:rsidP="0022259E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由母公司公告</w:t>
      </w:r>
    </w:p>
    <w:p w:rsidR="0022259E" w:rsidRDefault="0022259E" w:rsidP="0022259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公告</w:t>
      </w:r>
      <w:proofErr w:type="gramStart"/>
      <w:r>
        <w:rPr>
          <w:rFonts w:eastAsia="微軟正黑體" w:cstheme="minorHAnsi" w:hint="eastAsia"/>
        </w:rPr>
        <w:t>日至決標</w:t>
      </w:r>
      <w:proofErr w:type="gramEnd"/>
      <w:r>
        <w:rPr>
          <w:rFonts w:eastAsia="微軟正黑體" w:cstheme="minorHAnsi" w:hint="eastAsia"/>
        </w:rPr>
        <w:t>日</w:t>
      </w:r>
    </w:p>
    <w:tbl>
      <w:tblPr>
        <w:tblStyle w:val="-4"/>
        <w:tblW w:w="0" w:type="auto"/>
        <w:tblInd w:w="1500" w:type="dxa"/>
        <w:tblLook w:val="04A0" w:firstRow="1" w:lastRow="0" w:firstColumn="1" w:lastColumn="0" w:noHBand="0" w:noVBand="1"/>
      </w:tblPr>
      <w:tblGrid>
        <w:gridCol w:w="3711"/>
        <w:gridCol w:w="1995"/>
        <w:gridCol w:w="1995"/>
      </w:tblGrid>
      <w:tr w:rsidR="0022259E" w:rsidTr="009F7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1995" w:type="dxa"/>
          </w:tcPr>
          <w:p w:rsidR="0022259E" w:rsidRDefault="0022259E" w:rsidP="0022259E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擔保授信</w:t>
            </w:r>
          </w:p>
        </w:tc>
        <w:tc>
          <w:tcPr>
            <w:tcW w:w="1995" w:type="dxa"/>
          </w:tcPr>
          <w:p w:rsidR="0022259E" w:rsidRDefault="0022259E" w:rsidP="0022259E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無擔保授信</w:t>
            </w:r>
          </w:p>
        </w:tc>
      </w:tr>
      <w:tr w:rsidR="0022259E" w:rsidTr="009F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公告日起</w:t>
            </w:r>
          </w:p>
        </w:tc>
        <w:tc>
          <w:tcPr>
            <w:tcW w:w="3990" w:type="dxa"/>
            <w:gridSpan w:val="2"/>
            <w:vMerge w:val="restart"/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7</w:t>
            </w:r>
            <w:r>
              <w:rPr>
                <w:rFonts w:eastAsia="微軟正黑體" w:cstheme="minorHAnsi" w:hint="eastAsia"/>
              </w:rPr>
              <w:t>個工作日以上</w:t>
            </w:r>
          </w:p>
        </w:tc>
      </w:tr>
      <w:tr w:rsidR="0022259E" w:rsidTr="00E36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vMerge w:val="restart"/>
            <w:vAlign w:val="center"/>
          </w:tcPr>
          <w:p w:rsidR="0022259E" w:rsidRDefault="0022259E" w:rsidP="0022259E">
            <w:pPr>
              <w:spacing w:line="440" w:lineRule="exact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領取標售資料截止日</w:t>
            </w:r>
          </w:p>
        </w:tc>
        <w:tc>
          <w:tcPr>
            <w:tcW w:w="399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22259E" w:rsidTr="009F7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vMerge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1995" w:type="dxa"/>
            <w:vMerge w:val="restart"/>
            <w:tcBorders>
              <w:top w:val="single" w:sz="4" w:space="0" w:color="auto"/>
            </w:tcBorders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28</w:t>
            </w:r>
            <w:r>
              <w:rPr>
                <w:rFonts w:eastAsia="微軟正黑體" w:cstheme="minorHAnsi" w:hint="eastAsia"/>
              </w:rPr>
              <w:t>個工作日以上</w:t>
            </w:r>
          </w:p>
        </w:tc>
        <w:tc>
          <w:tcPr>
            <w:tcW w:w="1995" w:type="dxa"/>
            <w:vMerge w:val="restart"/>
            <w:tcBorders>
              <w:top w:val="single" w:sz="4" w:space="0" w:color="auto"/>
            </w:tcBorders>
            <w:vAlign w:val="center"/>
          </w:tcPr>
          <w:p w:rsidR="0022259E" w:rsidRDefault="0022259E" w:rsidP="0022259E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7</w:t>
            </w:r>
            <w:r>
              <w:rPr>
                <w:rFonts w:eastAsia="微軟正黑體" w:cstheme="minorHAnsi" w:hint="eastAsia"/>
              </w:rPr>
              <w:t>個工作日以上</w:t>
            </w:r>
          </w:p>
        </w:tc>
      </w:tr>
      <w:tr w:rsidR="0022259E" w:rsidTr="009F70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2259E" w:rsidRDefault="0022259E" w:rsidP="0022259E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決標日</w:t>
            </w:r>
          </w:p>
        </w:tc>
        <w:tc>
          <w:tcPr>
            <w:tcW w:w="1995" w:type="dxa"/>
            <w:vMerge/>
          </w:tcPr>
          <w:p w:rsidR="0022259E" w:rsidRDefault="0022259E" w:rsidP="0022259E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1995" w:type="dxa"/>
            <w:vMerge/>
          </w:tcPr>
          <w:p w:rsidR="0022259E" w:rsidRDefault="0022259E" w:rsidP="0022259E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</w:tbl>
    <w:p w:rsidR="0022259E" w:rsidRDefault="00E36B83" w:rsidP="000C49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標售案由外部專家估定底價，下列人不得參與議價或投標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借款人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保證人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背書人</w:t>
      </w:r>
    </w:p>
    <w:p w:rsid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擔保物提供人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不得以</w:t>
      </w:r>
      <w:r w:rsidRPr="001D2CC2">
        <w:rPr>
          <w:rFonts w:ascii="微軟正黑體" w:eastAsia="微軟正黑體" w:hAnsi="微軟正黑體" w:cstheme="minorHAnsi" w:hint="eastAsia"/>
        </w:rPr>
        <w:t>「</w:t>
      </w:r>
      <w:r>
        <w:rPr>
          <w:rFonts w:ascii="微軟正黑體" w:eastAsia="微軟正黑體" w:hAnsi="微軟正黑體" w:cstheme="minorHAnsi" w:hint="eastAsia"/>
        </w:rPr>
        <w:t>保留拒絕投標人投標權利</w:t>
      </w:r>
      <w:r w:rsidRPr="001D2CC2">
        <w:rPr>
          <w:rFonts w:ascii="微軟正黑體" w:eastAsia="微軟正黑體" w:hAnsi="微軟正黑體" w:cstheme="minorHAnsi" w:hint="eastAsia"/>
        </w:rPr>
        <w:t>」</w:t>
      </w:r>
      <w:r>
        <w:rPr>
          <w:rFonts w:ascii="微軟正黑體" w:eastAsia="微軟正黑體" w:hAnsi="微軟正黑體" w:cstheme="minorHAnsi" w:hint="eastAsia"/>
        </w:rPr>
        <w:t>之放式拒絕應買人</w:t>
      </w:r>
    </w:p>
    <w:p w:rsidR="00E36B83" w:rsidRPr="00E36B83" w:rsidRDefault="003600AE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金融機關對得標之應買者辦理授信，</w:t>
      </w:r>
      <w:r w:rsidR="00E36B83">
        <w:rPr>
          <w:rFonts w:ascii="微軟正黑體" w:eastAsia="微軟正黑體" w:hAnsi="微軟正黑體" w:cstheme="minorHAnsi" w:hint="eastAsia"/>
        </w:rPr>
        <w:t>擔保授信之擔保品不得包括自身所出售之不良債權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招標過程不得有限制競爭或妨礙公平之情況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金融機構應於買賣合約簽訂後</w:t>
      </w:r>
      <w:r w:rsidRPr="00E36B83">
        <w:rPr>
          <w:rFonts w:ascii="微軟正黑體" w:eastAsia="微軟正黑體" w:hAnsi="微軟正黑體" w:cstheme="minorHAnsi" w:hint="eastAsia"/>
          <w:shd w:val="clear" w:color="auto" w:fill="FFFF00"/>
        </w:rPr>
        <w:t>5日內</w:t>
      </w:r>
    </w:p>
    <w:p w:rsidR="00E36B83" w:rsidRPr="00E36B83" w:rsidRDefault="00E36B83" w:rsidP="00E36B8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於金管會銀行局申報系統申報出售不良債權之資料</w:t>
      </w:r>
    </w:p>
    <w:p w:rsidR="00E36B83" w:rsidRPr="00E36B83" w:rsidRDefault="00E36B83" w:rsidP="00E36B8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不良債權交割完畢後，處理結果提報董事會備查</w:t>
      </w:r>
    </w:p>
    <w:p w:rsidR="00E36B83" w:rsidRPr="00D034E3" w:rsidRDefault="00D034E3" w:rsidP="00E36B83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標售內容或投標須知，揭露下列各項內容</w:t>
      </w:r>
    </w:p>
    <w:p w:rsidR="00D034E3" w:rsidRPr="00D034E3" w:rsidRDefault="00D034E3" w:rsidP="00D034E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得標後付款條件</w:t>
      </w:r>
    </w:p>
    <w:p w:rsidR="00D034E3" w:rsidRPr="00FE0B7B" w:rsidRDefault="00FE0B7B" w:rsidP="00D034E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應公告指定之催收名單以及相關催收之費用</w:t>
      </w:r>
    </w:p>
    <w:p w:rsidR="00FE0B7B" w:rsidRPr="00FE0B7B" w:rsidRDefault="00FE0B7B" w:rsidP="00D034E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如保留不予決標之權利則應敘明不予決標之特定事由</w:t>
      </w:r>
    </w:p>
    <w:p w:rsidR="00FE0B7B" w:rsidRPr="00CE561B" w:rsidRDefault="00CE561B" w:rsidP="00FE0B7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得標人應依下列規定辦理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交易資訊之揭露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受買人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總債權金額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受買價格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交易之事後管理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受買者</w:t>
      </w:r>
      <w:r w:rsidRPr="00650E19">
        <w:rPr>
          <w:rFonts w:ascii="微軟正黑體" w:eastAsia="微軟正黑體" w:hAnsi="微軟正黑體" w:cstheme="minorHAnsi" w:hint="eastAsia"/>
          <w:shd w:val="clear" w:color="auto" w:fill="FFFF00"/>
        </w:rPr>
        <w:t>每半年</w:t>
      </w:r>
      <w:r>
        <w:rPr>
          <w:rFonts w:ascii="微軟正黑體" w:eastAsia="微軟正黑體" w:hAnsi="微軟正黑體" w:cstheme="minorHAnsi" w:hint="eastAsia"/>
        </w:rPr>
        <w:t>回報各戶債權回收金額及各類債權回收金額</w:t>
      </w:r>
    </w:p>
    <w:p w:rsidR="00CE561B" w:rsidRPr="00CE561B" w:rsidRDefault="00CE561B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售後之稽核</w:t>
      </w:r>
    </w:p>
    <w:p w:rsidR="00CE561B" w:rsidRPr="00CE561B" w:rsidRDefault="00CE561B" w:rsidP="00CE561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售後管理</w:t>
      </w:r>
    </w:p>
    <w:p w:rsidR="00CE561B" w:rsidRPr="00CE561B" w:rsidRDefault="00B0383E" w:rsidP="00CE561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如受買人未依契約</w:t>
      </w:r>
      <w:r w:rsidR="00CE561B">
        <w:rPr>
          <w:rFonts w:ascii="微軟正黑體" w:eastAsia="微軟正黑體" w:hAnsi="微軟正黑體" w:cstheme="minorHAnsi" w:hint="eastAsia"/>
        </w:rPr>
        <w:t>完成付款</w:t>
      </w:r>
    </w:p>
    <w:p w:rsidR="00CE561B" w:rsidRP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提足損失準備</w:t>
      </w:r>
    </w:p>
    <w:p w:rsid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明定利潤分享之具體內容，後續進行稽核之方式</w:t>
      </w:r>
    </w:p>
    <w:p w:rsidR="00CE561B" w:rsidRDefault="00CE561B" w:rsidP="00CE561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契約簽訂之付款條件應予公告之付款條件相同</w:t>
      </w:r>
    </w:p>
    <w:p w:rsidR="00CE561B" w:rsidRDefault="00CE561B" w:rsidP="00CE561B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一旦簽訂不可更便</w:t>
      </w:r>
    </w:p>
    <w:p w:rsidR="009F700B" w:rsidRDefault="00CE561B" w:rsidP="009F700B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F700B">
        <w:rPr>
          <w:rFonts w:eastAsia="微軟正黑體" w:cstheme="minorHAnsi" w:hint="eastAsia"/>
        </w:rPr>
        <w:t>出售不良債權予資產管理公司</w:t>
      </w:r>
    </w:p>
    <w:p w:rsidR="009F700B" w:rsidRDefault="00CE561B" w:rsidP="009F700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F700B">
        <w:rPr>
          <w:rFonts w:eastAsia="微軟正黑體" w:cstheme="minorHAnsi" w:hint="eastAsia"/>
        </w:rPr>
        <w:t>資產管理公司</w:t>
      </w:r>
    </w:p>
    <w:p w:rsidR="009F700B" w:rsidRDefault="00CE561B" w:rsidP="009F700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F700B">
        <w:rPr>
          <w:rFonts w:eastAsia="微軟正黑體" w:cstheme="minorHAnsi" w:hint="eastAsia"/>
        </w:rPr>
        <w:t>應確保</w:t>
      </w:r>
      <w:r w:rsidR="009F700B" w:rsidRPr="009F700B">
        <w:rPr>
          <w:rFonts w:eastAsia="微軟正黑體" w:cstheme="minorHAnsi" w:hint="eastAsia"/>
        </w:rPr>
        <w:t>接觸資料者</w:t>
      </w:r>
      <w:r w:rsidR="00B0383E">
        <w:rPr>
          <w:rFonts w:eastAsia="微軟正黑體" w:cstheme="minorHAnsi" w:hint="eastAsia"/>
        </w:rPr>
        <w:t>不會</w:t>
      </w:r>
      <w:bookmarkStart w:id="0" w:name="_GoBack"/>
      <w:bookmarkEnd w:id="0"/>
      <w:r w:rsidR="009F700B" w:rsidRPr="009F700B">
        <w:rPr>
          <w:rFonts w:eastAsia="微軟正黑體" w:cstheme="minorHAnsi" w:hint="eastAsia"/>
        </w:rPr>
        <w:t>外洩債權資料</w:t>
      </w:r>
    </w:p>
    <w:p w:rsidR="009F700B" w:rsidRDefault="009F700B" w:rsidP="009F700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F700B">
        <w:rPr>
          <w:rFonts w:eastAsia="微軟正黑體" w:cstheme="minorHAnsi" w:hint="eastAsia"/>
        </w:rPr>
        <w:t>內部應建立內部控制機制，定期與不定期之考核</w:t>
      </w:r>
    </w:p>
    <w:p w:rsidR="009F700B" w:rsidRDefault="009F700B" w:rsidP="009F700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F700B">
        <w:rPr>
          <w:rFonts w:eastAsia="微軟正黑體" w:cstheme="minorHAnsi" w:hint="eastAsia"/>
        </w:rPr>
        <w:t>不</w:t>
      </w:r>
      <w:r w:rsidR="00410898">
        <w:rPr>
          <w:rFonts w:eastAsia="微軟正黑體" w:cstheme="minorHAnsi" w:hint="eastAsia"/>
        </w:rPr>
        <w:t>良債權資料之轉移，應不包</w:t>
      </w:r>
      <w:r w:rsidR="00585A29">
        <w:rPr>
          <w:rFonts w:eastAsia="微軟正黑體" w:cstheme="minorHAnsi" w:hint="eastAsia"/>
        </w:rPr>
        <w:t>括</w:t>
      </w:r>
      <w:r w:rsidRPr="009F700B">
        <w:rPr>
          <w:rFonts w:eastAsia="微軟正黑體" w:cstheme="minorHAnsi" w:hint="eastAsia"/>
        </w:rPr>
        <w:t>對銀行債務之履行無法律上義務者</w:t>
      </w:r>
    </w:p>
    <w:p w:rsid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9F700B">
        <w:rPr>
          <w:rFonts w:eastAsia="微軟正黑體" w:cstheme="minorHAnsi" w:hint="eastAsia"/>
        </w:rPr>
        <w:t>資料型態包含書面及電子檔案</w:t>
      </w:r>
    </w:p>
    <w:p w:rsidR="009F700B" w:rsidRPr="003600AE" w:rsidRDefault="009F700B" w:rsidP="003600A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符合下列條件，得將信用卡、現金卡、消費性貸款及擔保貸款執行擔保物權仍不除清償之不良債權，出售予資產管理公司</w:t>
      </w:r>
    </w:p>
    <w:p w:rsidR="003600AE" w:rsidRP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債務人依</w:t>
      </w:r>
      <w:r w:rsidRPr="001D2CC2">
        <w:rPr>
          <w:rFonts w:ascii="微軟正黑體" w:eastAsia="微軟正黑體" w:hAnsi="微軟正黑體" w:cstheme="minorHAnsi" w:hint="eastAsia"/>
        </w:rPr>
        <w:t>「</w:t>
      </w:r>
      <w:r>
        <w:rPr>
          <w:rFonts w:ascii="微軟正黑體" w:eastAsia="微軟正黑體" w:hAnsi="微軟正黑體" w:cstheme="minorHAnsi" w:hint="eastAsia"/>
        </w:rPr>
        <w:t>消費者債務清理條例</w:t>
      </w:r>
      <w:r w:rsidRPr="001D2CC2">
        <w:rPr>
          <w:rFonts w:ascii="微軟正黑體" w:eastAsia="微軟正黑體" w:hAnsi="微軟正黑體" w:cstheme="minorHAnsi" w:hint="eastAsia"/>
        </w:rPr>
        <w:t>」</w:t>
      </w:r>
      <w:r>
        <w:rPr>
          <w:rFonts w:ascii="微軟正黑體" w:eastAsia="微軟正黑體" w:hAnsi="微軟正黑體" w:cstheme="minorHAnsi" w:hint="eastAsia"/>
        </w:rPr>
        <w:t>申請協商期間</w:t>
      </w:r>
    </w:p>
    <w:p w:rsidR="003600AE" w:rsidRPr="003600AE" w:rsidRDefault="009F700B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ascii="微軟正黑體" w:eastAsia="微軟正黑體" w:hAnsi="微軟正黑體" w:cstheme="minorHAnsi" w:hint="eastAsia"/>
        </w:rPr>
        <w:t>金融機構不得將該不良債權轉售予資產管理公司</w:t>
      </w:r>
    </w:p>
    <w:p w:rsid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應約定得標之資產管理公司不得將不良債權再轉售予第三人</w:t>
      </w:r>
    </w:p>
    <w:p w:rsidR="003600AE" w:rsidRPr="003600AE" w:rsidRDefault="009F700B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以出售之不良債權，債務人依</w:t>
      </w:r>
      <w:r w:rsidRPr="003600AE">
        <w:rPr>
          <w:rFonts w:ascii="微軟正黑體" w:eastAsia="微軟正黑體" w:hAnsi="微軟正黑體" w:cstheme="minorHAnsi" w:hint="eastAsia"/>
        </w:rPr>
        <w:t>「消費者債務清理條例」提出協商並成立者</w:t>
      </w:r>
    </w:p>
    <w:p w:rsidR="003600AE" w:rsidRPr="003600AE" w:rsidRDefault="009F700B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ascii="微軟正黑體" w:eastAsia="微軟正黑體" w:hAnsi="微軟正黑體" w:cstheme="minorHAnsi" w:hint="eastAsia"/>
        </w:rPr>
        <w:t>資產管理公司比照協商條件逕自向債務人協商</w:t>
      </w:r>
    </w:p>
    <w:p w:rsidR="003600AE" w:rsidRDefault="00410898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得標之資產管理公司如違反相關約定者</w:t>
      </w:r>
    </w:p>
    <w:p w:rsidR="003600AE" w:rsidRDefault="00410898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金融機構就以違約範圍解約並債權買回，同時請求違約金</w:t>
      </w:r>
    </w:p>
    <w:p w:rsidR="003600AE" w:rsidRDefault="00410898" w:rsidP="003600A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將資產管理公司名單登錄於金融聯合徵信公司</w:t>
      </w:r>
    </w:p>
    <w:p w:rsidR="00410898" w:rsidRPr="003600AE" w:rsidRDefault="00410898" w:rsidP="003600A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3600AE">
        <w:rPr>
          <w:rFonts w:eastAsia="微軟正黑體" w:cstheme="minorHAnsi" w:hint="eastAsia"/>
        </w:rPr>
        <w:t>以書面告知債務人</w:t>
      </w:r>
    </w:p>
    <w:sectPr w:rsidR="00410898" w:rsidRPr="003600AE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E87" w:rsidRDefault="00874E87" w:rsidP="00650E19">
      <w:r>
        <w:separator/>
      </w:r>
    </w:p>
  </w:endnote>
  <w:endnote w:type="continuationSeparator" w:id="0">
    <w:p w:rsidR="00874E87" w:rsidRDefault="00874E87" w:rsidP="0065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E87" w:rsidRDefault="00874E87" w:rsidP="00650E19">
      <w:r>
        <w:separator/>
      </w:r>
    </w:p>
  </w:footnote>
  <w:footnote w:type="continuationSeparator" w:id="0">
    <w:p w:rsidR="00874E87" w:rsidRDefault="00874E87" w:rsidP="00650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C49D7"/>
    <w:rsid w:val="000E22A4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4BEC"/>
    <w:rsid w:val="001B68CC"/>
    <w:rsid w:val="001D2CC2"/>
    <w:rsid w:val="001D3D07"/>
    <w:rsid w:val="0022259E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279F1"/>
    <w:rsid w:val="00344A99"/>
    <w:rsid w:val="00351A0E"/>
    <w:rsid w:val="003565F6"/>
    <w:rsid w:val="003600AE"/>
    <w:rsid w:val="00361F5D"/>
    <w:rsid w:val="00393D27"/>
    <w:rsid w:val="00396E8C"/>
    <w:rsid w:val="003A06C0"/>
    <w:rsid w:val="003B43C3"/>
    <w:rsid w:val="003C48DE"/>
    <w:rsid w:val="003C5326"/>
    <w:rsid w:val="003D4ACF"/>
    <w:rsid w:val="003F31A0"/>
    <w:rsid w:val="003F5965"/>
    <w:rsid w:val="00401C82"/>
    <w:rsid w:val="0040578F"/>
    <w:rsid w:val="00410898"/>
    <w:rsid w:val="00422767"/>
    <w:rsid w:val="00431686"/>
    <w:rsid w:val="0044153E"/>
    <w:rsid w:val="00472DAF"/>
    <w:rsid w:val="0047590A"/>
    <w:rsid w:val="004812B9"/>
    <w:rsid w:val="0048546B"/>
    <w:rsid w:val="00491F83"/>
    <w:rsid w:val="004A78DB"/>
    <w:rsid w:val="004B6A4F"/>
    <w:rsid w:val="004C7B2D"/>
    <w:rsid w:val="004D0B46"/>
    <w:rsid w:val="004E47EE"/>
    <w:rsid w:val="004F6A9B"/>
    <w:rsid w:val="00557B2C"/>
    <w:rsid w:val="00560C5C"/>
    <w:rsid w:val="00585A29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0E19"/>
    <w:rsid w:val="00652286"/>
    <w:rsid w:val="006550DD"/>
    <w:rsid w:val="00661D9B"/>
    <w:rsid w:val="006651D1"/>
    <w:rsid w:val="00673368"/>
    <w:rsid w:val="006A68DC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0392D"/>
    <w:rsid w:val="0085002D"/>
    <w:rsid w:val="00874604"/>
    <w:rsid w:val="00874E87"/>
    <w:rsid w:val="00880B56"/>
    <w:rsid w:val="0088409B"/>
    <w:rsid w:val="008A144E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37EA8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9F700B"/>
    <w:rsid w:val="00A062F9"/>
    <w:rsid w:val="00A51626"/>
    <w:rsid w:val="00A704C4"/>
    <w:rsid w:val="00A8286E"/>
    <w:rsid w:val="00A84650"/>
    <w:rsid w:val="00A90EA9"/>
    <w:rsid w:val="00A97565"/>
    <w:rsid w:val="00AC1049"/>
    <w:rsid w:val="00AC7A68"/>
    <w:rsid w:val="00AD09D1"/>
    <w:rsid w:val="00AE7E02"/>
    <w:rsid w:val="00AF1E5D"/>
    <w:rsid w:val="00B0383E"/>
    <w:rsid w:val="00B0680B"/>
    <w:rsid w:val="00B24BC9"/>
    <w:rsid w:val="00B2778C"/>
    <w:rsid w:val="00B56A6A"/>
    <w:rsid w:val="00B6078B"/>
    <w:rsid w:val="00B642AE"/>
    <w:rsid w:val="00B66E63"/>
    <w:rsid w:val="00B75B05"/>
    <w:rsid w:val="00B875DF"/>
    <w:rsid w:val="00B92B29"/>
    <w:rsid w:val="00BA6AF6"/>
    <w:rsid w:val="00BC2568"/>
    <w:rsid w:val="00BC274C"/>
    <w:rsid w:val="00BC408E"/>
    <w:rsid w:val="00BD3C35"/>
    <w:rsid w:val="00BD5F3C"/>
    <w:rsid w:val="00BF0D6F"/>
    <w:rsid w:val="00BF6E2A"/>
    <w:rsid w:val="00C30AEC"/>
    <w:rsid w:val="00C33C03"/>
    <w:rsid w:val="00C35AE9"/>
    <w:rsid w:val="00C35DAE"/>
    <w:rsid w:val="00C53931"/>
    <w:rsid w:val="00C54CD4"/>
    <w:rsid w:val="00C70A9E"/>
    <w:rsid w:val="00C76E34"/>
    <w:rsid w:val="00C9406F"/>
    <w:rsid w:val="00C9720A"/>
    <w:rsid w:val="00CC37BA"/>
    <w:rsid w:val="00CE561B"/>
    <w:rsid w:val="00CE6927"/>
    <w:rsid w:val="00D034E3"/>
    <w:rsid w:val="00D05CC2"/>
    <w:rsid w:val="00D1709A"/>
    <w:rsid w:val="00D81538"/>
    <w:rsid w:val="00D95A9E"/>
    <w:rsid w:val="00DB40F1"/>
    <w:rsid w:val="00DC1241"/>
    <w:rsid w:val="00DC7AD8"/>
    <w:rsid w:val="00DD5AE7"/>
    <w:rsid w:val="00DE389D"/>
    <w:rsid w:val="00E06AE0"/>
    <w:rsid w:val="00E269E8"/>
    <w:rsid w:val="00E30C65"/>
    <w:rsid w:val="00E36B83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C2AB5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3E5"/>
    <w:rsid w:val="00FA5FA0"/>
    <w:rsid w:val="00FB7096"/>
    <w:rsid w:val="00FD432F"/>
    <w:rsid w:val="00FD6E2A"/>
    <w:rsid w:val="00FE0B7B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5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0E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0E1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5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0E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0E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809E7-6DA2-4A23-A21F-7E9B7AC7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數位資訊部  企金平台系統科 宋念遠</dc:creator>
  <cp:lastModifiedBy>Andy</cp:lastModifiedBy>
  <cp:revision>13</cp:revision>
  <dcterms:created xsi:type="dcterms:W3CDTF">2016-07-06T05:59:00Z</dcterms:created>
  <dcterms:modified xsi:type="dcterms:W3CDTF">2016-07-09T14:24:00Z</dcterms:modified>
</cp:coreProperties>
</file>