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57149B" w:rsidRDefault="0057149B" w:rsidP="00C00D28">
      <w:pPr>
        <w:jc w:val="both"/>
        <w:rPr>
          <w:rFonts w:ascii="微軟正黑體" w:eastAsia="微軟正黑體" w:hAnsi="微軟正黑體"/>
          <w:sz w:val="40"/>
          <w:szCs w:val="40"/>
        </w:rPr>
      </w:pPr>
      <w:r w:rsidRPr="0057149B">
        <w:rPr>
          <w:rFonts w:ascii="微軟正黑體" w:eastAsia="微軟正黑體" w:hAnsi="微軟正黑體" w:hint="eastAsia"/>
          <w:sz w:val="40"/>
          <w:szCs w:val="40"/>
        </w:rPr>
        <w:t>第一章 授信、徵信</w:t>
      </w:r>
    </w:p>
    <w:p w:rsidR="0057149B" w:rsidRPr="0057149B"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57149B">
        <w:rPr>
          <w:rFonts w:ascii="微軟正黑體" w:eastAsia="微軟正黑體" w:hAnsi="微軟正黑體" w:hint="eastAsia"/>
          <w:sz w:val="28"/>
          <w:szCs w:val="28"/>
        </w:rPr>
        <w:t>銀行與授信</w:t>
      </w:r>
    </w:p>
    <w:p w:rsidR="0057149B" w:rsidRPr="0057149B" w:rsidRDefault="0057149B" w:rsidP="009115E3">
      <w:pPr>
        <w:pStyle w:val="a3"/>
        <w:numPr>
          <w:ilvl w:val="0"/>
          <w:numId w:val="2"/>
        </w:numPr>
        <w:spacing w:line="400" w:lineRule="exact"/>
        <w:ind w:leftChars="0" w:left="482" w:hangingChars="201" w:hanging="482"/>
        <w:jc w:val="both"/>
        <w:rPr>
          <w:rFonts w:ascii="微軟正黑體" w:eastAsia="微軟正黑體" w:hAnsi="微軟正黑體"/>
          <w:szCs w:val="24"/>
        </w:rPr>
      </w:pPr>
      <w:r w:rsidRPr="0057149B">
        <w:rPr>
          <w:rFonts w:ascii="微軟正黑體" w:eastAsia="微軟正黑體" w:hAnsi="微軟正黑體" w:hint="eastAsia"/>
          <w:szCs w:val="24"/>
        </w:rPr>
        <w:t>銀行可分為</w:t>
      </w:r>
      <w:r>
        <w:rPr>
          <w:rFonts w:ascii="微軟正黑體" w:eastAsia="微軟正黑體" w:hAnsi="微軟正黑體" w:hint="eastAsia"/>
          <w:szCs w:val="24"/>
        </w:rPr>
        <w:t>：</w:t>
      </w:r>
    </w:p>
    <w:p w:rsidR="0057149B" w:rsidRPr="0057149B" w:rsidRDefault="0057149B" w:rsidP="009115E3">
      <w:pPr>
        <w:pStyle w:val="a3"/>
        <w:numPr>
          <w:ilvl w:val="0"/>
          <w:numId w:val="4"/>
        </w:numPr>
        <w:spacing w:line="400" w:lineRule="exact"/>
        <w:ind w:leftChars="0"/>
        <w:jc w:val="both"/>
        <w:rPr>
          <w:rFonts w:ascii="微軟正黑體" w:eastAsia="微軟正黑體" w:hAnsi="微軟正黑體"/>
        </w:rPr>
      </w:pPr>
      <w:r w:rsidRPr="0057149B">
        <w:rPr>
          <w:rFonts w:ascii="微軟正黑體" w:eastAsia="微軟正黑體" w:hAnsi="微軟正黑體" w:hint="eastAsia"/>
        </w:rPr>
        <w:t>商業銀行</w:t>
      </w:r>
    </w:p>
    <w:p w:rsidR="0057149B" w:rsidRPr="0057149B" w:rsidRDefault="0057149B" w:rsidP="009115E3">
      <w:pPr>
        <w:pStyle w:val="a3"/>
        <w:numPr>
          <w:ilvl w:val="0"/>
          <w:numId w:val="4"/>
        </w:numPr>
        <w:spacing w:line="400" w:lineRule="exact"/>
        <w:ind w:leftChars="0"/>
        <w:jc w:val="both"/>
        <w:rPr>
          <w:rFonts w:ascii="微軟正黑體" w:eastAsia="微軟正黑體" w:hAnsi="微軟正黑體"/>
        </w:rPr>
      </w:pPr>
      <w:r w:rsidRPr="0057149B">
        <w:rPr>
          <w:rFonts w:ascii="微軟正黑體" w:eastAsia="微軟正黑體" w:hAnsi="微軟正黑體" w:hint="eastAsia"/>
        </w:rPr>
        <w:t>專業銀行</w:t>
      </w:r>
    </w:p>
    <w:p w:rsidR="0057149B" w:rsidRPr="0057149B" w:rsidRDefault="0057149B" w:rsidP="009115E3">
      <w:pPr>
        <w:pStyle w:val="a3"/>
        <w:numPr>
          <w:ilvl w:val="0"/>
          <w:numId w:val="4"/>
        </w:numPr>
        <w:spacing w:line="400" w:lineRule="exact"/>
        <w:ind w:leftChars="0"/>
        <w:jc w:val="both"/>
        <w:rPr>
          <w:rFonts w:ascii="微軟正黑體" w:eastAsia="微軟正黑體" w:hAnsi="微軟正黑體"/>
        </w:rPr>
      </w:pPr>
      <w:r w:rsidRPr="0057149B">
        <w:rPr>
          <w:rFonts w:ascii="微軟正黑體" w:eastAsia="微軟正黑體" w:hAnsi="微軟正黑體" w:hint="eastAsia"/>
        </w:rPr>
        <w:t>信託投資公司</w:t>
      </w:r>
    </w:p>
    <w:p w:rsidR="0057149B" w:rsidRPr="0057149B" w:rsidRDefault="0057149B" w:rsidP="00C00D28">
      <w:pPr>
        <w:spacing w:line="440" w:lineRule="exact"/>
        <w:jc w:val="both"/>
        <w:rPr>
          <w:rFonts w:ascii="微軟正黑體" w:eastAsia="微軟正黑體" w:hAnsi="微軟正黑體"/>
        </w:rPr>
      </w:pPr>
    </w:p>
    <w:p w:rsidR="0057149B" w:rsidRPr="0057149B"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57149B">
        <w:rPr>
          <w:rFonts w:ascii="微軟正黑體" w:eastAsia="微軟正黑體" w:hAnsi="微軟正黑體" w:hint="eastAsia"/>
          <w:sz w:val="28"/>
          <w:szCs w:val="28"/>
        </w:rPr>
        <w:t>授信</w:t>
      </w:r>
    </w:p>
    <w:p w:rsidR="0057149B" w:rsidRPr="0057149B" w:rsidRDefault="0057149B" w:rsidP="009115E3">
      <w:pPr>
        <w:pStyle w:val="a3"/>
        <w:numPr>
          <w:ilvl w:val="0"/>
          <w:numId w:val="3"/>
        </w:numPr>
        <w:spacing w:line="400" w:lineRule="exact"/>
        <w:ind w:leftChars="0" w:left="482" w:hangingChars="201" w:hanging="482"/>
        <w:jc w:val="both"/>
        <w:rPr>
          <w:rFonts w:ascii="微軟正黑體" w:eastAsia="微軟正黑體" w:hAnsi="微軟正黑體"/>
        </w:rPr>
      </w:pPr>
      <w:r>
        <w:rPr>
          <w:rFonts w:ascii="微軟正黑體" w:eastAsia="微軟正黑體" w:hAnsi="微軟正黑體" w:hint="eastAsia"/>
        </w:rPr>
        <w:t>授信的意義</w:t>
      </w:r>
      <w:r>
        <w:rPr>
          <w:rFonts w:ascii="微軟正黑體" w:eastAsia="微軟正黑體" w:hAnsi="微軟正黑體" w:hint="eastAsia"/>
          <w:szCs w:val="24"/>
        </w:rPr>
        <w:t>：對於客戶授予信用，並承擔風險之業務，依據銀行法規定包含了「放款、透支、貼現、保證、承兌、其他</w:t>
      </w:r>
      <w:proofErr w:type="gramStart"/>
      <w:r>
        <w:rPr>
          <w:rFonts w:ascii="微軟正黑體" w:eastAsia="微軟正黑體" w:hAnsi="微軟正黑體" w:hint="eastAsia"/>
          <w:szCs w:val="24"/>
        </w:rPr>
        <w:t>主管機管指定</w:t>
      </w:r>
      <w:proofErr w:type="gramEnd"/>
      <w:r>
        <w:rPr>
          <w:rFonts w:ascii="微軟正黑體" w:eastAsia="微軟正黑體" w:hAnsi="微軟正黑體" w:hint="eastAsia"/>
          <w:szCs w:val="24"/>
        </w:rPr>
        <w:t>業務」</w:t>
      </w:r>
    </w:p>
    <w:p w:rsidR="0057149B" w:rsidRPr="00684975" w:rsidRDefault="0057149B" w:rsidP="009115E3">
      <w:pPr>
        <w:pStyle w:val="a3"/>
        <w:numPr>
          <w:ilvl w:val="0"/>
          <w:numId w:val="3"/>
        </w:numPr>
        <w:spacing w:line="400" w:lineRule="exact"/>
        <w:ind w:leftChars="0" w:left="482" w:hangingChars="201" w:hanging="482"/>
        <w:jc w:val="both"/>
        <w:rPr>
          <w:rFonts w:ascii="微軟正黑體" w:eastAsia="微軟正黑體" w:hAnsi="微軟正黑體"/>
        </w:rPr>
      </w:pPr>
      <w:r>
        <w:rPr>
          <w:rFonts w:ascii="微軟正黑體" w:eastAsia="微軟正黑體" w:hAnsi="微軟正黑體" w:hint="eastAsia"/>
        </w:rPr>
        <w:t>授信的種類</w:t>
      </w:r>
      <w:r>
        <w:rPr>
          <w:rFonts w:ascii="微軟正黑體" w:eastAsia="微軟正黑體" w:hAnsi="微軟正黑體" w:hint="eastAsia"/>
          <w:szCs w:val="24"/>
        </w:rPr>
        <w:t>：</w:t>
      </w:r>
      <w:bookmarkStart w:id="0" w:name="_GoBack"/>
      <w:bookmarkEnd w:id="0"/>
    </w:p>
    <w:p w:rsidR="00684975" w:rsidRPr="00684975" w:rsidRDefault="00684975" w:rsidP="009115E3">
      <w:pPr>
        <w:pStyle w:val="a3"/>
        <w:numPr>
          <w:ilvl w:val="1"/>
          <w:numId w:val="5"/>
        </w:numPr>
        <w:spacing w:line="400" w:lineRule="exact"/>
        <w:ind w:leftChars="0"/>
        <w:jc w:val="both"/>
        <w:rPr>
          <w:rFonts w:ascii="微軟正黑體" w:eastAsia="微軟正黑體" w:hAnsi="微軟正黑體"/>
        </w:rPr>
      </w:pPr>
      <w:r w:rsidRPr="00684975">
        <w:rPr>
          <w:rFonts w:ascii="微軟正黑體" w:eastAsia="微軟正黑體" w:hAnsi="微軟正黑體" w:hint="eastAsia"/>
        </w:rPr>
        <w:t>時間區分</w:t>
      </w:r>
    </w:p>
    <w:tbl>
      <w:tblPr>
        <w:tblStyle w:val="-31"/>
        <w:tblW w:w="0" w:type="auto"/>
        <w:tblInd w:w="810" w:type="dxa"/>
        <w:tblLook w:val="04A0" w:firstRow="1" w:lastRow="0" w:firstColumn="1" w:lastColumn="0" w:noHBand="0" w:noVBand="1"/>
      </w:tblPr>
      <w:tblGrid>
        <w:gridCol w:w="1549"/>
        <w:gridCol w:w="1549"/>
        <w:gridCol w:w="1549"/>
      </w:tblGrid>
      <w:tr w:rsidR="00684975" w:rsidTr="0068497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49" w:type="dxa"/>
          </w:tcPr>
          <w:p w:rsidR="00684975" w:rsidRPr="00684975" w:rsidRDefault="00684975" w:rsidP="00C00D28">
            <w:pPr>
              <w:jc w:val="both"/>
              <w:rPr>
                <w:rFonts w:ascii="微軟正黑體" w:eastAsia="微軟正黑體" w:hAnsi="微軟正黑體"/>
              </w:rPr>
            </w:pPr>
            <w:r w:rsidRPr="00684975">
              <w:rPr>
                <w:rFonts w:ascii="微軟正黑體" w:eastAsia="微軟正黑體" w:hAnsi="微軟正黑體" w:hint="eastAsia"/>
              </w:rPr>
              <w:t>短期信用</w:t>
            </w:r>
          </w:p>
        </w:tc>
        <w:tc>
          <w:tcPr>
            <w:tcW w:w="1549" w:type="dxa"/>
          </w:tcPr>
          <w:p w:rsidR="00684975" w:rsidRPr="00684975"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sidRPr="00684975">
              <w:rPr>
                <w:rFonts w:ascii="微軟正黑體" w:eastAsia="微軟正黑體" w:hAnsi="微軟正黑體" w:hint="eastAsia"/>
              </w:rPr>
              <w:t>中期信用</w:t>
            </w:r>
          </w:p>
        </w:tc>
        <w:tc>
          <w:tcPr>
            <w:tcW w:w="1549" w:type="dxa"/>
          </w:tcPr>
          <w:p w:rsidR="00684975" w:rsidRPr="00684975"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sidRPr="00684975">
              <w:rPr>
                <w:rFonts w:ascii="微軟正黑體" w:eastAsia="微軟正黑體" w:hAnsi="微軟正黑體" w:hint="eastAsia"/>
              </w:rPr>
              <w:t>長期信用</w:t>
            </w:r>
          </w:p>
        </w:tc>
      </w:tr>
      <w:tr w:rsidR="00684975" w:rsidTr="00684975">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549" w:type="dxa"/>
          </w:tcPr>
          <w:p w:rsidR="00684975" w:rsidRPr="00684975" w:rsidRDefault="00684975" w:rsidP="00C00D28">
            <w:pPr>
              <w:jc w:val="both"/>
              <w:rPr>
                <w:rFonts w:ascii="微軟正黑體" w:eastAsia="微軟正黑體" w:hAnsi="微軟正黑體"/>
                <w:b w:val="0"/>
              </w:rPr>
            </w:pPr>
            <w:proofErr w:type="gramStart"/>
            <w:r w:rsidRPr="00684975">
              <w:rPr>
                <w:rFonts w:ascii="微軟正黑體" w:eastAsia="微軟正黑體" w:hAnsi="微軟正黑體" w:hint="eastAsia"/>
                <w:b w:val="0"/>
              </w:rPr>
              <w:t>一</w:t>
            </w:r>
            <w:proofErr w:type="gramEnd"/>
            <w:r w:rsidRPr="00684975">
              <w:rPr>
                <w:rFonts w:ascii="微軟正黑體" w:eastAsia="微軟正黑體" w:hAnsi="微軟正黑體" w:hint="eastAsia"/>
                <w:b w:val="0"/>
              </w:rPr>
              <w:t>年內</w:t>
            </w:r>
          </w:p>
        </w:tc>
        <w:tc>
          <w:tcPr>
            <w:tcW w:w="1549" w:type="dxa"/>
          </w:tcPr>
          <w:p w:rsidR="00684975" w:rsidRPr="00684975" w:rsidRDefault="00684975"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sidRPr="00684975">
              <w:rPr>
                <w:rFonts w:ascii="微軟正黑體" w:eastAsia="微軟正黑體" w:hAnsi="微軟正黑體" w:hint="eastAsia"/>
              </w:rPr>
              <w:t>一年~七年</w:t>
            </w:r>
          </w:p>
        </w:tc>
        <w:tc>
          <w:tcPr>
            <w:tcW w:w="1549" w:type="dxa"/>
          </w:tcPr>
          <w:p w:rsidR="00684975" w:rsidRPr="00684975" w:rsidRDefault="00684975"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sidRPr="00684975">
              <w:rPr>
                <w:rFonts w:ascii="微軟正黑體" w:eastAsia="微軟正黑體" w:hAnsi="微軟正黑體" w:hint="eastAsia"/>
              </w:rPr>
              <w:t>七年以上</w:t>
            </w:r>
          </w:p>
        </w:tc>
      </w:tr>
    </w:tbl>
    <w:p w:rsidR="00684975" w:rsidRDefault="00684975" w:rsidP="009115E3">
      <w:pPr>
        <w:pStyle w:val="a3"/>
        <w:numPr>
          <w:ilvl w:val="1"/>
          <w:numId w:val="5"/>
        </w:numPr>
        <w:spacing w:line="400" w:lineRule="exact"/>
        <w:ind w:leftChars="0"/>
        <w:jc w:val="both"/>
        <w:rPr>
          <w:rFonts w:ascii="微軟正黑體" w:eastAsia="微軟正黑體" w:hAnsi="微軟正黑體"/>
        </w:rPr>
      </w:pPr>
      <w:r w:rsidRPr="00684975">
        <w:rPr>
          <w:rFonts w:ascii="微軟正黑體" w:eastAsia="微軟正黑體" w:hAnsi="微軟正黑體" w:hint="eastAsia"/>
        </w:rPr>
        <w:t>有無擔保區分</w:t>
      </w:r>
    </w:p>
    <w:p w:rsidR="00684975" w:rsidRDefault="00684975" w:rsidP="009115E3">
      <w:pPr>
        <w:pStyle w:val="a3"/>
        <w:numPr>
          <w:ilvl w:val="0"/>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擔保授信</w:t>
      </w:r>
    </w:p>
    <w:p w:rsidR="00684975" w:rsidRDefault="00684975" w:rsidP="009115E3">
      <w:pPr>
        <w:pStyle w:val="a3"/>
        <w:numPr>
          <w:ilvl w:val="1"/>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不動產、動產抵押權</w:t>
      </w:r>
    </w:p>
    <w:p w:rsidR="00684975" w:rsidRDefault="00684975" w:rsidP="009115E3">
      <w:pPr>
        <w:pStyle w:val="a3"/>
        <w:numPr>
          <w:ilvl w:val="1"/>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動產、權利質權</w:t>
      </w:r>
    </w:p>
    <w:p w:rsidR="00684975" w:rsidRDefault="00684975" w:rsidP="009115E3">
      <w:pPr>
        <w:pStyle w:val="a3"/>
        <w:numPr>
          <w:ilvl w:val="1"/>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借款人營業交易所發生之應收票據</w:t>
      </w:r>
    </w:p>
    <w:p w:rsidR="00684975" w:rsidRDefault="00684975" w:rsidP="009115E3">
      <w:pPr>
        <w:pStyle w:val="a3"/>
        <w:numPr>
          <w:ilvl w:val="2"/>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指國內外商品交易、勞務提供所產生的</w:t>
      </w:r>
      <w:r>
        <w:rPr>
          <w:rFonts w:ascii="微軟正黑體" w:eastAsia="微軟正黑體" w:hAnsi="微軟正黑體" w:hint="eastAsia"/>
          <w:szCs w:val="24"/>
        </w:rPr>
        <w:t>「</w:t>
      </w:r>
      <w:r>
        <w:rPr>
          <w:rFonts w:ascii="微軟正黑體" w:eastAsia="微軟正黑體" w:hAnsi="微軟正黑體" w:hint="eastAsia"/>
        </w:rPr>
        <w:t>匯票</w:t>
      </w:r>
      <w:r>
        <w:rPr>
          <w:rFonts w:ascii="微軟正黑體" w:eastAsia="微軟正黑體" w:hAnsi="微軟正黑體" w:hint="eastAsia"/>
          <w:szCs w:val="24"/>
        </w:rPr>
        <w:t>」</w:t>
      </w:r>
      <w:r>
        <w:rPr>
          <w:rFonts w:ascii="微軟正黑體" w:eastAsia="微軟正黑體" w:hAnsi="微軟正黑體" w:hint="eastAsia"/>
        </w:rPr>
        <w:t>或</w:t>
      </w:r>
      <w:r>
        <w:rPr>
          <w:rFonts w:ascii="微軟正黑體" w:eastAsia="微軟正黑體" w:hAnsi="微軟正黑體" w:hint="eastAsia"/>
          <w:szCs w:val="24"/>
        </w:rPr>
        <w:t>「</w:t>
      </w:r>
      <w:r>
        <w:rPr>
          <w:rFonts w:ascii="微軟正黑體" w:eastAsia="微軟正黑體" w:hAnsi="微軟正黑體" w:hint="eastAsia"/>
        </w:rPr>
        <w:t>本票</w:t>
      </w:r>
      <w:r>
        <w:rPr>
          <w:rFonts w:ascii="微軟正黑體" w:eastAsia="微軟正黑體" w:hAnsi="微軟正黑體" w:hint="eastAsia"/>
          <w:szCs w:val="24"/>
        </w:rPr>
        <w:t>」</w:t>
      </w:r>
    </w:p>
    <w:p w:rsidR="00684975" w:rsidRPr="00684975" w:rsidRDefault="00684975" w:rsidP="009115E3">
      <w:pPr>
        <w:pStyle w:val="a3"/>
        <w:numPr>
          <w:ilvl w:val="0"/>
          <w:numId w:val="6"/>
        </w:numPr>
        <w:spacing w:line="400" w:lineRule="exact"/>
        <w:ind w:leftChars="0"/>
        <w:jc w:val="both"/>
        <w:rPr>
          <w:rFonts w:ascii="微軟正黑體" w:eastAsia="微軟正黑體" w:hAnsi="微軟正黑體"/>
        </w:rPr>
      </w:pPr>
      <w:r>
        <w:rPr>
          <w:rFonts w:ascii="微軟正黑體" w:eastAsia="微軟正黑體" w:hAnsi="微軟正黑體" w:hint="eastAsia"/>
        </w:rPr>
        <w:t>無擔保授信</w:t>
      </w:r>
    </w:p>
    <w:p w:rsidR="0057149B" w:rsidRDefault="00684975" w:rsidP="009115E3">
      <w:pPr>
        <w:pStyle w:val="a3"/>
        <w:numPr>
          <w:ilvl w:val="0"/>
          <w:numId w:val="3"/>
        </w:numPr>
        <w:spacing w:line="400" w:lineRule="exact"/>
        <w:ind w:leftChars="0" w:left="482" w:hangingChars="201" w:hanging="482"/>
        <w:jc w:val="both"/>
        <w:rPr>
          <w:rFonts w:ascii="微軟正黑體" w:eastAsia="微軟正黑體" w:hAnsi="微軟正黑體"/>
        </w:rPr>
      </w:pPr>
      <w:r>
        <w:rPr>
          <w:rFonts w:ascii="微軟正黑體" w:eastAsia="微軟正黑體" w:hAnsi="微軟正黑體" w:hint="eastAsia"/>
        </w:rPr>
        <w:t>是否提供資金撥貸區分</w:t>
      </w:r>
    </w:p>
    <w:p w:rsidR="00461E76" w:rsidRPr="00342FBF" w:rsidRDefault="00461E76" w:rsidP="009115E3">
      <w:pPr>
        <w:pStyle w:val="a3"/>
        <w:numPr>
          <w:ilvl w:val="0"/>
          <w:numId w:val="7"/>
        </w:numPr>
        <w:spacing w:line="400" w:lineRule="exact"/>
        <w:ind w:leftChars="0"/>
        <w:jc w:val="both"/>
        <w:rPr>
          <w:rFonts w:ascii="微軟正黑體" w:eastAsia="微軟正黑體" w:hAnsi="微軟正黑體"/>
        </w:rPr>
      </w:pPr>
      <w:r>
        <w:rPr>
          <w:rFonts w:ascii="微軟正黑體" w:eastAsia="微軟正黑體" w:hAnsi="微軟正黑體" w:hint="eastAsia"/>
        </w:rPr>
        <w:t>直接授信</w:t>
      </w:r>
      <w:r>
        <w:rPr>
          <w:rFonts w:ascii="微軟正黑體" w:eastAsia="微軟正黑體" w:hAnsi="微軟正黑體" w:hint="eastAsia"/>
          <w:szCs w:val="24"/>
        </w:rPr>
        <w:t>：直接撥貸資金，貸放於借款人</w:t>
      </w:r>
    </w:p>
    <w:p w:rsidR="00342FBF" w:rsidRDefault="00342FBF" w:rsidP="009115E3">
      <w:pPr>
        <w:pStyle w:val="a3"/>
        <w:numPr>
          <w:ilvl w:val="0"/>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企業貸款</w:t>
      </w:r>
    </w:p>
    <w:p w:rsidR="00342FBF" w:rsidRDefault="00342FBF" w:rsidP="009115E3">
      <w:pPr>
        <w:pStyle w:val="a3"/>
        <w:numPr>
          <w:ilvl w:val="1"/>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周轉資金貸款</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一般營運周轉資金貸款</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墊付國內外應收款項</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貼現</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透支</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出口押匯</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進口押匯</w:t>
      </w:r>
    </w:p>
    <w:p w:rsidR="00342FBF" w:rsidRDefault="00342FBF" w:rsidP="009115E3">
      <w:pPr>
        <w:pStyle w:val="a3"/>
        <w:numPr>
          <w:ilvl w:val="2"/>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其他週轉資金貸款</w:t>
      </w:r>
    </w:p>
    <w:p w:rsidR="00342FBF" w:rsidRDefault="00342FBF" w:rsidP="009115E3">
      <w:pPr>
        <w:pStyle w:val="a3"/>
        <w:numPr>
          <w:ilvl w:val="1"/>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資本資出貸款</w:t>
      </w:r>
    </w:p>
    <w:p w:rsidR="00342FBF" w:rsidRDefault="00342FBF" w:rsidP="009115E3">
      <w:pPr>
        <w:pStyle w:val="a3"/>
        <w:numPr>
          <w:ilvl w:val="0"/>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消費者貸款</w:t>
      </w:r>
    </w:p>
    <w:p w:rsidR="00342FBF" w:rsidRPr="00342FBF" w:rsidRDefault="00342FBF" w:rsidP="009115E3">
      <w:pPr>
        <w:pStyle w:val="a3"/>
        <w:numPr>
          <w:ilvl w:val="0"/>
          <w:numId w:val="8"/>
        </w:numPr>
        <w:spacing w:line="400" w:lineRule="exact"/>
        <w:ind w:leftChars="0"/>
        <w:jc w:val="both"/>
        <w:rPr>
          <w:rFonts w:ascii="微軟正黑體" w:eastAsia="微軟正黑體" w:hAnsi="微軟正黑體"/>
        </w:rPr>
      </w:pPr>
      <w:r>
        <w:rPr>
          <w:rFonts w:ascii="微軟正黑體" w:eastAsia="微軟正黑體" w:hAnsi="微軟正黑體" w:hint="eastAsia"/>
        </w:rPr>
        <w:t>其他</w:t>
      </w:r>
    </w:p>
    <w:p w:rsidR="00461E76" w:rsidRPr="00461E76" w:rsidRDefault="00461E76" w:rsidP="009115E3">
      <w:pPr>
        <w:pStyle w:val="a3"/>
        <w:numPr>
          <w:ilvl w:val="0"/>
          <w:numId w:val="7"/>
        </w:numPr>
        <w:spacing w:line="400" w:lineRule="exact"/>
        <w:ind w:leftChars="0"/>
        <w:jc w:val="both"/>
        <w:rPr>
          <w:rFonts w:ascii="微軟正黑體" w:eastAsia="微軟正黑體" w:hAnsi="微軟正黑體"/>
        </w:rPr>
      </w:pPr>
      <w:r>
        <w:rPr>
          <w:rFonts w:ascii="微軟正黑體" w:eastAsia="微軟正黑體" w:hAnsi="微軟正黑體" w:hint="eastAsia"/>
        </w:rPr>
        <w:lastRenderedPageBreak/>
        <w:t>間接授信</w:t>
      </w:r>
      <w:r>
        <w:rPr>
          <w:rFonts w:ascii="微軟正黑體" w:eastAsia="微軟正黑體" w:hAnsi="微軟正黑體" w:hint="eastAsia"/>
          <w:szCs w:val="24"/>
        </w:rPr>
        <w:t>：受託擔任債務保證人，授予信用、承擔風險，而不直接撥貸資金</w:t>
      </w:r>
    </w:p>
    <w:p w:rsidR="0057149B" w:rsidRDefault="009B5CBF" w:rsidP="009115E3">
      <w:pPr>
        <w:pStyle w:val="a3"/>
        <w:numPr>
          <w:ilvl w:val="0"/>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保證</w:t>
      </w:r>
    </w:p>
    <w:p w:rsidR="009B5CBF" w:rsidRDefault="009B5CBF" w:rsidP="009115E3">
      <w:pPr>
        <w:pStyle w:val="a3"/>
        <w:numPr>
          <w:ilvl w:val="1"/>
          <w:numId w:val="10"/>
        </w:numPr>
        <w:spacing w:line="400" w:lineRule="exact"/>
        <w:ind w:leftChars="0"/>
        <w:jc w:val="both"/>
        <w:rPr>
          <w:rFonts w:ascii="微軟正黑體" w:eastAsia="微軟正黑體" w:hAnsi="微軟正黑體"/>
        </w:rPr>
      </w:pPr>
      <w:r>
        <w:rPr>
          <w:rFonts w:ascii="微軟正黑體" w:eastAsia="微軟正黑體" w:hAnsi="微軟正黑體" w:hint="eastAsia"/>
        </w:rPr>
        <w:t>商業本票及公司在保證</w:t>
      </w:r>
    </w:p>
    <w:p w:rsidR="009B5CBF" w:rsidRDefault="009B5CBF" w:rsidP="009115E3">
      <w:pPr>
        <w:pStyle w:val="a3"/>
        <w:numPr>
          <w:ilvl w:val="1"/>
          <w:numId w:val="10"/>
        </w:numPr>
        <w:spacing w:line="400" w:lineRule="exact"/>
        <w:ind w:leftChars="0"/>
        <w:jc w:val="both"/>
        <w:rPr>
          <w:rFonts w:ascii="微軟正黑體" w:eastAsia="微軟正黑體" w:hAnsi="微軟正黑體"/>
        </w:rPr>
      </w:pPr>
      <w:r>
        <w:rPr>
          <w:rFonts w:ascii="微軟正黑體" w:eastAsia="微軟正黑體" w:hAnsi="微軟正黑體" w:hint="eastAsia"/>
        </w:rPr>
        <w:t>供稱相關保證</w:t>
      </w:r>
    </w:p>
    <w:p w:rsidR="009B5CBF" w:rsidRDefault="009B5CBF" w:rsidP="009115E3">
      <w:pPr>
        <w:pStyle w:val="a3"/>
        <w:numPr>
          <w:ilvl w:val="1"/>
          <w:numId w:val="10"/>
        </w:numPr>
        <w:spacing w:line="400" w:lineRule="exact"/>
        <w:ind w:leftChars="0"/>
        <w:jc w:val="both"/>
        <w:rPr>
          <w:rFonts w:ascii="微軟正黑體" w:eastAsia="微軟正黑體" w:hAnsi="微軟正黑體"/>
        </w:rPr>
      </w:pPr>
      <w:r>
        <w:rPr>
          <w:rFonts w:ascii="微軟正黑體" w:eastAsia="微軟正黑體" w:hAnsi="微軟正黑體" w:hint="eastAsia"/>
        </w:rPr>
        <w:t>其他保證</w:t>
      </w:r>
    </w:p>
    <w:p w:rsidR="009B5CBF" w:rsidRDefault="009B5CBF" w:rsidP="009115E3">
      <w:pPr>
        <w:pStyle w:val="a3"/>
        <w:numPr>
          <w:ilvl w:val="0"/>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承兌</w:t>
      </w:r>
    </w:p>
    <w:p w:rsidR="009B5CBF" w:rsidRDefault="009B5CBF" w:rsidP="009115E3">
      <w:pPr>
        <w:pStyle w:val="a3"/>
        <w:numPr>
          <w:ilvl w:val="1"/>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買方委託承兌</w:t>
      </w:r>
    </w:p>
    <w:p w:rsidR="009B5CBF" w:rsidRDefault="009B5CBF" w:rsidP="009115E3">
      <w:pPr>
        <w:pStyle w:val="a3"/>
        <w:numPr>
          <w:ilvl w:val="1"/>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賣方委託承兌</w:t>
      </w:r>
    </w:p>
    <w:p w:rsidR="009B5CBF" w:rsidRDefault="009B5CBF" w:rsidP="009115E3">
      <w:pPr>
        <w:pStyle w:val="a3"/>
        <w:numPr>
          <w:ilvl w:val="0"/>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開發國內外信用狀</w:t>
      </w:r>
    </w:p>
    <w:p w:rsidR="009B5CBF" w:rsidRDefault="009B5CBF" w:rsidP="009115E3">
      <w:pPr>
        <w:pStyle w:val="a3"/>
        <w:numPr>
          <w:ilvl w:val="0"/>
          <w:numId w:val="9"/>
        </w:numPr>
        <w:spacing w:line="400" w:lineRule="exact"/>
        <w:ind w:leftChars="0"/>
        <w:jc w:val="both"/>
        <w:rPr>
          <w:rFonts w:ascii="微軟正黑體" w:eastAsia="微軟正黑體" w:hAnsi="微軟正黑體"/>
        </w:rPr>
      </w:pPr>
      <w:r>
        <w:rPr>
          <w:rFonts w:ascii="微軟正黑體" w:eastAsia="微軟正黑體" w:hAnsi="微軟正黑體" w:hint="eastAsia"/>
        </w:rPr>
        <w:t>其他間接授信商品</w:t>
      </w:r>
    </w:p>
    <w:p w:rsidR="0088743D" w:rsidRPr="0088743D" w:rsidRDefault="0088743D" w:rsidP="00C00D28">
      <w:pPr>
        <w:spacing w:line="400" w:lineRule="exact"/>
        <w:jc w:val="both"/>
        <w:rPr>
          <w:rFonts w:ascii="微軟正黑體" w:eastAsia="微軟正黑體" w:hAnsi="微軟正黑體"/>
        </w:rPr>
      </w:pPr>
    </w:p>
    <w:p w:rsidR="00461E76" w:rsidRPr="00F15223" w:rsidRDefault="0088743D" w:rsidP="009115E3">
      <w:pPr>
        <w:pStyle w:val="a3"/>
        <w:numPr>
          <w:ilvl w:val="0"/>
          <w:numId w:val="1"/>
        </w:numPr>
        <w:spacing w:line="440" w:lineRule="exact"/>
        <w:ind w:leftChars="0"/>
        <w:jc w:val="both"/>
        <w:rPr>
          <w:rFonts w:ascii="微軟正黑體" w:eastAsia="微軟正黑體" w:hAnsi="微軟正黑體"/>
        </w:rPr>
      </w:pPr>
      <w:r>
        <w:rPr>
          <w:rFonts w:ascii="微軟正黑體" w:eastAsia="微軟正黑體" w:hAnsi="微軟正黑體" w:hint="eastAsia"/>
          <w:sz w:val="28"/>
          <w:szCs w:val="28"/>
        </w:rPr>
        <w:t>各種授信</w:t>
      </w:r>
    </w:p>
    <w:p w:rsidR="00F15223" w:rsidRPr="00F15223" w:rsidRDefault="00F15223" w:rsidP="00C00D28">
      <w:pPr>
        <w:spacing w:line="440" w:lineRule="exact"/>
        <w:jc w:val="both"/>
        <w:rPr>
          <w:rFonts w:ascii="微軟正黑體" w:eastAsia="微軟正黑體" w:hAnsi="微軟正黑體"/>
          <w:color w:val="FF0000"/>
        </w:rPr>
      </w:pPr>
      <w:r w:rsidRPr="00F15223">
        <w:rPr>
          <w:rFonts w:ascii="微軟正黑體" w:eastAsia="微軟正黑體" w:hAnsi="微軟正黑體" w:hint="eastAsia"/>
          <w:color w:val="FF0000"/>
        </w:rPr>
        <w:t>(直接授信)</w:t>
      </w:r>
    </w:p>
    <w:p w:rsidR="00461E76" w:rsidRPr="0088743D" w:rsidRDefault="0088743D" w:rsidP="009115E3">
      <w:pPr>
        <w:pStyle w:val="a3"/>
        <w:numPr>
          <w:ilvl w:val="0"/>
          <w:numId w:val="11"/>
        </w:numPr>
        <w:spacing w:line="400" w:lineRule="exact"/>
        <w:ind w:leftChars="0"/>
        <w:jc w:val="both"/>
        <w:rPr>
          <w:rFonts w:ascii="微軟正黑體" w:eastAsia="微軟正黑體" w:hAnsi="微軟正黑體"/>
          <w:szCs w:val="24"/>
        </w:rPr>
      </w:pPr>
      <w:r w:rsidRPr="0088743D">
        <w:rPr>
          <w:rFonts w:ascii="微軟正黑體" w:eastAsia="微軟正黑體" w:hAnsi="微軟正黑體" w:hint="eastAsia"/>
          <w:szCs w:val="24"/>
        </w:rPr>
        <w:t>週轉資金貸款：協助企業營運所需之資金</w:t>
      </w:r>
    </w:p>
    <w:p w:rsidR="0088743D" w:rsidRPr="0088743D" w:rsidRDefault="0088743D" w:rsidP="009115E3">
      <w:pPr>
        <w:pStyle w:val="a3"/>
        <w:numPr>
          <w:ilvl w:val="0"/>
          <w:numId w:val="12"/>
        </w:numPr>
        <w:spacing w:line="400" w:lineRule="exact"/>
        <w:ind w:leftChars="0"/>
        <w:jc w:val="both"/>
        <w:rPr>
          <w:rFonts w:ascii="微軟正黑體" w:eastAsia="微軟正黑體" w:hAnsi="微軟正黑體"/>
        </w:rPr>
      </w:pPr>
      <w:r>
        <w:rPr>
          <w:rFonts w:ascii="微軟正黑體" w:eastAsia="微軟正黑體" w:hAnsi="微軟正黑體" w:hint="eastAsia"/>
        </w:rPr>
        <w:t>償還來源</w:t>
      </w:r>
      <w:r w:rsidRPr="0088743D">
        <w:rPr>
          <w:rFonts w:ascii="微軟正黑體" w:eastAsia="微軟正黑體" w:hAnsi="微軟正黑體" w:hint="eastAsia"/>
          <w:szCs w:val="24"/>
        </w:rPr>
        <w:t>：</w:t>
      </w:r>
    </w:p>
    <w:p w:rsidR="0088743D" w:rsidRDefault="0088743D" w:rsidP="009115E3">
      <w:pPr>
        <w:pStyle w:val="a3"/>
        <w:numPr>
          <w:ilvl w:val="0"/>
          <w:numId w:val="13"/>
        </w:numPr>
        <w:spacing w:line="400" w:lineRule="exact"/>
        <w:ind w:leftChars="0"/>
        <w:jc w:val="both"/>
        <w:rPr>
          <w:rFonts w:ascii="微軟正黑體" w:eastAsia="微軟正黑體" w:hAnsi="微軟正黑體"/>
        </w:rPr>
      </w:pPr>
      <w:r>
        <w:rPr>
          <w:rFonts w:ascii="微軟正黑體" w:eastAsia="微軟正黑體" w:hAnsi="微軟正黑體" w:hint="eastAsia"/>
        </w:rPr>
        <w:t>短期</w:t>
      </w:r>
      <w:r w:rsidRPr="0088743D">
        <w:rPr>
          <w:rFonts w:ascii="微軟正黑體" w:eastAsia="微軟正黑體" w:hAnsi="微軟正黑體" w:hint="eastAsia"/>
          <w:szCs w:val="24"/>
        </w:rPr>
        <w:t>：</w:t>
      </w:r>
      <w:r>
        <w:rPr>
          <w:rFonts w:ascii="微軟正黑體" w:eastAsia="微軟正黑體" w:hAnsi="微軟正黑體" w:hint="eastAsia"/>
          <w:szCs w:val="24"/>
        </w:rPr>
        <w:t>營業收入、流動資產變現</w:t>
      </w:r>
    </w:p>
    <w:p w:rsidR="0088743D" w:rsidRPr="0088743D" w:rsidRDefault="0088743D" w:rsidP="009115E3">
      <w:pPr>
        <w:pStyle w:val="a3"/>
        <w:numPr>
          <w:ilvl w:val="0"/>
          <w:numId w:val="13"/>
        </w:numPr>
        <w:spacing w:line="400" w:lineRule="exact"/>
        <w:ind w:leftChars="0"/>
        <w:jc w:val="both"/>
        <w:rPr>
          <w:rFonts w:ascii="微軟正黑體" w:eastAsia="微軟正黑體" w:hAnsi="微軟正黑體"/>
        </w:rPr>
      </w:pPr>
      <w:r>
        <w:rPr>
          <w:rFonts w:ascii="微軟正黑體" w:eastAsia="微軟正黑體" w:hAnsi="微軟正黑體" w:hint="eastAsia"/>
        </w:rPr>
        <w:t>中長期</w:t>
      </w:r>
      <w:r w:rsidRPr="0088743D">
        <w:rPr>
          <w:rFonts w:ascii="微軟正黑體" w:eastAsia="微軟正黑體" w:hAnsi="微軟正黑體" w:hint="eastAsia"/>
          <w:szCs w:val="24"/>
        </w:rPr>
        <w:t>：</w:t>
      </w:r>
      <w:r>
        <w:rPr>
          <w:rFonts w:ascii="微軟正黑體" w:eastAsia="微軟正黑體" w:hAnsi="微軟正黑體" w:hint="eastAsia"/>
          <w:szCs w:val="24"/>
        </w:rPr>
        <w:t>企業盈餘、營業收入、其他適當資金</w:t>
      </w:r>
    </w:p>
    <w:p w:rsidR="00461E76" w:rsidRPr="0088743D" w:rsidRDefault="0088743D" w:rsidP="009115E3">
      <w:pPr>
        <w:pStyle w:val="a3"/>
        <w:numPr>
          <w:ilvl w:val="0"/>
          <w:numId w:val="12"/>
        </w:numPr>
        <w:spacing w:line="400" w:lineRule="exact"/>
        <w:ind w:leftChars="0"/>
        <w:jc w:val="both"/>
        <w:rPr>
          <w:rFonts w:ascii="微軟正黑體" w:eastAsia="微軟正黑體" w:hAnsi="微軟正黑體"/>
        </w:rPr>
      </w:pPr>
      <w:r>
        <w:rPr>
          <w:rFonts w:ascii="微軟正黑體" w:eastAsia="微軟正黑體" w:hAnsi="微軟正黑體" w:hint="eastAsia"/>
        </w:rPr>
        <w:t>種類</w:t>
      </w:r>
      <w:r w:rsidRPr="0088743D">
        <w:rPr>
          <w:rFonts w:ascii="微軟正黑體" w:eastAsia="微軟正黑體" w:hAnsi="微軟正黑體" w:hint="eastAsia"/>
          <w:szCs w:val="24"/>
        </w:rPr>
        <w:t>：</w:t>
      </w:r>
    </w:p>
    <w:p w:rsidR="0088743D" w:rsidRPr="0088743D" w:rsidRDefault="0088743D"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rPr>
        <w:t>一般營運週轉金貸款</w:t>
      </w:r>
      <w:r w:rsidRPr="0088743D">
        <w:rPr>
          <w:rFonts w:ascii="微軟正黑體" w:eastAsia="微軟正黑體" w:hAnsi="微軟正黑體" w:hint="eastAsia"/>
          <w:szCs w:val="24"/>
        </w:rPr>
        <w:t>：</w:t>
      </w:r>
      <w:r>
        <w:rPr>
          <w:rFonts w:ascii="微軟正黑體" w:eastAsia="微軟正黑體" w:hAnsi="微軟正黑體" w:hint="eastAsia"/>
          <w:szCs w:val="24"/>
        </w:rPr>
        <w:t>正常營業周期內所需週轉資金</w:t>
      </w:r>
    </w:p>
    <w:p w:rsidR="0088743D" w:rsidRPr="00C16F71" w:rsidRDefault="0088743D"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rPr>
        <w:t>墊付國內外應收款項</w:t>
      </w:r>
      <w:r w:rsidRPr="0088743D">
        <w:rPr>
          <w:rFonts w:ascii="微軟正黑體" w:eastAsia="微軟正黑體" w:hAnsi="微軟正黑體" w:hint="eastAsia"/>
          <w:szCs w:val="24"/>
        </w:rPr>
        <w:t>：</w:t>
      </w:r>
      <w:r>
        <w:rPr>
          <w:rFonts w:ascii="微軟正黑體" w:eastAsia="微軟正黑體" w:hAnsi="微軟正黑體" w:hint="eastAsia"/>
          <w:szCs w:val="24"/>
        </w:rPr>
        <w:t>借款人因國內外商品交易、勞務</w:t>
      </w:r>
      <w:r w:rsidR="00C16F71">
        <w:rPr>
          <w:rFonts w:ascii="微軟正黑體" w:eastAsia="微軟正黑體" w:hAnsi="微軟正黑體" w:hint="eastAsia"/>
          <w:szCs w:val="24"/>
        </w:rPr>
        <w:t>提供所取得之債權先與墊付，待收回款項在還墊款</w:t>
      </w:r>
    </w:p>
    <w:p w:rsidR="00C16F71" w:rsidRPr="00F15223" w:rsidRDefault="00C16F71"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貼現</w:t>
      </w:r>
      <w:r w:rsidRPr="0088743D">
        <w:rPr>
          <w:rFonts w:ascii="微軟正黑體" w:eastAsia="微軟正黑體" w:hAnsi="微軟正黑體" w:hint="eastAsia"/>
          <w:szCs w:val="24"/>
        </w:rPr>
        <w:t>：</w:t>
      </w:r>
      <w:r>
        <w:rPr>
          <w:rFonts w:ascii="微軟正黑體" w:eastAsia="微軟正黑體" w:hAnsi="微軟正黑體" w:hint="eastAsia"/>
          <w:szCs w:val="24"/>
        </w:rPr>
        <w:t>因交易持有未到期承兌匯票或本票讓與銀行，銀行以預收利息方式先與墊付，待匯票或本票到期時收取票款後在還墊款</w:t>
      </w:r>
    </w:p>
    <w:p w:rsidR="00F15223" w:rsidRPr="00F15223" w:rsidRDefault="00F15223"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透支</w:t>
      </w:r>
      <w:r w:rsidRPr="0088743D">
        <w:rPr>
          <w:rFonts w:ascii="微軟正黑體" w:eastAsia="微軟正黑體" w:hAnsi="微軟正黑體" w:hint="eastAsia"/>
          <w:szCs w:val="24"/>
        </w:rPr>
        <w:t>：</w:t>
      </w:r>
      <w:r>
        <w:rPr>
          <w:rFonts w:ascii="微軟正黑體" w:eastAsia="微軟正黑體" w:hAnsi="微軟正黑體" w:hint="eastAsia"/>
          <w:szCs w:val="24"/>
        </w:rPr>
        <w:t>借款人於支票存款戶無存款餘額或餘額不足時，銀行先與墊付</w:t>
      </w:r>
    </w:p>
    <w:p w:rsidR="00F15223" w:rsidRPr="00F15223" w:rsidRDefault="00F15223"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出口押匯</w:t>
      </w:r>
      <w:r w:rsidRPr="0088743D">
        <w:rPr>
          <w:rFonts w:ascii="微軟正黑體" w:eastAsia="微軟正黑體" w:hAnsi="微軟正黑體" w:hint="eastAsia"/>
          <w:szCs w:val="24"/>
        </w:rPr>
        <w:t>：</w:t>
      </w:r>
      <w:r>
        <w:rPr>
          <w:rFonts w:ascii="微軟正黑體" w:eastAsia="微軟正黑體" w:hAnsi="微軟正黑體" w:hint="eastAsia"/>
          <w:szCs w:val="24"/>
        </w:rPr>
        <w:t>因出口貨物或輸出勞務而向國外收取信用款項，由銀行先與墊付，並將</w:t>
      </w:r>
      <w:proofErr w:type="gramStart"/>
      <w:r>
        <w:rPr>
          <w:rFonts w:ascii="微軟正黑體" w:eastAsia="微軟正黑體" w:hAnsi="微軟正黑體" w:hint="eastAsia"/>
          <w:szCs w:val="24"/>
        </w:rPr>
        <w:t>信用狀項下</w:t>
      </w:r>
      <w:proofErr w:type="gramEnd"/>
      <w:r>
        <w:rPr>
          <w:rFonts w:ascii="微軟正黑體" w:eastAsia="微軟正黑體" w:hAnsi="微軟正黑體" w:hint="eastAsia"/>
          <w:szCs w:val="24"/>
        </w:rPr>
        <w:t>之押匯單據讓與銀行作擔保，委託銀行向國外開狀銀行收取款項</w:t>
      </w:r>
    </w:p>
    <w:p w:rsidR="00F15223" w:rsidRPr="00295E60" w:rsidRDefault="00F15223" w:rsidP="009115E3">
      <w:pPr>
        <w:pStyle w:val="a3"/>
        <w:numPr>
          <w:ilvl w:val="0"/>
          <w:numId w:val="14"/>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進口押匯</w:t>
      </w:r>
      <w:r w:rsidRPr="0088743D">
        <w:rPr>
          <w:rFonts w:ascii="微軟正黑體" w:eastAsia="微軟正黑體" w:hAnsi="微軟正黑體" w:hint="eastAsia"/>
          <w:szCs w:val="24"/>
        </w:rPr>
        <w:t>：</w:t>
      </w:r>
      <w:r>
        <w:rPr>
          <w:rFonts w:ascii="微軟正黑體" w:eastAsia="微軟正黑體" w:hAnsi="微軟正黑體" w:hint="eastAsia"/>
          <w:szCs w:val="24"/>
        </w:rPr>
        <w:t>由銀行向國外賣方先行墊付</w:t>
      </w:r>
      <w:proofErr w:type="gramStart"/>
      <w:r>
        <w:rPr>
          <w:rFonts w:ascii="微軟正黑體" w:eastAsia="微軟正黑體" w:hAnsi="微軟正黑體" w:hint="eastAsia"/>
          <w:szCs w:val="24"/>
        </w:rPr>
        <w:t>信用狀項下</w:t>
      </w:r>
      <w:proofErr w:type="gramEnd"/>
      <w:r>
        <w:rPr>
          <w:rFonts w:ascii="微軟正黑體" w:eastAsia="微軟正黑體" w:hAnsi="微軟正黑體" w:hint="eastAsia"/>
          <w:szCs w:val="24"/>
        </w:rPr>
        <w:t>單據之款項，再通知借款人在約定期限內</w:t>
      </w:r>
      <w:proofErr w:type="gramStart"/>
      <w:r>
        <w:rPr>
          <w:rFonts w:ascii="微軟正黑體" w:eastAsia="微軟正黑體" w:hAnsi="微軟正黑體" w:hint="eastAsia"/>
          <w:szCs w:val="24"/>
        </w:rPr>
        <w:t>被款贖領</w:t>
      </w:r>
      <w:proofErr w:type="gramEnd"/>
      <w:r>
        <w:rPr>
          <w:rFonts w:ascii="微軟正黑體" w:eastAsia="微軟正黑體" w:hAnsi="微軟正黑體" w:hint="eastAsia"/>
          <w:szCs w:val="24"/>
        </w:rPr>
        <w:t>進口單據</w:t>
      </w:r>
    </w:p>
    <w:tbl>
      <w:tblPr>
        <w:tblStyle w:val="-4"/>
        <w:tblW w:w="0" w:type="auto"/>
        <w:tblInd w:w="675" w:type="dxa"/>
        <w:tblLook w:val="04A0" w:firstRow="1" w:lastRow="0" w:firstColumn="1" w:lastColumn="0" w:noHBand="0" w:noVBand="1"/>
      </w:tblPr>
      <w:tblGrid>
        <w:gridCol w:w="1276"/>
        <w:gridCol w:w="2182"/>
        <w:gridCol w:w="2183"/>
        <w:gridCol w:w="2183"/>
        <w:gridCol w:w="2183"/>
      </w:tblGrid>
      <w:tr w:rsidR="005435FF" w:rsidTr="005435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Default="005435FF" w:rsidP="00C00D28">
            <w:pPr>
              <w:pStyle w:val="a3"/>
              <w:spacing w:line="400" w:lineRule="exact"/>
              <w:ind w:leftChars="0" w:left="0"/>
              <w:jc w:val="both"/>
              <w:rPr>
                <w:rFonts w:ascii="微軟正黑體" w:eastAsia="微軟正黑體" w:hAnsi="微軟正黑體"/>
              </w:rPr>
            </w:pPr>
          </w:p>
        </w:tc>
        <w:tc>
          <w:tcPr>
            <w:tcW w:w="2182" w:type="dxa"/>
            <w:tcBorders>
              <w:right w:val="single" w:sz="4" w:space="0" w:color="auto"/>
            </w:tcBorders>
          </w:tcPr>
          <w:p w:rsidR="005435FF"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w:t>
            </w:r>
          </w:p>
        </w:tc>
        <w:tc>
          <w:tcPr>
            <w:tcW w:w="2183" w:type="dxa"/>
            <w:tcBorders>
              <w:left w:val="single" w:sz="4" w:space="0" w:color="auto"/>
              <w:right w:val="single" w:sz="4" w:space="0" w:color="auto"/>
            </w:tcBorders>
          </w:tcPr>
          <w:p w:rsidR="005435FF"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rPr>
            </w:pPr>
            <w:r>
              <w:rPr>
                <w:rFonts w:ascii="微軟正黑體" w:eastAsia="微軟正黑體" w:hAnsi="微軟正黑體" w:hint="eastAsia"/>
                <w:b w:val="0"/>
                <w:bCs w:val="0"/>
              </w:rPr>
              <w:t>2</w:t>
            </w:r>
          </w:p>
        </w:tc>
        <w:tc>
          <w:tcPr>
            <w:tcW w:w="2183" w:type="dxa"/>
            <w:tcBorders>
              <w:left w:val="single" w:sz="4" w:space="0" w:color="auto"/>
            </w:tcBorders>
          </w:tcPr>
          <w:p w:rsidR="005435FF"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3</w:t>
            </w:r>
          </w:p>
        </w:tc>
        <w:tc>
          <w:tcPr>
            <w:tcW w:w="2183" w:type="dxa"/>
            <w:tcBorders>
              <w:left w:val="single" w:sz="4" w:space="0" w:color="auto"/>
            </w:tcBorders>
          </w:tcPr>
          <w:p w:rsidR="005435FF"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4</w:t>
            </w:r>
          </w:p>
        </w:tc>
      </w:tr>
      <w:tr w:rsidR="005435FF" w:rsidTr="005435F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Default="005435FF" w:rsidP="00C00D28">
            <w:pPr>
              <w:pStyle w:val="a3"/>
              <w:spacing w:line="400" w:lineRule="exact"/>
              <w:ind w:leftChars="0" w:left="0"/>
              <w:jc w:val="both"/>
              <w:rPr>
                <w:rFonts w:ascii="微軟正黑體" w:eastAsia="微軟正黑體" w:hAnsi="微軟正黑體"/>
              </w:rPr>
            </w:pPr>
            <w:r>
              <w:rPr>
                <w:rFonts w:ascii="微軟正黑體" w:eastAsia="微軟正黑體" w:hAnsi="微軟正黑體" w:hint="eastAsia"/>
                <w:szCs w:val="24"/>
              </w:rPr>
              <w:t>出口押匯</w:t>
            </w:r>
          </w:p>
        </w:tc>
        <w:tc>
          <w:tcPr>
            <w:tcW w:w="2182" w:type="dxa"/>
            <w:tcBorders>
              <w:right w:val="single" w:sz="4" w:space="0" w:color="auto"/>
            </w:tcBorders>
          </w:tcPr>
          <w:p w:rsidR="005435FF"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szCs w:val="24"/>
              </w:rPr>
              <w:t>A向國外收取信用款項</w:t>
            </w:r>
          </w:p>
        </w:tc>
        <w:tc>
          <w:tcPr>
            <w:tcW w:w="2183" w:type="dxa"/>
            <w:tcBorders>
              <w:left w:val="single" w:sz="4" w:space="0" w:color="auto"/>
              <w:right w:val="single" w:sz="4" w:space="0" w:color="auto"/>
            </w:tcBorders>
          </w:tcPr>
          <w:p w:rsidR="005435FF"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szCs w:val="24"/>
              </w:rPr>
              <w:t>由銀行先與墊付給A</w:t>
            </w:r>
          </w:p>
        </w:tc>
        <w:tc>
          <w:tcPr>
            <w:tcW w:w="2183" w:type="dxa"/>
            <w:tcBorders>
              <w:left w:val="single" w:sz="4" w:space="0" w:color="auto"/>
            </w:tcBorders>
          </w:tcPr>
          <w:p w:rsidR="005435FF"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szCs w:val="24"/>
              </w:rPr>
              <w:t>A將</w:t>
            </w:r>
            <w:proofErr w:type="gramStart"/>
            <w:r>
              <w:rPr>
                <w:rFonts w:ascii="微軟正黑體" w:eastAsia="微軟正黑體" w:hAnsi="微軟正黑體" w:hint="eastAsia"/>
                <w:szCs w:val="24"/>
              </w:rPr>
              <w:t>信用狀項下</w:t>
            </w:r>
            <w:proofErr w:type="gramEnd"/>
            <w:r>
              <w:rPr>
                <w:rFonts w:ascii="微軟正黑體" w:eastAsia="微軟正黑體" w:hAnsi="微軟正黑體" w:hint="eastAsia"/>
                <w:szCs w:val="24"/>
              </w:rPr>
              <w:t>之押匯單據讓與銀行作擔保</w:t>
            </w:r>
          </w:p>
        </w:tc>
        <w:tc>
          <w:tcPr>
            <w:tcW w:w="2183" w:type="dxa"/>
            <w:tcBorders>
              <w:left w:val="single" w:sz="4" w:space="0" w:color="auto"/>
            </w:tcBorders>
          </w:tcPr>
          <w:p w:rsidR="005435FF"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委託銀行向國外開狀</w:t>
            </w:r>
            <w:proofErr w:type="gramStart"/>
            <w:r>
              <w:rPr>
                <w:rFonts w:ascii="微軟正黑體" w:eastAsia="微軟正黑體" w:hAnsi="微軟正黑體" w:hint="eastAsia"/>
                <w:szCs w:val="24"/>
              </w:rPr>
              <w:t>銀行收許款項</w:t>
            </w:r>
            <w:proofErr w:type="gramEnd"/>
          </w:p>
        </w:tc>
      </w:tr>
      <w:tr w:rsidR="005435FF" w:rsidTr="005435FF">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Default="005435FF" w:rsidP="00C00D28">
            <w:pPr>
              <w:pStyle w:val="a3"/>
              <w:spacing w:line="400" w:lineRule="exact"/>
              <w:ind w:leftChars="0" w:left="0"/>
              <w:jc w:val="both"/>
              <w:rPr>
                <w:rFonts w:ascii="微軟正黑體" w:eastAsia="微軟正黑體" w:hAnsi="微軟正黑體"/>
              </w:rPr>
            </w:pPr>
            <w:r>
              <w:rPr>
                <w:rFonts w:ascii="微軟正黑體" w:eastAsia="微軟正黑體" w:hAnsi="微軟正黑體" w:hint="eastAsia"/>
                <w:szCs w:val="24"/>
              </w:rPr>
              <w:t>進口押匯</w:t>
            </w:r>
          </w:p>
        </w:tc>
        <w:tc>
          <w:tcPr>
            <w:tcW w:w="2182" w:type="dxa"/>
            <w:tcBorders>
              <w:right w:val="single" w:sz="4" w:space="0" w:color="auto"/>
            </w:tcBorders>
          </w:tcPr>
          <w:p w:rsidR="005435FF"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B委託銀行開信用狀給國外銀行</w:t>
            </w:r>
          </w:p>
        </w:tc>
        <w:tc>
          <w:tcPr>
            <w:tcW w:w="2183" w:type="dxa"/>
            <w:tcBorders>
              <w:left w:val="single" w:sz="4" w:space="0" w:color="auto"/>
              <w:right w:val="single" w:sz="4" w:space="0" w:color="auto"/>
            </w:tcBorders>
          </w:tcPr>
          <w:p w:rsidR="005435FF"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銀行先付錢給國外銀行</w:t>
            </w:r>
          </w:p>
        </w:tc>
        <w:tc>
          <w:tcPr>
            <w:tcW w:w="2183" w:type="dxa"/>
            <w:tcBorders>
              <w:left w:val="single" w:sz="4" w:space="0" w:color="auto"/>
            </w:tcBorders>
          </w:tcPr>
          <w:p w:rsidR="005435FF"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B付錢給銀行換進口單據</w:t>
            </w:r>
          </w:p>
        </w:tc>
        <w:tc>
          <w:tcPr>
            <w:tcW w:w="2183" w:type="dxa"/>
            <w:tcBorders>
              <w:left w:val="single" w:sz="4" w:space="0" w:color="auto"/>
            </w:tcBorders>
          </w:tcPr>
          <w:p w:rsidR="005435FF"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r>
    </w:tbl>
    <w:p w:rsidR="0057149B" w:rsidRDefault="00F15223"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rPr>
        <w:t>資本支出貸款</w:t>
      </w:r>
      <w:r w:rsidRPr="0088743D">
        <w:rPr>
          <w:rFonts w:ascii="微軟正黑體" w:eastAsia="微軟正黑體" w:hAnsi="微軟正黑體" w:hint="eastAsia"/>
          <w:szCs w:val="24"/>
        </w:rPr>
        <w:t>：</w:t>
      </w:r>
      <w:r>
        <w:rPr>
          <w:rFonts w:ascii="微軟正黑體" w:eastAsia="微軟正黑體" w:hAnsi="微軟正黑體" w:hint="eastAsia"/>
          <w:szCs w:val="24"/>
        </w:rPr>
        <w:t>協助企業從事重大投資開發計畫為目的</w:t>
      </w:r>
    </w:p>
    <w:p w:rsidR="00F15223" w:rsidRDefault="00F15223" w:rsidP="009115E3">
      <w:pPr>
        <w:pStyle w:val="a3"/>
        <w:numPr>
          <w:ilvl w:val="0"/>
          <w:numId w:val="15"/>
        </w:numPr>
        <w:spacing w:line="400" w:lineRule="exact"/>
        <w:ind w:leftChars="0"/>
        <w:jc w:val="both"/>
        <w:rPr>
          <w:rFonts w:ascii="微軟正黑體" w:eastAsia="微軟正黑體" w:hAnsi="微軟正黑體"/>
        </w:rPr>
      </w:pPr>
      <w:r>
        <w:rPr>
          <w:rFonts w:ascii="微軟正黑體" w:eastAsia="微軟正黑體" w:hAnsi="微軟正黑體" w:hint="eastAsia"/>
        </w:rPr>
        <w:t>償還來源</w:t>
      </w:r>
      <w:r w:rsidRPr="0088743D">
        <w:rPr>
          <w:rFonts w:ascii="微軟正黑體" w:eastAsia="微軟正黑體" w:hAnsi="微軟正黑體" w:hint="eastAsia"/>
          <w:szCs w:val="24"/>
        </w:rPr>
        <w:t>：</w:t>
      </w:r>
      <w:r>
        <w:rPr>
          <w:rFonts w:ascii="微軟正黑體" w:eastAsia="微軟正黑體" w:hAnsi="微軟正黑體" w:hint="eastAsia"/>
          <w:szCs w:val="24"/>
        </w:rPr>
        <w:t>企業經營所產生之現金流、獲利、提列折舊、現金增資、發行公司債</w:t>
      </w:r>
    </w:p>
    <w:p w:rsidR="004A75C4" w:rsidRDefault="004A75C4"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rPr>
        <w:t>消費者貸款</w:t>
      </w:r>
      <w:r w:rsidRPr="0088743D">
        <w:rPr>
          <w:rFonts w:ascii="微軟正黑體" w:eastAsia="微軟正黑體" w:hAnsi="微軟正黑體" w:hint="eastAsia"/>
          <w:szCs w:val="24"/>
        </w:rPr>
        <w:t>：</w:t>
      </w:r>
      <w:r>
        <w:rPr>
          <w:rFonts w:ascii="微軟正黑體" w:eastAsia="微軟正黑體" w:hAnsi="微軟正黑體" w:hint="eastAsia"/>
          <w:szCs w:val="24"/>
        </w:rPr>
        <w:t>個人置產、投資、理財周轉、消費</w:t>
      </w:r>
    </w:p>
    <w:p w:rsidR="004A75C4" w:rsidRDefault="004A75C4" w:rsidP="009115E3">
      <w:pPr>
        <w:pStyle w:val="a3"/>
        <w:numPr>
          <w:ilvl w:val="0"/>
          <w:numId w:val="16"/>
        </w:numPr>
        <w:spacing w:line="400" w:lineRule="exact"/>
        <w:ind w:leftChars="0"/>
        <w:jc w:val="both"/>
        <w:rPr>
          <w:rFonts w:ascii="微軟正黑體" w:eastAsia="微軟正黑體" w:hAnsi="微軟正黑體"/>
        </w:rPr>
      </w:pPr>
      <w:r>
        <w:rPr>
          <w:rFonts w:ascii="微軟正黑體" w:eastAsia="微軟正黑體" w:hAnsi="微軟正黑體" w:hint="eastAsia"/>
        </w:rPr>
        <w:t>償還來源</w:t>
      </w:r>
      <w:r w:rsidRPr="0088743D">
        <w:rPr>
          <w:rFonts w:ascii="微軟正黑體" w:eastAsia="微軟正黑體" w:hAnsi="微軟正黑體" w:hint="eastAsia"/>
          <w:szCs w:val="24"/>
        </w:rPr>
        <w:t>：</w:t>
      </w:r>
      <w:r>
        <w:rPr>
          <w:rFonts w:ascii="微軟正黑體" w:eastAsia="微軟正黑體" w:hAnsi="微軟正黑體" w:hint="eastAsia"/>
          <w:szCs w:val="24"/>
        </w:rPr>
        <w:t>薪資、投資、租賃、利息，扣除生活資出所於之資金</w:t>
      </w:r>
    </w:p>
    <w:p w:rsidR="00F15223" w:rsidRPr="00F15223" w:rsidRDefault="00F15223" w:rsidP="00C00D28">
      <w:pPr>
        <w:spacing w:line="440" w:lineRule="exact"/>
        <w:jc w:val="both"/>
        <w:rPr>
          <w:rFonts w:ascii="微軟正黑體" w:eastAsia="微軟正黑體" w:hAnsi="微軟正黑體"/>
          <w:color w:val="FF0000"/>
        </w:rPr>
      </w:pPr>
      <w:r w:rsidRPr="00F15223">
        <w:rPr>
          <w:rFonts w:ascii="微軟正黑體" w:eastAsia="微軟正黑體" w:hAnsi="微軟正黑體" w:hint="eastAsia"/>
          <w:color w:val="FF0000"/>
        </w:rPr>
        <w:lastRenderedPageBreak/>
        <w:t>(</w:t>
      </w:r>
      <w:r>
        <w:rPr>
          <w:rFonts w:ascii="微軟正黑體" w:eastAsia="微軟正黑體" w:hAnsi="微軟正黑體" w:hint="eastAsia"/>
          <w:color w:val="FF0000"/>
        </w:rPr>
        <w:t>間接</w:t>
      </w:r>
      <w:r w:rsidRPr="00F15223">
        <w:rPr>
          <w:rFonts w:ascii="微軟正黑體" w:eastAsia="微軟正黑體" w:hAnsi="微軟正黑體" w:hint="eastAsia"/>
          <w:color w:val="FF0000"/>
        </w:rPr>
        <w:t>授信)</w:t>
      </w:r>
    </w:p>
    <w:p w:rsidR="00F15223" w:rsidRPr="004A75C4" w:rsidRDefault="004A75C4"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rPr>
        <w:t>商業本票及公司債保證</w:t>
      </w:r>
      <w:r w:rsidRPr="0088743D">
        <w:rPr>
          <w:rFonts w:ascii="微軟正黑體" w:eastAsia="微軟正黑體" w:hAnsi="微軟正黑體" w:hint="eastAsia"/>
          <w:szCs w:val="24"/>
        </w:rPr>
        <w:t>：</w:t>
      </w:r>
      <w:r>
        <w:rPr>
          <w:rFonts w:ascii="微軟正黑體" w:eastAsia="微軟正黑體" w:hAnsi="微軟正黑體" w:hint="eastAsia"/>
          <w:szCs w:val="24"/>
        </w:rPr>
        <w:t>銀行對於公司發行之商業本票、公司債授予保證，增加其流通性</w:t>
      </w:r>
    </w:p>
    <w:p w:rsidR="004A75C4" w:rsidRPr="00295E60" w:rsidRDefault="004A75C4"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工程保證</w:t>
      </w:r>
      <w:r w:rsidRPr="0088743D">
        <w:rPr>
          <w:rFonts w:ascii="微軟正黑體" w:eastAsia="微軟正黑體" w:hAnsi="微軟正黑體" w:hint="eastAsia"/>
          <w:szCs w:val="24"/>
        </w:rPr>
        <w:t>：</w:t>
      </w:r>
      <w:r>
        <w:rPr>
          <w:rFonts w:ascii="微軟正黑體" w:eastAsia="微軟正黑體" w:hAnsi="微軟正黑體" w:hint="eastAsia"/>
          <w:szCs w:val="24"/>
        </w:rPr>
        <w:t>工程招標之押金、保固保證金、承攬工程所需預付款、履約保證金、保留款保證金，由銀行簽發保證書授予保證</w:t>
      </w:r>
    </w:p>
    <w:p w:rsidR="00295E60" w:rsidRPr="000D3524" w:rsidRDefault="00295E60"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買方委託承兌</w:t>
      </w:r>
      <w:r w:rsidRPr="0088743D">
        <w:rPr>
          <w:rFonts w:ascii="微軟正黑體" w:eastAsia="微軟正黑體" w:hAnsi="微軟正黑體" w:hint="eastAsia"/>
          <w:szCs w:val="24"/>
        </w:rPr>
        <w:t>：</w:t>
      </w:r>
    </w:p>
    <w:p w:rsidR="000D3524" w:rsidRDefault="000D3524"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賣方委託承兌</w:t>
      </w:r>
      <w:r w:rsidRPr="0088743D">
        <w:rPr>
          <w:rFonts w:ascii="微軟正黑體" w:eastAsia="微軟正黑體" w:hAnsi="微軟正黑體" w:hint="eastAsia"/>
          <w:szCs w:val="24"/>
        </w:rPr>
        <w:t>：</w:t>
      </w:r>
    </w:p>
    <w:tbl>
      <w:tblPr>
        <w:tblStyle w:val="-4"/>
        <w:tblW w:w="0" w:type="auto"/>
        <w:tblInd w:w="675" w:type="dxa"/>
        <w:tblLook w:val="04A0" w:firstRow="1" w:lastRow="0" w:firstColumn="1" w:lastColumn="0" w:noHBand="0" w:noVBand="1"/>
      </w:tblPr>
      <w:tblGrid>
        <w:gridCol w:w="1418"/>
        <w:gridCol w:w="2986"/>
        <w:gridCol w:w="1975"/>
        <w:gridCol w:w="3431"/>
      </w:tblGrid>
      <w:tr w:rsidR="000D3524" w:rsidTr="000D3524">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Default="000D3524" w:rsidP="00C00D28">
            <w:pPr>
              <w:pStyle w:val="a3"/>
              <w:spacing w:line="400" w:lineRule="exact"/>
              <w:ind w:leftChars="0" w:left="0"/>
              <w:jc w:val="both"/>
              <w:rPr>
                <w:rFonts w:ascii="微軟正黑體" w:eastAsia="微軟正黑體" w:hAnsi="微軟正黑體"/>
              </w:rPr>
            </w:pPr>
          </w:p>
        </w:tc>
        <w:tc>
          <w:tcPr>
            <w:tcW w:w="2986" w:type="dxa"/>
            <w:tcBorders>
              <w:right w:val="single" w:sz="4" w:space="0" w:color="auto"/>
            </w:tcBorders>
          </w:tcPr>
          <w:p w:rsidR="000D3524"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銀行</w:t>
            </w:r>
          </w:p>
        </w:tc>
        <w:tc>
          <w:tcPr>
            <w:tcW w:w="1975" w:type="dxa"/>
            <w:tcBorders>
              <w:left w:val="single" w:sz="4" w:space="0" w:color="auto"/>
              <w:right w:val="single" w:sz="4" w:space="0" w:color="auto"/>
            </w:tcBorders>
          </w:tcPr>
          <w:p w:rsidR="000D3524" w:rsidRPr="000D3524"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sidRPr="000D3524">
              <w:rPr>
                <w:rFonts w:ascii="微軟正黑體" w:eastAsia="微軟正黑體" w:hAnsi="微軟正黑體" w:hint="eastAsia"/>
              </w:rPr>
              <w:t>買方</w:t>
            </w:r>
            <w:r>
              <w:rPr>
                <w:rFonts w:ascii="微軟正黑體" w:eastAsia="微軟正黑體" w:hAnsi="微軟正黑體" w:hint="eastAsia"/>
              </w:rPr>
              <w:t>獲得</w:t>
            </w:r>
          </w:p>
        </w:tc>
        <w:tc>
          <w:tcPr>
            <w:tcW w:w="3431" w:type="dxa"/>
            <w:tcBorders>
              <w:left w:val="single" w:sz="4" w:space="0" w:color="auto"/>
            </w:tcBorders>
          </w:tcPr>
          <w:p w:rsidR="000D3524"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賣方獲得</w:t>
            </w:r>
          </w:p>
        </w:tc>
      </w:tr>
      <w:tr w:rsidR="000D3524" w:rsidTr="000D352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Default="000D3524" w:rsidP="00C00D28">
            <w:pPr>
              <w:pStyle w:val="a3"/>
              <w:spacing w:line="400" w:lineRule="exact"/>
              <w:ind w:leftChars="0" w:left="0"/>
              <w:jc w:val="both"/>
              <w:rPr>
                <w:rFonts w:ascii="微軟正黑體" w:eastAsia="微軟正黑體" w:hAnsi="微軟正黑體"/>
              </w:rPr>
            </w:pPr>
            <w:r>
              <w:rPr>
                <w:rFonts w:ascii="微軟正黑體" w:eastAsia="微軟正黑體" w:hAnsi="微軟正黑體" w:hint="eastAsia"/>
                <w:szCs w:val="24"/>
              </w:rPr>
              <w:t>委託承兌</w:t>
            </w:r>
          </w:p>
        </w:tc>
        <w:tc>
          <w:tcPr>
            <w:tcW w:w="2986" w:type="dxa"/>
            <w:tcBorders>
              <w:right w:val="single" w:sz="4" w:space="0" w:color="auto"/>
            </w:tcBorders>
          </w:tcPr>
          <w:p w:rsidR="000D3524"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擔任匯票付款人而予承兌</w:t>
            </w:r>
          </w:p>
        </w:tc>
        <w:tc>
          <w:tcPr>
            <w:tcW w:w="1975" w:type="dxa"/>
            <w:tcBorders>
              <w:left w:val="single" w:sz="4" w:space="0" w:color="auto"/>
              <w:right w:val="single" w:sz="4" w:space="0" w:color="auto"/>
            </w:tcBorders>
          </w:tcPr>
          <w:p w:rsidR="000D3524"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得到賣方之信用</w:t>
            </w:r>
          </w:p>
        </w:tc>
        <w:tc>
          <w:tcPr>
            <w:tcW w:w="3431" w:type="dxa"/>
            <w:tcBorders>
              <w:left w:val="single" w:sz="4" w:space="0" w:color="auto"/>
            </w:tcBorders>
          </w:tcPr>
          <w:p w:rsidR="000D3524"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貨幣市場流通之銀行承兌匯票</w:t>
            </w:r>
          </w:p>
        </w:tc>
      </w:tr>
    </w:tbl>
    <w:p w:rsidR="009C5154" w:rsidRDefault="009C5154" w:rsidP="009115E3">
      <w:pPr>
        <w:pStyle w:val="a3"/>
        <w:numPr>
          <w:ilvl w:val="0"/>
          <w:numId w:val="11"/>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開發信用狀</w:t>
      </w:r>
      <w:r w:rsidRPr="0088743D">
        <w:rPr>
          <w:rFonts w:ascii="微軟正黑體" w:eastAsia="微軟正黑體" w:hAnsi="微軟正黑體" w:hint="eastAsia"/>
          <w:szCs w:val="24"/>
        </w:rPr>
        <w:t>：</w:t>
      </w:r>
    </w:p>
    <w:tbl>
      <w:tblPr>
        <w:tblStyle w:val="-4"/>
        <w:tblW w:w="0" w:type="auto"/>
        <w:tblInd w:w="675" w:type="dxa"/>
        <w:tblLook w:val="04A0" w:firstRow="1" w:lastRow="0" w:firstColumn="1" w:lastColumn="0" w:noHBand="0" w:noVBand="1"/>
      </w:tblPr>
      <w:tblGrid>
        <w:gridCol w:w="2078"/>
        <w:gridCol w:w="3870"/>
        <w:gridCol w:w="3872"/>
      </w:tblGrid>
      <w:tr w:rsidR="002865F4" w:rsidTr="002865F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Default="002865F4" w:rsidP="00C00D28">
            <w:pPr>
              <w:pStyle w:val="a3"/>
              <w:spacing w:line="400" w:lineRule="exact"/>
              <w:ind w:leftChars="0" w:left="0"/>
              <w:jc w:val="both"/>
              <w:rPr>
                <w:rFonts w:ascii="微軟正黑體" w:eastAsia="微軟正黑體" w:hAnsi="微軟正黑體"/>
              </w:rPr>
            </w:pPr>
          </w:p>
        </w:tc>
        <w:tc>
          <w:tcPr>
            <w:tcW w:w="3870" w:type="dxa"/>
          </w:tcPr>
          <w:p w:rsidR="002865F4"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買方</w:t>
            </w:r>
          </w:p>
        </w:tc>
        <w:tc>
          <w:tcPr>
            <w:tcW w:w="3872" w:type="dxa"/>
            <w:tcBorders>
              <w:right w:val="single" w:sz="4" w:space="0" w:color="auto"/>
            </w:tcBorders>
          </w:tcPr>
          <w:p w:rsidR="002865F4"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買方銀行</w:t>
            </w:r>
          </w:p>
        </w:tc>
      </w:tr>
      <w:tr w:rsidR="002865F4" w:rsidTr="002865F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Default="002865F4" w:rsidP="00C00D28">
            <w:pPr>
              <w:pStyle w:val="a3"/>
              <w:spacing w:line="400" w:lineRule="exact"/>
              <w:ind w:leftChars="0" w:left="0"/>
              <w:jc w:val="both"/>
              <w:rPr>
                <w:rFonts w:ascii="微軟正黑體" w:eastAsia="微軟正黑體" w:hAnsi="微軟正黑體"/>
              </w:rPr>
            </w:pPr>
            <w:r>
              <w:rPr>
                <w:rFonts w:ascii="微軟正黑體" w:eastAsia="微軟正黑體" w:hAnsi="微軟正黑體" w:hint="eastAsia"/>
                <w:szCs w:val="24"/>
              </w:rPr>
              <w:t>信用狀</w:t>
            </w:r>
          </w:p>
        </w:tc>
        <w:tc>
          <w:tcPr>
            <w:tcW w:w="3870" w:type="dxa"/>
          </w:tcPr>
          <w:p w:rsidR="002865F4"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委託銀行簽信用狀，後通知賣方，開發一定金額之匯票或其他憑證，並由銀行負責承兌或付款</w:t>
            </w:r>
          </w:p>
        </w:tc>
        <w:tc>
          <w:tcPr>
            <w:tcW w:w="3872" w:type="dxa"/>
            <w:tcBorders>
              <w:right w:val="single" w:sz="4" w:space="0" w:color="auto"/>
            </w:tcBorders>
          </w:tcPr>
          <w:p w:rsidR="002865F4"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墊付貸款人之資金需求</w:t>
            </w:r>
          </w:p>
        </w:tc>
      </w:tr>
    </w:tbl>
    <w:p w:rsidR="00940F65" w:rsidRPr="00940F65" w:rsidRDefault="00940F65" w:rsidP="00C00D28">
      <w:pPr>
        <w:spacing w:line="440" w:lineRule="exact"/>
        <w:jc w:val="both"/>
        <w:rPr>
          <w:rFonts w:ascii="微軟正黑體" w:eastAsia="微軟正黑體" w:hAnsi="微軟正黑體"/>
          <w:sz w:val="28"/>
          <w:szCs w:val="28"/>
        </w:rPr>
      </w:pPr>
    </w:p>
    <w:p w:rsidR="00F15223" w:rsidRPr="00940F65" w:rsidRDefault="0087168F" w:rsidP="009115E3">
      <w:pPr>
        <w:pStyle w:val="a3"/>
        <w:numPr>
          <w:ilvl w:val="0"/>
          <w:numId w:val="1"/>
        </w:numPr>
        <w:spacing w:line="440" w:lineRule="exact"/>
        <w:ind w:leftChars="0"/>
        <w:jc w:val="both"/>
        <w:rPr>
          <w:rFonts w:ascii="微軟正黑體" w:eastAsia="微軟正黑體" w:hAnsi="微軟正黑體"/>
          <w:sz w:val="28"/>
          <w:szCs w:val="28"/>
        </w:rPr>
      </w:pPr>
      <w:r>
        <w:rPr>
          <w:rFonts w:ascii="微軟正黑體" w:eastAsia="微軟正黑體" w:hAnsi="微軟正黑體" w:hint="eastAsia"/>
          <w:sz w:val="28"/>
          <w:szCs w:val="28"/>
        </w:rPr>
        <w:t>各類授信須明瞭事項</w:t>
      </w:r>
    </w:p>
    <w:p w:rsidR="00F15223" w:rsidRDefault="00940F65"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rPr>
        <w:t>一般營運金與買方委託承兌</w:t>
      </w:r>
      <w:r w:rsidRPr="0088743D">
        <w:rPr>
          <w:rFonts w:ascii="微軟正黑體" w:eastAsia="微軟正黑體" w:hAnsi="微軟正黑體" w:hint="eastAsia"/>
          <w:szCs w:val="24"/>
        </w:rPr>
        <w:t>：</w:t>
      </w:r>
    </w:p>
    <w:p w:rsidR="002865F4" w:rsidRDefault="0087168F" w:rsidP="00C00D28">
      <w:pPr>
        <w:spacing w:line="400" w:lineRule="exact"/>
        <w:ind w:left="482"/>
        <w:jc w:val="both"/>
        <w:rPr>
          <w:rFonts w:ascii="微軟正黑體" w:eastAsia="微軟正黑體" w:hAnsi="微軟正黑體"/>
        </w:rPr>
      </w:pPr>
      <w:r>
        <w:rPr>
          <w:rFonts w:ascii="微軟正黑體" w:eastAsia="微軟正黑體" w:hAnsi="微軟正黑體" w:hint="eastAsia"/>
        </w:rPr>
        <w:t>必須了解借款人之</w:t>
      </w:r>
      <w:proofErr w:type="gramStart"/>
      <w:r>
        <w:rPr>
          <w:rFonts w:ascii="微軟正黑體" w:eastAsia="微軟正黑體" w:hAnsi="微軟正黑體" w:hint="eastAsia"/>
        </w:rPr>
        <w:t>業務信質</w:t>
      </w:r>
      <w:proofErr w:type="gramEnd"/>
      <w:r>
        <w:rPr>
          <w:rFonts w:ascii="微軟正黑體" w:eastAsia="微軟正黑體" w:hAnsi="微軟正黑體" w:hint="eastAsia"/>
        </w:rPr>
        <w:t>，產</w:t>
      </w:r>
      <w:r w:rsidR="00071DB8">
        <w:rPr>
          <w:rFonts w:ascii="微軟正黑體" w:eastAsia="微軟正黑體" w:hAnsi="微軟正黑體" w:hint="eastAsia"/>
        </w:rPr>
        <w:t>銷近況</w:t>
      </w:r>
      <w:r>
        <w:rPr>
          <w:rFonts w:ascii="微軟正黑體" w:eastAsia="微軟正黑體" w:hAnsi="微軟正黑體" w:hint="eastAsia"/>
        </w:rPr>
        <w:t>、業務近況，積極面可以切</w:t>
      </w:r>
      <w:r w:rsidR="00071DB8">
        <w:rPr>
          <w:rFonts w:ascii="微軟正黑體" w:eastAsia="微軟正黑體" w:hAnsi="微軟正黑體" w:hint="eastAsia"/>
        </w:rPr>
        <w:t>合</w:t>
      </w:r>
      <w:r>
        <w:rPr>
          <w:rFonts w:ascii="微軟正黑體" w:eastAsia="微軟正黑體" w:hAnsi="微軟正黑體" w:hint="eastAsia"/>
        </w:rPr>
        <w:t>借款人資金需求，消極面可以避免重複融資</w:t>
      </w:r>
    </w:p>
    <w:p w:rsidR="002865F4" w:rsidRPr="0087168F" w:rsidRDefault="0087168F"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rPr>
        <w:t>貼現、賣方委託承兌</w:t>
      </w:r>
      <w:r w:rsidRPr="0088743D">
        <w:rPr>
          <w:rFonts w:ascii="微軟正黑體" w:eastAsia="微軟正黑體" w:hAnsi="微軟正黑體" w:hint="eastAsia"/>
          <w:szCs w:val="24"/>
        </w:rPr>
        <w:t>：</w:t>
      </w:r>
    </w:p>
    <w:p w:rsidR="0087168F" w:rsidRDefault="0087168F" w:rsidP="00C00D28">
      <w:pPr>
        <w:spacing w:line="400" w:lineRule="exact"/>
        <w:ind w:left="480"/>
        <w:jc w:val="both"/>
        <w:rPr>
          <w:rFonts w:ascii="微軟正黑體" w:eastAsia="微軟正黑體" w:hAnsi="微軟正黑體"/>
        </w:rPr>
      </w:pPr>
      <w:r>
        <w:rPr>
          <w:rFonts w:ascii="微軟正黑體" w:eastAsia="微軟正黑體" w:hAnsi="微軟正黑體" w:hint="eastAsia"/>
        </w:rPr>
        <w:t>必須了解借款人之產銷狀況、</w:t>
      </w:r>
      <w:proofErr w:type="gramStart"/>
      <w:r>
        <w:rPr>
          <w:rFonts w:ascii="微軟正黑體" w:eastAsia="微軟正黑體" w:hAnsi="微軟正黑體" w:hint="eastAsia"/>
        </w:rPr>
        <w:t>賒餘金額</w:t>
      </w:r>
      <w:proofErr w:type="gramEnd"/>
      <w:r>
        <w:rPr>
          <w:rFonts w:ascii="微軟正黑體" w:eastAsia="微軟正黑體" w:hAnsi="微軟正黑體" w:hint="eastAsia"/>
        </w:rPr>
        <w:t>、賒欠天數、信用狀況，票據是否依交易產生，票據到期時是否可以順利兌付</w:t>
      </w:r>
    </w:p>
    <w:p w:rsidR="0087168F" w:rsidRDefault="0087168F"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rPr>
        <w:t>墊付國內外應收款項</w:t>
      </w:r>
      <w:r w:rsidRPr="0088743D">
        <w:rPr>
          <w:rFonts w:ascii="微軟正黑體" w:eastAsia="微軟正黑體" w:hAnsi="微軟正黑體" w:hint="eastAsia"/>
          <w:szCs w:val="24"/>
        </w:rPr>
        <w:t>：</w:t>
      </w:r>
    </w:p>
    <w:p w:rsidR="0087168F" w:rsidRDefault="0087168F" w:rsidP="00C00D28">
      <w:pPr>
        <w:spacing w:line="400" w:lineRule="exact"/>
        <w:ind w:left="480"/>
        <w:jc w:val="both"/>
        <w:rPr>
          <w:rFonts w:ascii="微軟正黑體" w:eastAsia="微軟正黑體" w:hAnsi="微軟正黑體"/>
        </w:rPr>
      </w:pPr>
      <w:r>
        <w:rPr>
          <w:rFonts w:ascii="微軟正黑體" w:eastAsia="微軟正黑體" w:hAnsi="微軟正黑體" w:hint="eastAsia"/>
        </w:rPr>
        <w:t>必須了解借款人產銷狀況、賒銷金額、賒欠天數、信</w:t>
      </w:r>
      <w:r w:rsidR="00071DB8">
        <w:rPr>
          <w:rFonts w:ascii="微軟正黑體" w:eastAsia="微軟正黑體" w:hAnsi="微軟正黑體" w:hint="eastAsia"/>
        </w:rPr>
        <w:t>用</w:t>
      </w:r>
      <w:r>
        <w:rPr>
          <w:rFonts w:ascii="微軟正黑體" w:eastAsia="微軟正黑體" w:hAnsi="微軟正黑體" w:hint="eastAsia"/>
        </w:rPr>
        <w:t>狀況，貸款到期是否可以順利收回</w:t>
      </w:r>
    </w:p>
    <w:p w:rsidR="0087168F" w:rsidRPr="00071DB8" w:rsidRDefault="00071DB8"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rPr>
        <w:t>透支</w:t>
      </w:r>
      <w:r w:rsidRPr="0088743D">
        <w:rPr>
          <w:rFonts w:ascii="微軟正黑體" w:eastAsia="微軟正黑體" w:hAnsi="微軟正黑體" w:hint="eastAsia"/>
          <w:szCs w:val="24"/>
        </w:rPr>
        <w:t>：</w:t>
      </w:r>
    </w:p>
    <w:p w:rsidR="00071DB8" w:rsidRDefault="00071DB8" w:rsidP="00C00D28">
      <w:pPr>
        <w:pStyle w:val="a3"/>
        <w:spacing w:line="400" w:lineRule="exact"/>
        <w:ind w:leftChars="0"/>
        <w:jc w:val="both"/>
        <w:rPr>
          <w:rFonts w:ascii="微軟正黑體" w:eastAsia="微軟正黑體" w:hAnsi="微軟正黑體"/>
        </w:rPr>
      </w:pPr>
      <w:r>
        <w:rPr>
          <w:rFonts w:ascii="微軟正黑體" w:eastAsia="微軟正黑體" w:hAnsi="微軟正黑體" w:hint="eastAsia"/>
          <w:szCs w:val="24"/>
        </w:rPr>
        <w:t>專為業務財務良好與商業自律精神之借貸者進行資金調度</w:t>
      </w:r>
    </w:p>
    <w:p w:rsidR="0087168F" w:rsidRPr="00071DB8" w:rsidRDefault="00071DB8"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rPr>
        <w:t>出口押匯</w:t>
      </w:r>
      <w:r w:rsidRPr="0088743D">
        <w:rPr>
          <w:rFonts w:ascii="微軟正黑體" w:eastAsia="微軟正黑體" w:hAnsi="微軟正黑體" w:hint="eastAsia"/>
          <w:szCs w:val="24"/>
        </w:rPr>
        <w:t>：</w:t>
      </w:r>
    </w:p>
    <w:p w:rsidR="00071DB8" w:rsidRPr="00071DB8" w:rsidRDefault="00071DB8" w:rsidP="00C00D28">
      <w:pPr>
        <w:pStyle w:val="a3"/>
        <w:spacing w:line="400" w:lineRule="exact"/>
        <w:ind w:leftChars="0"/>
        <w:jc w:val="both"/>
        <w:rPr>
          <w:rFonts w:ascii="微軟正黑體" w:eastAsia="微軟正黑體" w:hAnsi="微軟正黑體"/>
        </w:rPr>
      </w:pPr>
      <w:r>
        <w:rPr>
          <w:rFonts w:ascii="微軟正黑體" w:eastAsia="微軟正黑體" w:hAnsi="微軟正黑體" w:hint="eastAsia"/>
        </w:rPr>
        <w:t>必須了解借款人之外銷狀況，外銷地區情報、信用狀開狀銀行</w:t>
      </w:r>
      <w:proofErr w:type="gramStart"/>
      <w:r>
        <w:rPr>
          <w:rFonts w:ascii="微軟正黑體" w:eastAsia="微軟正黑體" w:hAnsi="微軟正黑體" w:hint="eastAsia"/>
        </w:rPr>
        <w:t>或保兌銀行</w:t>
      </w:r>
      <w:proofErr w:type="gramEnd"/>
      <w:r>
        <w:rPr>
          <w:rFonts w:ascii="微軟正黑體" w:eastAsia="微軟正黑體" w:hAnsi="微軟正黑體" w:hint="eastAsia"/>
        </w:rPr>
        <w:t>之信用地位</w:t>
      </w:r>
    </w:p>
    <w:p w:rsidR="00071DB8" w:rsidRPr="00071DB8" w:rsidRDefault="00071DB8" w:rsidP="009115E3">
      <w:pPr>
        <w:pStyle w:val="a3"/>
        <w:numPr>
          <w:ilvl w:val="0"/>
          <w:numId w:val="17"/>
        </w:numPr>
        <w:spacing w:line="400" w:lineRule="exact"/>
        <w:ind w:leftChars="0"/>
        <w:jc w:val="both"/>
        <w:rPr>
          <w:rFonts w:ascii="微軟正黑體" w:eastAsia="微軟正黑體" w:hAnsi="微軟正黑體"/>
        </w:rPr>
      </w:pPr>
      <w:r>
        <w:rPr>
          <w:rFonts w:ascii="微軟正黑體" w:eastAsia="微軟正黑體" w:hAnsi="微軟正黑體" w:hint="eastAsia"/>
          <w:szCs w:val="24"/>
        </w:rPr>
        <w:t>進口押匯、開發國內外信用狀</w:t>
      </w:r>
      <w:r w:rsidRPr="0088743D">
        <w:rPr>
          <w:rFonts w:ascii="微軟正黑體" w:eastAsia="微軟正黑體" w:hAnsi="微軟正黑體" w:hint="eastAsia"/>
          <w:szCs w:val="24"/>
        </w:rPr>
        <w:t>：</w:t>
      </w:r>
    </w:p>
    <w:p w:rsidR="00071DB8" w:rsidRDefault="00071DB8" w:rsidP="00C00D28">
      <w:pPr>
        <w:pStyle w:val="a3"/>
        <w:spacing w:line="400" w:lineRule="exact"/>
        <w:ind w:leftChars="0"/>
        <w:jc w:val="both"/>
        <w:rPr>
          <w:rFonts w:ascii="微軟正黑體" w:eastAsia="微軟正黑體" w:hAnsi="微軟正黑體"/>
        </w:rPr>
      </w:pPr>
      <w:r>
        <w:rPr>
          <w:rFonts w:ascii="微軟正黑體" w:eastAsia="微軟正黑體" w:hAnsi="微軟正黑體" w:hint="eastAsia"/>
          <w:szCs w:val="24"/>
        </w:rPr>
        <w:t>借款人之</w:t>
      </w:r>
      <w:proofErr w:type="gramStart"/>
      <w:r>
        <w:rPr>
          <w:rFonts w:ascii="微軟正黑體" w:eastAsia="微軟正黑體" w:hAnsi="微軟正黑體" w:hint="eastAsia"/>
          <w:szCs w:val="24"/>
        </w:rPr>
        <w:t>業務信質</w:t>
      </w:r>
      <w:proofErr w:type="gramEnd"/>
      <w:r>
        <w:rPr>
          <w:rFonts w:ascii="微軟正黑體" w:eastAsia="微軟正黑體" w:hAnsi="微軟正黑體" w:hint="eastAsia"/>
          <w:szCs w:val="24"/>
        </w:rPr>
        <w:t>，業務及財務狀況、進貨、存貨狀況，</w:t>
      </w:r>
      <w:proofErr w:type="gramStart"/>
      <w:r>
        <w:rPr>
          <w:rFonts w:ascii="微軟正黑體" w:eastAsia="微軟正黑體" w:hAnsi="微軟正黑體" w:hint="eastAsia"/>
          <w:szCs w:val="24"/>
        </w:rPr>
        <w:t>是否被款贖</w:t>
      </w:r>
      <w:proofErr w:type="gramEnd"/>
      <w:r>
        <w:rPr>
          <w:rFonts w:ascii="微軟正黑體" w:eastAsia="微軟正黑體" w:hAnsi="微軟正黑體" w:hint="eastAsia"/>
          <w:szCs w:val="24"/>
        </w:rPr>
        <w:t>單</w:t>
      </w:r>
    </w:p>
    <w:p w:rsidR="00071DB8" w:rsidRDefault="00071DB8" w:rsidP="00C00D28">
      <w:pPr>
        <w:spacing w:line="400" w:lineRule="exact"/>
        <w:jc w:val="both"/>
        <w:rPr>
          <w:rFonts w:ascii="微軟正黑體" w:eastAsia="微軟正黑體" w:hAnsi="微軟正黑體"/>
        </w:rPr>
      </w:pPr>
    </w:p>
    <w:p w:rsidR="00071DB8" w:rsidRPr="00392593" w:rsidRDefault="00392593" w:rsidP="009115E3">
      <w:pPr>
        <w:pStyle w:val="a3"/>
        <w:numPr>
          <w:ilvl w:val="0"/>
          <w:numId w:val="1"/>
        </w:numPr>
        <w:spacing w:line="440" w:lineRule="exact"/>
        <w:ind w:leftChars="0"/>
        <w:jc w:val="both"/>
        <w:rPr>
          <w:rFonts w:ascii="微軟正黑體" w:eastAsia="微軟正黑體" w:hAnsi="微軟正黑體"/>
          <w:sz w:val="28"/>
          <w:szCs w:val="28"/>
        </w:rPr>
      </w:pPr>
      <w:r w:rsidRPr="00392593">
        <w:rPr>
          <w:rFonts w:ascii="微軟正黑體" w:eastAsia="微軟正黑體" w:hAnsi="微軟正黑體" w:hint="eastAsia"/>
          <w:sz w:val="28"/>
          <w:szCs w:val="28"/>
        </w:rPr>
        <w:t>授信限制</w:t>
      </w:r>
    </w:p>
    <w:p w:rsidR="0087168F" w:rsidRDefault="00392593" w:rsidP="009115E3">
      <w:pPr>
        <w:pStyle w:val="a3"/>
        <w:numPr>
          <w:ilvl w:val="0"/>
          <w:numId w:val="18"/>
        </w:numPr>
        <w:spacing w:line="400" w:lineRule="exact"/>
        <w:ind w:leftChars="0"/>
        <w:jc w:val="both"/>
        <w:rPr>
          <w:rFonts w:ascii="微軟正黑體" w:eastAsia="微軟正黑體" w:hAnsi="微軟正黑體"/>
        </w:rPr>
      </w:pPr>
      <w:r>
        <w:rPr>
          <w:rFonts w:ascii="微軟正黑體" w:eastAsia="微軟正黑體" w:hAnsi="微軟正黑體" w:hint="eastAsia"/>
        </w:rPr>
        <w:t>無擔保授信</w:t>
      </w:r>
    </w:p>
    <w:p w:rsidR="00392593" w:rsidRDefault="00392593" w:rsidP="009115E3">
      <w:pPr>
        <w:pStyle w:val="a3"/>
        <w:numPr>
          <w:ilvl w:val="0"/>
          <w:numId w:val="19"/>
        </w:numPr>
        <w:spacing w:line="400" w:lineRule="exact"/>
        <w:ind w:leftChars="0"/>
        <w:jc w:val="both"/>
        <w:rPr>
          <w:rFonts w:ascii="微軟正黑體" w:eastAsia="微軟正黑體" w:hAnsi="微軟正黑體"/>
        </w:rPr>
      </w:pPr>
      <w:r>
        <w:rPr>
          <w:rFonts w:ascii="微軟正黑體" w:eastAsia="微軟正黑體" w:hAnsi="微軟正黑體" w:hint="eastAsia"/>
        </w:rPr>
        <w:t>限制</w:t>
      </w:r>
    </w:p>
    <w:p w:rsidR="00392593" w:rsidRDefault="00392593" w:rsidP="009115E3">
      <w:pPr>
        <w:pStyle w:val="a3"/>
        <w:numPr>
          <w:ilvl w:val="0"/>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t>不得對於</w:t>
      </w:r>
      <w:r w:rsidRPr="00392593">
        <w:rPr>
          <w:rFonts w:ascii="微軟正黑體" w:eastAsia="微軟正黑體" w:hAnsi="微軟正黑體" w:hint="eastAsia"/>
          <w:shd w:val="clear" w:color="auto" w:fill="FFFF00"/>
        </w:rPr>
        <w:t>實收資本總額</w:t>
      </w:r>
      <w:r w:rsidR="001973AF">
        <w:rPr>
          <w:rFonts w:ascii="微軟正黑體" w:eastAsia="微軟正黑體" w:hAnsi="微軟正黑體" w:hint="eastAsia"/>
          <w:shd w:val="clear" w:color="auto" w:fill="FFFF00"/>
        </w:rPr>
        <w:t>3%</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w:t>
      </w:r>
    </w:p>
    <w:p w:rsidR="00392593" w:rsidRDefault="00392593" w:rsidP="009115E3">
      <w:pPr>
        <w:pStyle w:val="a3"/>
        <w:numPr>
          <w:ilvl w:val="1"/>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t>本行之負責人、職員、主要股東</w:t>
      </w:r>
    </w:p>
    <w:p w:rsidR="00392593" w:rsidRDefault="00392593" w:rsidP="009115E3">
      <w:pPr>
        <w:pStyle w:val="a3"/>
        <w:numPr>
          <w:ilvl w:val="1"/>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t>利害關係者</w:t>
      </w:r>
    </w:p>
    <w:p w:rsidR="00392593" w:rsidRDefault="00392593" w:rsidP="009115E3">
      <w:pPr>
        <w:pStyle w:val="a3"/>
        <w:numPr>
          <w:ilvl w:val="1"/>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t>消費者貸款與政府貸款不在此限</w:t>
      </w:r>
    </w:p>
    <w:p w:rsidR="00392593" w:rsidRDefault="00392593" w:rsidP="009115E3">
      <w:pPr>
        <w:pStyle w:val="a3"/>
        <w:numPr>
          <w:ilvl w:val="0"/>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lastRenderedPageBreak/>
        <w:t>不得對於交互對其往來銀行負責人、主要股東，或該負責人之企業</w:t>
      </w:r>
    </w:p>
    <w:p w:rsidR="00392593" w:rsidRDefault="00392593" w:rsidP="009115E3">
      <w:pPr>
        <w:pStyle w:val="a3"/>
        <w:numPr>
          <w:ilvl w:val="0"/>
          <w:numId w:val="20"/>
        </w:numPr>
        <w:spacing w:line="400" w:lineRule="exact"/>
        <w:ind w:leftChars="0"/>
        <w:jc w:val="both"/>
        <w:rPr>
          <w:rFonts w:ascii="微軟正黑體" w:eastAsia="微軟正黑體" w:hAnsi="微軟正黑體"/>
        </w:rPr>
      </w:pPr>
      <w:r>
        <w:rPr>
          <w:rFonts w:ascii="微軟正黑體" w:eastAsia="微軟正黑體" w:hAnsi="微軟正黑體" w:hint="eastAsia"/>
        </w:rPr>
        <w:t>金融資產證券化之創始機構</w:t>
      </w:r>
    </w:p>
    <w:p w:rsidR="00392593" w:rsidRDefault="00392593" w:rsidP="009115E3">
      <w:pPr>
        <w:pStyle w:val="a3"/>
        <w:numPr>
          <w:ilvl w:val="0"/>
          <w:numId w:val="19"/>
        </w:numPr>
        <w:spacing w:line="400" w:lineRule="exact"/>
        <w:ind w:leftChars="0"/>
        <w:jc w:val="both"/>
        <w:rPr>
          <w:rFonts w:ascii="微軟正黑體" w:eastAsia="微軟正黑體" w:hAnsi="微軟正黑體"/>
        </w:rPr>
      </w:pPr>
      <w:r>
        <w:rPr>
          <w:rFonts w:ascii="微軟正黑體" w:eastAsia="微軟正黑體" w:hAnsi="微軟正黑體" w:hint="eastAsia"/>
        </w:rPr>
        <w:t>主要股東</w:t>
      </w:r>
    </w:p>
    <w:p w:rsidR="00392593" w:rsidRPr="00392593" w:rsidRDefault="00392593" w:rsidP="009115E3">
      <w:pPr>
        <w:pStyle w:val="a3"/>
        <w:numPr>
          <w:ilvl w:val="0"/>
          <w:numId w:val="21"/>
        </w:numPr>
        <w:spacing w:line="400" w:lineRule="exact"/>
        <w:ind w:leftChars="0"/>
        <w:jc w:val="both"/>
        <w:rPr>
          <w:rFonts w:ascii="微軟正黑體" w:eastAsia="微軟正黑體" w:hAnsi="微軟正黑體"/>
        </w:rPr>
      </w:pPr>
      <w:r>
        <w:rPr>
          <w:rFonts w:ascii="微軟正黑體" w:eastAsia="微軟正黑體" w:hAnsi="微軟正黑體" w:hint="eastAsia"/>
        </w:rPr>
        <w:t>銀行發行股票總數</w:t>
      </w:r>
      <w:r>
        <w:rPr>
          <w:rFonts w:ascii="微軟正黑體" w:eastAsia="微軟正黑體" w:hAnsi="微軟正黑體" w:hint="eastAsia"/>
          <w:shd w:val="clear" w:color="auto" w:fill="FFFF00"/>
        </w:rPr>
        <w:t>1%</w:t>
      </w:r>
      <w:r w:rsidRPr="00392593">
        <w:rPr>
          <w:rFonts w:ascii="微軟正黑體" w:eastAsia="微軟正黑體" w:hAnsi="微軟正黑體" w:hint="eastAsia"/>
          <w:shd w:val="clear" w:color="auto" w:fill="FFFFFF" w:themeFill="background1"/>
        </w:rPr>
        <w:t>以上</w:t>
      </w:r>
    </w:p>
    <w:p w:rsidR="00392593" w:rsidRDefault="00392593" w:rsidP="009115E3">
      <w:pPr>
        <w:pStyle w:val="a3"/>
        <w:numPr>
          <w:ilvl w:val="0"/>
          <w:numId w:val="21"/>
        </w:numPr>
        <w:spacing w:line="400" w:lineRule="exact"/>
        <w:ind w:leftChars="0"/>
        <w:jc w:val="both"/>
        <w:rPr>
          <w:rFonts w:ascii="微軟正黑體" w:eastAsia="微軟正黑體" w:hAnsi="微軟正黑體"/>
        </w:rPr>
      </w:pPr>
      <w:r>
        <w:rPr>
          <w:rFonts w:ascii="微軟正黑體" w:eastAsia="微軟正黑體" w:hAnsi="微軟正黑體" w:hint="eastAsia"/>
        </w:rPr>
        <w:t>若股東為自然人，其配偶與未成年子女或二等親之持股應該計入本人支持股</w:t>
      </w:r>
    </w:p>
    <w:p w:rsidR="00392593" w:rsidRDefault="00392593" w:rsidP="009115E3">
      <w:pPr>
        <w:pStyle w:val="a3"/>
        <w:numPr>
          <w:ilvl w:val="0"/>
          <w:numId w:val="19"/>
        </w:numPr>
        <w:spacing w:line="400" w:lineRule="exact"/>
        <w:ind w:leftChars="0"/>
        <w:jc w:val="both"/>
        <w:rPr>
          <w:rFonts w:ascii="微軟正黑體" w:eastAsia="微軟正黑體" w:hAnsi="微軟正黑體"/>
        </w:rPr>
      </w:pPr>
      <w:r>
        <w:rPr>
          <w:rFonts w:ascii="微軟正黑體" w:eastAsia="微軟正黑體" w:hAnsi="微軟正黑體" w:hint="eastAsia"/>
        </w:rPr>
        <w:t>利害關係人</w:t>
      </w:r>
    </w:p>
    <w:p w:rsidR="00392593" w:rsidRDefault="00392593" w:rsidP="009115E3">
      <w:pPr>
        <w:pStyle w:val="a3"/>
        <w:numPr>
          <w:ilvl w:val="0"/>
          <w:numId w:val="22"/>
        </w:numPr>
        <w:spacing w:line="400" w:lineRule="exact"/>
        <w:ind w:leftChars="0"/>
        <w:jc w:val="both"/>
        <w:rPr>
          <w:rFonts w:ascii="微軟正黑體" w:eastAsia="微軟正黑體" w:hAnsi="微軟正黑體"/>
        </w:rPr>
      </w:pPr>
      <w:r>
        <w:rPr>
          <w:rFonts w:ascii="微軟正黑體" w:eastAsia="微軟正黑體" w:hAnsi="微軟正黑體" w:hint="eastAsia"/>
        </w:rPr>
        <w:t>銀行負責人、辦理授信職員之配偶、三等親以內之血親、二等親以內之姻親</w:t>
      </w:r>
    </w:p>
    <w:p w:rsidR="00392593" w:rsidRDefault="00392593" w:rsidP="009115E3">
      <w:pPr>
        <w:pStyle w:val="a3"/>
        <w:numPr>
          <w:ilvl w:val="0"/>
          <w:numId w:val="22"/>
        </w:numPr>
        <w:spacing w:line="400" w:lineRule="exact"/>
        <w:ind w:leftChars="0"/>
        <w:jc w:val="both"/>
        <w:rPr>
          <w:rFonts w:ascii="微軟正黑體" w:eastAsia="微軟正黑體" w:hAnsi="微軟正黑體"/>
        </w:rPr>
      </w:pPr>
      <w:r>
        <w:rPr>
          <w:rFonts w:ascii="微軟正黑體" w:eastAsia="微軟正黑體" w:hAnsi="微軟正黑體" w:hint="eastAsia"/>
        </w:rPr>
        <w:t>銀行負責人、辦理授信職員或1.之獨資、合夥經營之事業</w:t>
      </w:r>
    </w:p>
    <w:p w:rsidR="00392593" w:rsidRDefault="00392593" w:rsidP="009115E3">
      <w:pPr>
        <w:pStyle w:val="a3"/>
        <w:numPr>
          <w:ilvl w:val="0"/>
          <w:numId w:val="22"/>
        </w:numPr>
        <w:spacing w:line="400" w:lineRule="exact"/>
        <w:ind w:leftChars="0"/>
        <w:jc w:val="both"/>
        <w:rPr>
          <w:rFonts w:ascii="微軟正黑體" w:eastAsia="微軟正黑體" w:hAnsi="微軟正黑體"/>
        </w:rPr>
      </w:pPr>
      <w:r>
        <w:rPr>
          <w:rFonts w:ascii="微軟正黑體" w:eastAsia="微軟正黑體" w:hAnsi="微軟正黑體" w:hint="eastAsia"/>
        </w:rPr>
        <w:t>銀行負責人</w:t>
      </w:r>
      <w:r w:rsidR="00C00D28">
        <w:rPr>
          <w:rFonts w:ascii="微軟正黑體" w:eastAsia="微軟正黑體" w:hAnsi="微軟正黑體" w:hint="eastAsia"/>
        </w:rPr>
        <w:t>、</w:t>
      </w:r>
      <w:r>
        <w:rPr>
          <w:rFonts w:ascii="微軟正黑體" w:eastAsia="微軟正黑體" w:hAnsi="微軟正黑體" w:hint="eastAsia"/>
        </w:rPr>
        <w:t>辦理授信職員或1.單獨或合計持有超過公司發行股票總數或</w:t>
      </w:r>
      <w:r w:rsidRPr="00392593">
        <w:rPr>
          <w:rFonts w:ascii="微軟正黑體" w:eastAsia="微軟正黑體" w:hAnsi="微軟正黑體" w:hint="eastAsia"/>
          <w:shd w:val="clear" w:color="auto" w:fill="FFFF00"/>
        </w:rPr>
        <w:t>資本總額10%</w:t>
      </w:r>
      <w:r>
        <w:rPr>
          <w:rFonts w:ascii="微軟正黑體" w:eastAsia="微軟正黑體" w:hAnsi="微軟正黑體" w:hint="eastAsia"/>
        </w:rPr>
        <w:t>之企業</w:t>
      </w:r>
    </w:p>
    <w:p w:rsidR="00C00D28" w:rsidRDefault="00C00D28" w:rsidP="009115E3">
      <w:pPr>
        <w:pStyle w:val="a3"/>
        <w:numPr>
          <w:ilvl w:val="0"/>
          <w:numId w:val="22"/>
        </w:numPr>
        <w:spacing w:line="400" w:lineRule="exact"/>
        <w:ind w:leftChars="0"/>
        <w:jc w:val="both"/>
        <w:rPr>
          <w:rFonts w:ascii="微軟正黑體" w:eastAsia="微軟正黑體" w:hAnsi="微軟正黑體"/>
        </w:rPr>
      </w:pPr>
      <w:r>
        <w:rPr>
          <w:rFonts w:ascii="微軟正黑體" w:eastAsia="微軟正黑體" w:hAnsi="微軟正黑體" w:hint="eastAsia"/>
        </w:rPr>
        <w:t>銀行負責人、辦理授信職員或1.為董事、監察人或經理人之企業，若為投資關係，經主觀機關核准而兼任不在此限</w:t>
      </w:r>
    </w:p>
    <w:p w:rsidR="00C00D28" w:rsidRDefault="00C00D28" w:rsidP="009115E3">
      <w:pPr>
        <w:pStyle w:val="a3"/>
        <w:numPr>
          <w:ilvl w:val="0"/>
          <w:numId w:val="22"/>
        </w:numPr>
        <w:spacing w:line="400" w:lineRule="exact"/>
        <w:ind w:leftChars="0"/>
        <w:jc w:val="both"/>
        <w:rPr>
          <w:rFonts w:ascii="微軟正黑體" w:eastAsia="微軟正黑體" w:hAnsi="微軟正黑體"/>
        </w:rPr>
      </w:pPr>
      <w:r>
        <w:rPr>
          <w:rFonts w:ascii="微軟正黑體" w:eastAsia="微軟正黑體" w:hAnsi="微軟正黑體" w:hint="eastAsia"/>
        </w:rPr>
        <w:t>銀行負責人、辦理授信職員或1.為代表、管理人之法人或團體</w:t>
      </w:r>
    </w:p>
    <w:p w:rsidR="00392593" w:rsidRDefault="00392593" w:rsidP="009115E3">
      <w:pPr>
        <w:pStyle w:val="a3"/>
        <w:numPr>
          <w:ilvl w:val="0"/>
          <w:numId w:val="18"/>
        </w:numPr>
        <w:spacing w:line="400" w:lineRule="exact"/>
        <w:ind w:leftChars="0"/>
        <w:jc w:val="both"/>
        <w:rPr>
          <w:rFonts w:ascii="微軟正黑體" w:eastAsia="微軟正黑體" w:hAnsi="微軟正黑體"/>
        </w:rPr>
      </w:pPr>
      <w:r>
        <w:rPr>
          <w:rFonts w:ascii="微軟正黑體" w:eastAsia="微軟正黑體" w:hAnsi="微軟正黑體" w:hint="eastAsia"/>
        </w:rPr>
        <w:t>消費者授信</w:t>
      </w:r>
      <w:r w:rsidR="00C00D28">
        <w:rPr>
          <w:rFonts w:ascii="微軟正黑體" w:eastAsia="微軟正黑體" w:hAnsi="微軟正黑體" w:hint="eastAsia"/>
        </w:rPr>
        <w:t>及自住宅放款</w:t>
      </w:r>
    </w:p>
    <w:p w:rsidR="00C00D28" w:rsidRDefault="00C00D28" w:rsidP="009115E3">
      <w:pPr>
        <w:pStyle w:val="a3"/>
        <w:numPr>
          <w:ilvl w:val="0"/>
          <w:numId w:val="23"/>
        </w:numPr>
        <w:spacing w:line="400" w:lineRule="exact"/>
        <w:ind w:leftChars="0"/>
        <w:jc w:val="both"/>
        <w:rPr>
          <w:rFonts w:ascii="微軟正黑體" w:eastAsia="微軟正黑體" w:hAnsi="微軟正黑體"/>
        </w:rPr>
      </w:pPr>
      <w:r>
        <w:rPr>
          <w:rFonts w:ascii="微軟正黑體" w:eastAsia="微軟正黑體" w:hAnsi="微軟正黑體" w:hint="eastAsia"/>
        </w:rPr>
        <w:t>消費者貸款包含房屋修繕、耐久性商品、支付學費等小額貸款，及信用卡循環信用</w:t>
      </w:r>
    </w:p>
    <w:p w:rsidR="00C00D28" w:rsidRPr="00C00D28" w:rsidRDefault="003942E4" w:rsidP="009115E3">
      <w:pPr>
        <w:pStyle w:val="a3"/>
        <w:numPr>
          <w:ilvl w:val="0"/>
          <w:numId w:val="23"/>
        </w:numPr>
        <w:spacing w:line="400" w:lineRule="exact"/>
        <w:ind w:leftChars="0"/>
        <w:jc w:val="both"/>
        <w:rPr>
          <w:rFonts w:ascii="微軟正黑體" w:eastAsia="微軟正黑體" w:hAnsi="微軟正黑體"/>
        </w:rPr>
      </w:pPr>
      <w:r>
        <w:rPr>
          <w:rFonts w:ascii="微軟正黑體" w:eastAsia="微軟正黑體" w:hAnsi="微軟正黑體" w:hint="eastAsia"/>
        </w:rPr>
        <w:t>貸款額度每</w:t>
      </w:r>
      <w:r w:rsidR="00C00D28">
        <w:rPr>
          <w:rFonts w:ascii="微軟正黑體" w:eastAsia="微軟正黑體" w:hAnsi="微軟正黑體" w:hint="eastAsia"/>
        </w:rPr>
        <w:t>一消費者不可超過</w:t>
      </w:r>
      <w:r w:rsidR="00C00D28" w:rsidRPr="00C00D28">
        <w:rPr>
          <w:rFonts w:ascii="微軟正黑體" w:eastAsia="微軟正黑體" w:hAnsi="微軟正黑體" w:hint="eastAsia"/>
          <w:shd w:val="clear" w:color="auto" w:fill="FFFF00"/>
        </w:rPr>
        <w:t>100萬元</w:t>
      </w:r>
    </w:p>
    <w:p w:rsidR="00C00D28" w:rsidRDefault="00C00D28" w:rsidP="009115E3">
      <w:pPr>
        <w:pStyle w:val="a3"/>
        <w:numPr>
          <w:ilvl w:val="0"/>
          <w:numId w:val="23"/>
        </w:numPr>
        <w:spacing w:line="400" w:lineRule="exact"/>
        <w:ind w:leftChars="0"/>
        <w:jc w:val="both"/>
        <w:rPr>
          <w:rFonts w:ascii="微軟正黑體" w:eastAsia="微軟正黑體" w:hAnsi="微軟正黑體"/>
        </w:rPr>
      </w:pPr>
      <w:r>
        <w:rPr>
          <w:rFonts w:ascii="微軟正黑體" w:eastAsia="微軟正黑體" w:hAnsi="微軟正黑體" w:hint="eastAsia"/>
        </w:rPr>
        <w:t>辦理自住放款及消費性放款</w:t>
      </w:r>
    </w:p>
    <w:p w:rsidR="00C00D28" w:rsidRDefault="00C00D28" w:rsidP="009115E3">
      <w:pPr>
        <w:pStyle w:val="a3"/>
        <w:numPr>
          <w:ilvl w:val="0"/>
          <w:numId w:val="24"/>
        </w:numPr>
        <w:spacing w:line="400" w:lineRule="exact"/>
        <w:ind w:leftChars="0"/>
        <w:jc w:val="both"/>
        <w:rPr>
          <w:rFonts w:ascii="微軟正黑體" w:eastAsia="微軟正黑體" w:hAnsi="微軟正黑體"/>
        </w:rPr>
      </w:pPr>
      <w:r>
        <w:rPr>
          <w:rFonts w:ascii="微軟正黑體" w:eastAsia="微軟正黑體" w:hAnsi="微軟正黑體" w:hint="eastAsia"/>
        </w:rPr>
        <w:t>不得要求借貸人提供連帶保證人，以取得足額擔保者，不得要求借款人提供保證人</w:t>
      </w:r>
    </w:p>
    <w:p w:rsidR="00C00D28" w:rsidRDefault="00C00D28" w:rsidP="009115E3">
      <w:pPr>
        <w:pStyle w:val="a3"/>
        <w:numPr>
          <w:ilvl w:val="0"/>
          <w:numId w:val="24"/>
        </w:numPr>
        <w:spacing w:line="400" w:lineRule="exact"/>
        <w:ind w:leftChars="0"/>
        <w:jc w:val="both"/>
        <w:rPr>
          <w:rFonts w:ascii="微軟正黑體" w:eastAsia="微軟正黑體" w:hAnsi="微軟正黑體"/>
        </w:rPr>
      </w:pPr>
      <w:r>
        <w:rPr>
          <w:rFonts w:ascii="微軟正黑體" w:eastAsia="微軟正黑體" w:hAnsi="微軟正黑體" w:hint="eastAsia"/>
        </w:rPr>
        <w:t>爭取之保證人，有效期間不可餘</w:t>
      </w:r>
      <w:r w:rsidRPr="00C00D28">
        <w:rPr>
          <w:rFonts w:ascii="微軟正黑體" w:eastAsia="微軟正黑體" w:hAnsi="微軟正黑體" w:hint="eastAsia"/>
          <w:shd w:val="clear" w:color="auto" w:fill="FFFF00"/>
        </w:rPr>
        <w:t>15年</w:t>
      </w:r>
      <w:r w:rsidRPr="00C00D28">
        <w:rPr>
          <w:rFonts w:ascii="微軟正黑體" w:eastAsia="微軟正黑體" w:hAnsi="微軟正黑體" w:hint="eastAsia"/>
        </w:rPr>
        <w:t>，</w:t>
      </w:r>
      <w:r>
        <w:rPr>
          <w:rFonts w:ascii="微軟正黑體" w:eastAsia="微軟正黑體" w:hAnsi="微軟正黑體" w:hint="eastAsia"/>
        </w:rPr>
        <w:t>若保證人同意不在此限</w:t>
      </w:r>
    </w:p>
    <w:p w:rsidR="00C00D28" w:rsidRDefault="00C00D28" w:rsidP="009115E3">
      <w:pPr>
        <w:pStyle w:val="a3"/>
        <w:numPr>
          <w:ilvl w:val="0"/>
          <w:numId w:val="23"/>
        </w:numPr>
        <w:spacing w:line="400" w:lineRule="exact"/>
        <w:ind w:leftChars="0"/>
        <w:jc w:val="both"/>
        <w:rPr>
          <w:rFonts w:ascii="微軟正黑體" w:eastAsia="微軟正黑體" w:hAnsi="微軟正黑體"/>
        </w:rPr>
      </w:pPr>
      <w:r>
        <w:rPr>
          <w:rFonts w:ascii="微軟正黑體" w:eastAsia="微軟正黑體" w:hAnsi="微軟正黑體" w:hint="eastAsia"/>
        </w:rPr>
        <w:t>辦理授信爭取保證人，該保證人所負之責任應該一定金額為限</w:t>
      </w:r>
    </w:p>
    <w:p w:rsidR="00C00D28" w:rsidRDefault="00C00D28" w:rsidP="009115E3">
      <w:pPr>
        <w:pStyle w:val="a3"/>
        <w:numPr>
          <w:ilvl w:val="0"/>
          <w:numId w:val="23"/>
        </w:numPr>
        <w:spacing w:line="400" w:lineRule="exact"/>
        <w:ind w:leftChars="0"/>
        <w:jc w:val="both"/>
        <w:rPr>
          <w:rFonts w:ascii="微軟正黑體" w:eastAsia="微軟正黑體" w:hAnsi="微軟正黑體"/>
        </w:rPr>
      </w:pPr>
      <w:r>
        <w:rPr>
          <w:rFonts w:ascii="微軟正黑體" w:eastAsia="微軟正黑體" w:hAnsi="微軟正黑體" w:hint="eastAsia"/>
        </w:rPr>
        <w:t>授信未來</w:t>
      </w:r>
      <w:proofErr w:type="gramStart"/>
      <w:r>
        <w:rPr>
          <w:rFonts w:ascii="微軟正黑體" w:eastAsia="微軟正黑體" w:hAnsi="微軟正黑體" w:hint="eastAsia"/>
        </w:rPr>
        <w:t>求償時</w:t>
      </w:r>
      <w:proofErr w:type="gramEnd"/>
      <w:r>
        <w:rPr>
          <w:rFonts w:ascii="微軟正黑體" w:eastAsia="微軟正黑體" w:hAnsi="微軟正黑體" w:hint="eastAsia"/>
        </w:rPr>
        <w:t>，應先就借款人進行求償，不足部分如保證人有數人，以平均求償之</w:t>
      </w:r>
    </w:p>
    <w:p w:rsidR="00392593" w:rsidRDefault="00392593" w:rsidP="009115E3">
      <w:pPr>
        <w:pStyle w:val="a3"/>
        <w:numPr>
          <w:ilvl w:val="0"/>
          <w:numId w:val="18"/>
        </w:numPr>
        <w:spacing w:line="400" w:lineRule="exact"/>
        <w:ind w:leftChars="0"/>
        <w:jc w:val="both"/>
        <w:rPr>
          <w:rFonts w:ascii="微軟正黑體" w:eastAsia="微軟正黑體" w:hAnsi="微軟正黑體"/>
        </w:rPr>
      </w:pPr>
      <w:r>
        <w:rPr>
          <w:rFonts w:ascii="微軟正黑體" w:eastAsia="微軟正黑體" w:hAnsi="微軟正黑體" w:hint="eastAsia"/>
        </w:rPr>
        <w:t>擔保授信</w:t>
      </w:r>
    </w:p>
    <w:p w:rsidR="00E83CDB" w:rsidRDefault="00E83CDB"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限制</w:t>
      </w:r>
      <w:r w:rsidR="00276E9C">
        <w:rPr>
          <w:rFonts w:ascii="微軟正黑體" w:eastAsia="微軟正黑體" w:hAnsi="微軟正黑體" w:hint="eastAsia"/>
        </w:rPr>
        <w:t>(依據銀行法33條)</w:t>
      </w:r>
    </w:p>
    <w:p w:rsidR="00E83CDB" w:rsidRDefault="001973AF" w:rsidP="009115E3">
      <w:pPr>
        <w:pStyle w:val="a3"/>
        <w:numPr>
          <w:ilvl w:val="0"/>
          <w:numId w:val="26"/>
        </w:numPr>
        <w:spacing w:line="400" w:lineRule="exact"/>
        <w:ind w:leftChars="0"/>
        <w:jc w:val="both"/>
        <w:rPr>
          <w:rFonts w:ascii="微軟正黑體" w:eastAsia="微軟正黑體" w:hAnsi="微軟正黑體"/>
        </w:rPr>
      </w:pPr>
      <w:r>
        <w:rPr>
          <w:rFonts w:ascii="微軟正黑體" w:eastAsia="微軟正黑體" w:hAnsi="微軟正黑體" w:hint="eastAsia"/>
        </w:rPr>
        <w:t>對於</w:t>
      </w:r>
      <w:r w:rsidRPr="00392593">
        <w:rPr>
          <w:rFonts w:ascii="微軟正黑體" w:eastAsia="微軟正黑體" w:hAnsi="微軟正黑體" w:hint="eastAsia"/>
          <w:shd w:val="clear" w:color="auto" w:fill="FFFF00"/>
        </w:rPr>
        <w:t>實收資本總額</w:t>
      </w:r>
      <w:r>
        <w:rPr>
          <w:rFonts w:ascii="微軟正黑體" w:eastAsia="微軟正黑體" w:hAnsi="微軟正黑體" w:hint="eastAsia"/>
          <w:shd w:val="clear" w:color="auto" w:fill="FFFF00"/>
        </w:rPr>
        <w:t>5%</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w:t>
      </w:r>
    </w:p>
    <w:p w:rsidR="008417D9" w:rsidRDefault="008417D9" w:rsidP="009115E3">
      <w:pPr>
        <w:pStyle w:val="a3"/>
        <w:numPr>
          <w:ilvl w:val="0"/>
          <w:numId w:val="26"/>
        </w:numPr>
        <w:spacing w:line="400" w:lineRule="exact"/>
        <w:ind w:leftChars="0"/>
        <w:jc w:val="both"/>
        <w:rPr>
          <w:rFonts w:ascii="微軟正黑體" w:eastAsia="微軟正黑體" w:hAnsi="微軟正黑體"/>
        </w:rPr>
      </w:pPr>
      <w:r>
        <w:rPr>
          <w:rFonts w:ascii="微軟正黑體" w:eastAsia="微軟正黑體" w:hAnsi="微軟正黑體" w:hint="eastAsia"/>
        </w:rPr>
        <w:t>本行之負責人、職員、主要股東</w:t>
      </w:r>
    </w:p>
    <w:p w:rsidR="008417D9" w:rsidRDefault="008417D9" w:rsidP="009115E3">
      <w:pPr>
        <w:pStyle w:val="a3"/>
        <w:numPr>
          <w:ilvl w:val="0"/>
          <w:numId w:val="26"/>
        </w:numPr>
        <w:spacing w:line="400" w:lineRule="exact"/>
        <w:ind w:leftChars="0"/>
        <w:jc w:val="both"/>
        <w:rPr>
          <w:rFonts w:ascii="微軟正黑體" w:eastAsia="微軟正黑體" w:hAnsi="微軟正黑體"/>
        </w:rPr>
      </w:pPr>
      <w:r>
        <w:rPr>
          <w:rFonts w:ascii="微軟正黑體" w:eastAsia="微軟正黑體" w:hAnsi="微軟正黑體" w:hint="eastAsia"/>
        </w:rPr>
        <w:t>利害關係者</w:t>
      </w:r>
    </w:p>
    <w:p w:rsidR="00276E9C" w:rsidRPr="008417D9" w:rsidRDefault="00276E9C" w:rsidP="009115E3">
      <w:pPr>
        <w:pStyle w:val="a3"/>
        <w:numPr>
          <w:ilvl w:val="0"/>
          <w:numId w:val="26"/>
        </w:numPr>
        <w:spacing w:line="400" w:lineRule="exact"/>
        <w:ind w:leftChars="0"/>
        <w:jc w:val="both"/>
        <w:rPr>
          <w:rFonts w:ascii="微軟正黑體" w:eastAsia="微軟正黑體" w:hAnsi="微軟正黑體"/>
        </w:rPr>
      </w:pPr>
      <w:r>
        <w:rPr>
          <w:rFonts w:ascii="微軟正黑體" w:eastAsia="微軟正黑體" w:hAnsi="微軟正黑體" w:hint="eastAsia"/>
        </w:rPr>
        <w:t>交互對其往來銀行負責人、主要股東，或該負責人之企業</w:t>
      </w:r>
    </w:p>
    <w:p w:rsidR="00392593" w:rsidRDefault="008417D9"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對於限制對象規定</w:t>
      </w:r>
    </w:p>
    <w:p w:rsidR="008417D9" w:rsidRDefault="008417D9" w:rsidP="009115E3">
      <w:pPr>
        <w:pStyle w:val="a3"/>
        <w:numPr>
          <w:ilvl w:val="0"/>
          <w:numId w:val="27"/>
        </w:numPr>
        <w:spacing w:line="400" w:lineRule="exact"/>
        <w:ind w:leftChars="0"/>
        <w:jc w:val="both"/>
        <w:rPr>
          <w:rFonts w:ascii="微軟正黑體" w:eastAsia="微軟正黑體" w:hAnsi="微軟正黑體"/>
        </w:rPr>
      </w:pPr>
      <w:r>
        <w:rPr>
          <w:rFonts w:ascii="微軟正黑體" w:eastAsia="微軟正黑體" w:hAnsi="微軟正黑體" w:hint="eastAsia"/>
        </w:rPr>
        <w:t>應有十足擔保</w:t>
      </w:r>
    </w:p>
    <w:p w:rsidR="008417D9" w:rsidRDefault="008417D9" w:rsidP="009115E3">
      <w:pPr>
        <w:pStyle w:val="a3"/>
        <w:numPr>
          <w:ilvl w:val="0"/>
          <w:numId w:val="27"/>
        </w:numPr>
        <w:spacing w:line="400" w:lineRule="exact"/>
        <w:ind w:leftChars="0"/>
        <w:jc w:val="both"/>
        <w:rPr>
          <w:rFonts w:ascii="微軟正黑體" w:eastAsia="微軟正黑體" w:hAnsi="微軟正黑體"/>
        </w:rPr>
      </w:pPr>
      <w:r>
        <w:rPr>
          <w:rFonts w:ascii="微軟正黑體" w:eastAsia="微軟正黑體" w:hAnsi="微軟正黑體" w:hint="eastAsia"/>
        </w:rPr>
        <w:t>條件不得優於其他同類授信對象</w:t>
      </w:r>
    </w:p>
    <w:p w:rsidR="008417D9" w:rsidRDefault="008417D9" w:rsidP="009115E3">
      <w:pPr>
        <w:pStyle w:val="a3"/>
        <w:numPr>
          <w:ilvl w:val="0"/>
          <w:numId w:val="27"/>
        </w:numPr>
        <w:spacing w:line="400" w:lineRule="exact"/>
        <w:ind w:leftChars="0"/>
        <w:jc w:val="both"/>
        <w:rPr>
          <w:rFonts w:ascii="微軟正黑體" w:eastAsia="微軟正黑體" w:hAnsi="微軟正黑體"/>
        </w:rPr>
      </w:pPr>
      <w:r>
        <w:rPr>
          <w:rFonts w:ascii="微軟正黑體" w:eastAsia="微軟正黑體" w:hAnsi="微軟正黑體" w:hint="eastAsia"/>
        </w:rPr>
        <w:t>需要</w:t>
      </w:r>
      <w:r w:rsidRPr="008417D9">
        <w:rPr>
          <w:rFonts w:ascii="微軟正黑體" w:eastAsia="微軟正黑體" w:hAnsi="微軟正黑體" w:hint="eastAsia"/>
          <w:shd w:val="clear" w:color="auto" w:fill="FFFF00"/>
        </w:rPr>
        <w:t>2/3</w:t>
      </w:r>
      <w:r>
        <w:rPr>
          <w:rFonts w:ascii="微軟正黑體" w:eastAsia="微軟正黑體" w:hAnsi="微軟正黑體" w:hint="eastAsia"/>
        </w:rPr>
        <w:t>董事出席，</w:t>
      </w:r>
      <w:r w:rsidRPr="008417D9">
        <w:rPr>
          <w:rFonts w:ascii="微軟正黑體" w:eastAsia="微軟正黑體" w:hAnsi="微軟正黑體" w:hint="eastAsia"/>
          <w:shd w:val="clear" w:color="auto" w:fill="FFFF00"/>
        </w:rPr>
        <w:t>3/4</w:t>
      </w:r>
      <w:r>
        <w:rPr>
          <w:rFonts w:ascii="微軟正黑體" w:eastAsia="微軟正黑體" w:hAnsi="微軟正黑體" w:hint="eastAsia"/>
        </w:rPr>
        <w:t>出席董事同意</w:t>
      </w:r>
    </w:p>
    <w:p w:rsidR="00392593" w:rsidRDefault="00276E9C"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罰則</w:t>
      </w:r>
    </w:p>
    <w:tbl>
      <w:tblPr>
        <w:tblStyle w:val="-2"/>
        <w:tblW w:w="8494" w:type="dxa"/>
        <w:tblInd w:w="1003" w:type="dxa"/>
        <w:tblLook w:val="04A0" w:firstRow="1" w:lastRow="0" w:firstColumn="1" w:lastColumn="0" w:noHBand="0" w:noVBand="1"/>
      </w:tblPr>
      <w:tblGrid>
        <w:gridCol w:w="2831"/>
        <w:gridCol w:w="2831"/>
        <w:gridCol w:w="2832"/>
      </w:tblGrid>
      <w:tr w:rsidR="00276E9C" w:rsidTr="00276E9C">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831" w:type="dxa"/>
          </w:tcPr>
          <w:p w:rsidR="00276E9C" w:rsidRDefault="00276E9C" w:rsidP="00276E9C">
            <w:pPr>
              <w:pStyle w:val="a3"/>
              <w:spacing w:line="400" w:lineRule="exact"/>
              <w:ind w:leftChars="0" w:left="0"/>
              <w:jc w:val="both"/>
              <w:rPr>
                <w:rFonts w:ascii="微軟正黑體" w:eastAsia="微軟正黑體" w:hAnsi="微軟正黑體"/>
              </w:rPr>
            </w:pPr>
          </w:p>
        </w:tc>
        <w:tc>
          <w:tcPr>
            <w:tcW w:w="2831" w:type="dxa"/>
          </w:tcPr>
          <w:p w:rsidR="00276E9C"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有期徒刑</w:t>
            </w:r>
          </w:p>
        </w:tc>
        <w:tc>
          <w:tcPr>
            <w:tcW w:w="2832" w:type="dxa"/>
          </w:tcPr>
          <w:p w:rsidR="00276E9C"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proofErr w:type="gramStart"/>
            <w:r>
              <w:rPr>
                <w:rFonts w:ascii="微軟正黑體" w:eastAsia="微軟正黑體" w:hAnsi="微軟正黑體" w:hint="eastAsia"/>
              </w:rPr>
              <w:t>併</w:t>
            </w:r>
            <w:proofErr w:type="gramEnd"/>
            <w:r>
              <w:rPr>
                <w:rFonts w:ascii="微軟正黑體" w:eastAsia="微軟正黑體" w:hAnsi="微軟正黑體" w:hint="eastAsia"/>
              </w:rPr>
              <w:t>科</w:t>
            </w:r>
          </w:p>
        </w:tc>
      </w:tr>
      <w:tr w:rsidR="00276E9C" w:rsidTr="00276E9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831" w:type="dxa"/>
          </w:tcPr>
          <w:p w:rsidR="00276E9C" w:rsidRDefault="00276E9C" w:rsidP="00276E9C">
            <w:pPr>
              <w:pStyle w:val="a3"/>
              <w:spacing w:line="400" w:lineRule="exact"/>
              <w:ind w:leftChars="0" w:left="0"/>
              <w:jc w:val="both"/>
              <w:rPr>
                <w:rFonts w:ascii="微軟正黑體" w:eastAsia="微軟正黑體" w:hAnsi="微軟正黑體"/>
              </w:rPr>
            </w:pPr>
          </w:p>
        </w:tc>
        <w:tc>
          <w:tcPr>
            <w:tcW w:w="2831" w:type="dxa"/>
          </w:tcPr>
          <w:p w:rsidR="00276E9C"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3年-10年</w:t>
            </w:r>
          </w:p>
        </w:tc>
        <w:tc>
          <w:tcPr>
            <w:tcW w:w="2832" w:type="dxa"/>
          </w:tcPr>
          <w:p w:rsidR="00276E9C"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1000萬-2億</w:t>
            </w:r>
          </w:p>
        </w:tc>
      </w:tr>
      <w:tr w:rsidR="00276E9C" w:rsidTr="00276E9C">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831" w:type="dxa"/>
          </w:tcPr>
          <w:p w:rsidR="00276E9C" w:rsidRDefault="00276E9C" w:rsidP="00276E9C">
            <w:pPr>
              <w:pStyle w:val="a3"/>
              <w:spacing w:line="400" w:lineRule="exact"/>
              <w:ind w:leftChars="0" w:left="0"/>
              <w:jc w:val="both"/>
              <w:rPr>
                <w:rFonts w:ascii="微軟正黑體" w:eastAsia="微軟正黑體" w:hAnsi="微軟正黑體"/>
              </w:rPr>
            </w:pPr>
            <w:r>
              <w:rPr>
                <w:rFonts w:ascii="微軟正黑體" w:eastAsia="微軟正黑體" w:hAnsi="微軟正黑體" w:hint="eastAsia"/>
              </w:rPr>
              <w:t>一億以上</w:t>
            </w:r>
          </w:p>
        </w:tc>
        <w:tc>
          <w:tcPr>
            <w:tcW w:w="2831" w:type="dxa"/>
          </w:tcPr>
          <w:p w:rsidR="00276E9C"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7年以上</w:t>
            </w:r>
          </w:p>
        </w:tc>
        <w:tc>
          <w:tcPr>
            <w:tcW w:w="2832" w:type="dxa"/>
          </w:tcPr>
          <w:p w:rsidR="00276E9C"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2500萬-5億</w:t>
            </w:r>
          </w:p>
        </w:tc>
      </w:tr>
    </w:tbl>
    <w:p w:rsidR="00276E9C" w:rsidRDefault="00276E9C"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關於銀行法</w:t>
      </w:r>
      <w:proofErr w:type="gramStart"/>
      <w:r>
        <w:rPr>
          <w:rFonts w:ascii="微軟正黑體" w:eastAsia="微軟正黑體" w:hAnsi="微軟正黑體" w:hint="eastAsia"/>
        </w:rPr>
        <w:t>33條授</w:t>
      </w:r>
      <w:proofErr w:type="gramEnd"/>
      <w:r>
        <w:rPr>
          <w:rFonts w:ascii="微軟正黑體" w:eastAsia="微軟正黑體" w:hAnsi="微軟正黑體" w:hint="eastAsia"/>
        </w:rPr>
        <w:t>信限額、授信總餘額、授信條件及同類授信對象由主關機關洽商中央銀行定之</w:t>
      </w:r>
    </w:p>
    <w:p w:rsidR="0087168F" w:rsidRDefault="00EC53C4" w:rsidP="009115E3">
      <w:pPr>
        <w:pStyle w:val="a3"/>
        <w:numPr>
          <w:ilvl w:val="0"/>
          <w:numId w:val="28"/>
        </w:numPr>
        <w:spacing w:line="400" w:lineRule="exact"/>
        <w:ind w:leftChars="0"/>
        <w:jc w:val="both"/>
        <w:rPr>
          <w:rFonts w:ascii="微軟正黑體" w:eastAsia="微軟正黑體" w:hAnsi="微軟正黑體"/>
        </w:rPr>
      </w:pPr>
      <w:r>
        <w:rPr>
          <w:rFonts w:ascii="微軟正黑體" w:eastAsia="微軟正黑體" w:hAnsi="微軟正黑體" w:hint="eastAsia"/>
        </w:rPr>
        <w:t>淨值：上一年度決算後淨值</w:t>
      </w:r>
    </w:p>
    <w:tbl>
      <w:tblPr>
        <w:tblStyle w:val="-5"/>
        <w:tblW w:w="9376" w:type="dxa"/>
        <w:tblInd w:w="1290" w:type="dxa"/>
        <w:tblLook w:val="04A0" w:firstRow="1" w:lastRow="0" w:firstColumn="1" w:lastColumn="0" w:noHBand="0" w:noVBand="1"/>
      </w:tblPr>
      <w:tblGrid>
        <w:gridCol w:w="5197"/>
        <w:gridCol w:w="1393"/>
        <w:gridCol w:w="1393"/>
        <w:gridCol w:w="1393"/>
      </w:tblGrid>
      <w:tr w:rsidR="00EC53C4" w:rsidTr="00EC53C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Default="00EC53C4" w:rsidP="00EC53C4">
            <w:pPr>
              <w:spacing w:line="400" w:lineRule="exact"/>
              <w:jc w:val="both"/>
              <w:rPr>
                <w:rFonts w:ascii="微軟正黑體" w:eastAsia="微軟正黑體" w:hAnsi="微軟正黑體"/>
              </w:rPr>
            </w:pPr>
            <w:r>
              <w:rPr>
                <w:rFonts w:ascii="微軟正黑體" w:eastAsia="微軟正黑體" w:hAnsi="微軟正黑體" w:hint="eastAsia"/>
              </w:rPr>
              <w:lastRenderedPageBreak/>
              <w:t>授信限額</w:t>
            </w:r>
          </w:p>
        </w:tc>
        <w:tc>
          <w:tcPr>
            <w:tcW w:w="1393" w:type="dxa"/>
          </w:tcPr>
          <w:p w:rsidR="00EC53C4"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p>
        </w:tc>
        <w:tc>
          <w:tcPr>
            <w:tcW w:w="1393" w:type="dxa"/>
          </w:tcPr>
          <w:p w:rsidR="00EC53C4"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金額</w:t>
            </w:r>
          </w:p>
        </w:tc>
        <w:tc>
          <w:tcPr>
            <w:tcW w:w="1393" w:type="dxa"/>
          </w:tcPr>
          <w:p w:rsidR="00EC53C4"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淨值</w:t>
            </w:r>
          </w:p>
        </w:tc>
      </w:tr>
      <w:tr w:rsidR="00EC53C4" w:rsidTr="0006054D">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Default="00EC53C4" w:rsidP="00EC53C4">
            <w:pPr>
              <w:spacing w:line="400" w:lineRule="exact"/>
              <w:jc w:val="both"/>
              <w:rPr>
                <w:rFonts w:ascii="微軟正黑體" w:eastAsia="微軟正黑體" w:hAnsi="微軟正黑體"/>
              </w:rPr>
            </w:pPr>
            <w:r>
              <w:rPr>
                <w:rFonts w:ascii="微軟正黑體" w:eastAsia="微軟正黑體" w:hAnsi="微軟正黑體" w:hint="eastAsia"/>
              </w:rPr>
              <w:t>同一授信對象每筆或累計金額</w:t>
            </w:r>
          </w:p>
          <w:p w:rsidR="00EC53C4" w:rsidRDefault="00EC53C4" w:rsidP="00EC53C4">
            <w:pPr>
              <w:spacing w:line="400" w:lineRule="exact"/>
              <w:jc w:val="both"/>
              <w:rPr>
                <w:rFonts w:ascii="微軟正黑體" w:eastAsia="微軟正黑體" w:hAnsi="微軟正黑體"/>
              </w:rPr>
            </w:pPr>
            <w:r>
              <w:rPr>
                <w:rFonts w:ascii="微軟正黑體" w:eastAsia="微軟正黑體" w:hAnsi="微軟正黑體" w:hint="eastAsia"/>
              </w:rPr>
              <w:t>需要</w:t>
            </w:r>
            <w:r w:rsidRPr="008417D9">
              <w:rPr>
                <w:rFonts w:ascii="微軟正黑體" w:eastAsia="微軟正黑體" w:hAnsi="微軟正黑體" w:hint="eastAsia"/>
                <w:shd w:val="clear" w:color="auto" w:fill="FFFF00"/>
              </w:rPr>
              <w:t>2/3</w:t>
            </w:r>
            <w:r>
              <w:rPr>
                <w:rFonts w:ascii="微軟正黑體" w:eastAsia="微軟正黑體" w:hAnsi="微軟正黑體" w:hint="eastAsia"/>
              </w:rPr>
              <w:t>董事出席，</w:t>
            </w:r>
            <w:r w:rsidRPr="008417D9">
              <w:rPr>
                <w:rFonts w:ascii="微軟正黑體" w:eastAsia="微軟正黑體" w:hAnsi="微軟正黑體" w:hint="eastAsia"/>
                <w:shd w:val="clear" w:color="auto" w:fill="FFFF00"/>
              </w:rPr>
              <w:t>3/4</w:t>
            </w:r>
            <w:r>
              <w:rPr>
                <w:rFonts w:ascii="微軟正黑體" w:eastAsia="微軟正黑體" w:hAnsi="微軟正黑體" w:hint="eastAsia"/>
              </w:rPr>
              <w:t>出席董事同意</w:t>
            </w:r>
          </w:p>
        </w:tc>
        <w:tc>
          <w:tcPr>
            <w:tcW w:w="1393" w:type="dxa"/>
            <w:vAlign w:val="center"/>
          </w:tcPr>
          <w:p w:rsidR="00EC53C4"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p>
        </w:tc>
        <w:tc>
          <w:tcPr>
            <w:tcW w:w="1393" w:type="dxa"/>
            <w:vAlign w:val="center"/>
          </w:tcPr>
          <w:p w:rsidR="00EC53C4"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1億</w:t>
            </w:r>
          </w:p>
        </w:tc>
        <w:tc>
          <w:tcPr>
            <w:tcW w:w="1393" w:type="dxa"/>
            <w:vAlign w:val="center"/>
          </w:tcPr>
          <w:p w:rsidR="00EC53C4"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w:t>
            </w:r>
          </w:p>
        </w:tc>
      </w:tr>
      <w:tr w:rsidR="00EC53C4" w:rsidTr="0006054D">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EC53C4" w:rsidRDefault="00EC53C4" w:rsidP="00EC53C4">
            <w:pPr>
              <w:spacing w:line="400" w:lineRule="exact"/>
              <w:jc w:val="both"/>
              <w:rPr>
                <w:rFonts w:ascii="微軟正黑體" w:eastAsia="微軟正黑體" w:hAnsi="微軟正黑體"/>
              </w:rPr>
            </w:pPr>
            <w:r>
              <w:rPr>
                <w:rFonts w:ascii="微軟正黑體" w:eastAsia="微軟正黑體" w:hAnsi="微軟正黑體" w:hint="eastAsia"/>
              </w:rPr>
              <w:t>對於</w:t>
            </w:r>
            <w:r w:rsidRPr="00392593">
              <w:rPr>
                <w:rFonts w:ascii="微軟正黑體" w:eastAsia="微軟正黑體" w:hAnsi="微軟正黑體" w:hint="eastAsia"/>
                <w:shd w:val="clear" w:color="auto" w:fill="FFFF00"/>
              </w:rPr>
              <w:t>實收資本總額</w:t>
            </w:r>
            <w:r>
              <w:rPr>
                <w:rFonts w:ascii="微軟正黑體" w:eastAsia="微軟正黑體" w:hAnsi="微軟正黑體" w:hint="eastAsia"/>
                <w:shd w:val="clear" w:color="auto" w:fill="FFFF00"/>
              </w:rPr>
              <w:t>5%</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之企業、本行之負責人、職員、主要股東、利害關係者，同一法人總餘額</w:t>
            </w:r>
          </w:p>
        </w:tc>
        <w:tc>
          <w:tcPr>
            <w:tcW w:w="1393" w:type="dxa"/>
            <w:vAlign w:val="center"/>
          </w:tcPr>
          <w:p w:rsidR="00EC53C4"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法人</w:t>
            </w:r>
          </w:p>
        </w:tc>
        <w:tc>
          <w:tcPr>
            <w:tcW w:w="1393" w:type="dxa"/>
            <w:vAlign w:val="center"/>
          </w:tcPr>
          <w:p w:rsidR="00EC53C4"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vAlign w:val="center"/>
          </w:tcPr>
          <w:p w:rsidR="00EC53C4" w:rsidRDefault="00811102"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w:t>
            </w:r>
            <w:r w:rsidR="00EC53C4">
              <w:rPr>
                <w:rFonts w:ascii="微軟正黑體" w:eastAsia="微軟正黑體" w:hAnsi="微軟正黑體" w:hint="eastAsia"/>
              </w:rPr>
              <w:t>10%</w:t>
            </w:r>
          </w:p>
        </w:tc>
      </w:tr>
      <w:tr w:rsidR="00EC53C4" w:rsidTr="0006054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EC53C4" w:rsidRDefault="00EC53C4" w:rsidP="00EC53C4">
            <w:pPr>
              <w:spacing w:line="400" w:lineRule="exact"/>
              <w:jc w:val="both"/>
              <w:rPr>
                <w:rFonts w:ascii="微軟正黑體" w:eastAsia="微軟正黑體" w:hAnsi="微軟正黑體"/>
              </w:rPr>
            </w:pPr>
          </w:p>
        </w:tc>
        <w:tc>
          <w:tcPr>
            <w:tcW w:w="1393" w:type="dxa"/>
            <w:vAlign w:val="center"/>
          </w:tcPr>
          <w:p w:rsidR="00EC53C4"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自然人</w:t>
            </w:r>
          </w:p>
        </w:tc>
        <w:tc>
          <w:tcPr>
            <w:tcW w:w="1393" w:type="dxa"/>
            <w:vAlign w:val="center"/>
          </w:tcPr>
          <w:p w:rsidR="00EC53C4"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p>
        </w:tc>
        <w:tc>
          <w:tcPr>
            <w:tcW w:w="1393" w:type="dxa"/>
            <w:vAlign w:val="center"/>
          </w:tcPr>
          <w:p w:rsidR="00EC53C4" w:rsidRDefault="00811102"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w:t>
            </w:r>
            <w:r w:rsidR="00EC53C4">
              <w:rPr>
                <w:rFonts w:ascii="微軟正黑體" w:eastAsia="微軟正黑體" w:hAnsi="微軟正黑體" w:hint="eastAsia"/>
              </w:rPr>
              <w:t>2%</w:t>
            </w:r>
          </w:p>
        </w:tc>
      </w:tr>
      <w:tr w:rsidR="00EC53C4" w:rsidTr="0006054D">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Default="0006054D" w:rsidP="00EC53C4">
            <w:pPr>
              <w:spacing w:line="400" w:lineRule="exact"/>
              <w:jc w:val="both"/>
              <w:rPr>
                <w:rFonts w:ascii="微軟正黑體" w:eastAsia="微軟正黑體" w:hAnsi="微軟正黑體"/>
              </w:rPr>
            </w:pPr>
            <w:r>
              <w:rPr>
                <w:rFonts w:ascii="微軟正黑體" w:eastAsia="微軟正黑體" w:hAnsi="微軟正黑體" w:hint="eastAsia"/>
              </w:rPr>
              <w:t>授信總額對於</w:t>
            </w:r>
            <w:r w:rsidRPr="00392593">
              <w:rPr>
                <w:rFonts w:ascii="微軟正黑體" w:eastAsia="微軟正黑體" w:hAnsi="微軟正黑體" w:hint="eastAsia"/>
                <w:shd w:val="clear" w:color="auto" w:fill="FFFF00"/>
              </w:rPr>
              <w:t>實收資本總額</w:t>
            </w:r>
            <w:r>
              <w:rPr>
                <w:rFonts w:ascii="微軟正黑體" w:eastAsia="微軟正黑體" w:hAnsi="微軟正黑體" w:hint="eastAsia"/>
                <w:shd w:val="clear" w:color="auto" w:fill="FFFF00"/>
              </w:rPr>
              <w:t>5%</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之企業、本行之負責人、職員、主要股東、利害關係者總餘額</w:t>
            </w:r>
          </w:p>
        </w:tc>
        <w:tc>
          <w:tcPr>
            <w:tcW w:w="1393" w:type="dxa"/>
            <w:vAlign w:val="center"/>
          </w:tcPr>
          <w:p w:rsidR="00EC53C4"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vAlign w:val="center"/>
          </w:tcPr>
          <w:p w:rsidR="00EC53C4"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vAlign w:val="center"/>
          </w:tcPr>
          <w:p w:rsidR="00EC53C4" w:rsidRDefault="0006054D"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&lt;1.5倍</w:t>
            </w:r>
          </w:p>
        </w:tc>
      </w:tr>
    </w:tbl>
    <w:p w:rsidR="00EC53C4" w:rsidRDefault="0006054D"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授信條件</w:t>
      </w:r>
    </w:p>
    <w:p w:rsidR="0006054D" w:rsidRDefault="0006054D" w:rsidP="009115E3">
      <w:pPr>
        <w:pStyle w:val="a3"/>
        <w:numPr>
          <w:ilvl w:val="0"/>
          <w:numId w:val="29"/>
        </w:numPr>
        <w:spacing w:line="400" w:lineRule="exact"/>
        <w:ind w:leftChars="0"/>
        <w:jc w:val="both"/>
        <w:rPr>
          <w:rFonts w:ascii="微軟正黑體" w:eastAsia="微軟正黑體" w:hAnsi="微軟正黑體"/>
        </w:rPr>
      </w:pPr>
      <w:r>
        <w:rPr>
          <w:rFonts w:ascii="微軟正黑體" w:eastAsia="微軟正黑體" w:hAnsi="微軟正黑體" w:hint="eastAsia"/>
        </w:rPr>
        <w:t>利率(以年利率)</w:t>
      </w:r>
    </w:p>
    <w:p w:rsidR="0006054D" w:rsidRDefault="0006054D" w:rsidP="009115E3">
      <w:pPr>
        <w:pStyle w:val="a3"/>
        <w:numPr>
          <w:ilvl w:val="0"/>
          <w:numId w:val="29"/>
        </w:numPr>
        <w:spacing w:line="400" w:lineRule="exact"/>
        <w:ind w:leftChars="0"/>
        <w:jc w:val="both"/>
        <w:rPr>
          <w:rFonts w:ascii="微軟正黑體" w:eastAsia="微軟正黑體" w:hAnsi="微軟正黑體"/>
        </w:rPr>
      </w:pPr>
      <w:r>
        <w:rPr>
          <w:rFonts w:ascii="微軟正黑體" w:eastAsia="微軟正黑體" w:hAnsi="微軟正黑體" w:hint="eastAsia"/>
        </w:rPr>
        <w:t>擔保品及估價</w:t>
      </w:r>
    </w:p>
    <w:p w:rsidR="0006054D" w:rsidRDefault="0006054D" w:rsidP="009115E3">
      <w:pPr>
        <w:pStyle w:val="a3"/>
        <w:numPr>
          <w:ilvl w:val="0"/>
          <w:numId w:val="29"/>
        </w:numPr>
        <w:spacing w:line="400" w:lineRule="exact"/>
        <w:ind w:leftChars="0"/>
        <w:jc w:val="both"/>
        <w:rPr>
          <w:rFonts w:ascii="微軟正黑體" w:eastAsia="微軟正黑體" w:hAnsi="微軟正黑體"/>
        </w:rPr>
      </w:pPr>
      <w:r>
        <w:rPr>
          <w:rFonts w:ascii="微軟正黑體" w:eastAsia="微軟正黑體" w:hAnsi="微軟正黑體" w:hint="eastAsia"/>
        </w:rPr>
        <w:t>保證人之有無</w:t>
      </w:r>
    </w:p>
    <w:p w:rsidR="0006054D" w:rsidRDefault="0006054D" w:rsidP="009115E3">
      <w:pPr>
        <w:pStyle w:val="a3"/>
        <w:numPr>
          <w:ilvl w:val="0"/>
          <w:numId w:val="29"/>
        </w:numPr>
        <w:spacing w:line="400" w:lineRule="exact"/>
        <w:ind w:leftChars="0"/>
        <w:jc w:val="both"/>
        <w:rPr>
          <w:rFonts w:ascii="微軟正黑體" w:eastAsia="微軟正黑體" w:hAnsi="微軟正黑體"/>
        </w:rPr>
      </w:pPr>
      <w:r>
        <w:rPr>
          <w:rFonts w:ascii="微軟正黑體" w:eastAsia="微軟正黑體" w:hAnsi="微軟正黑體" w:hint="eastAsia"/>
        </w:rPr>
        <w:t>貸款期限</w:t>
      </w:r>
    </w:p>
    <w:p w:rsidR="0006054D" w:rsidRDefault="0006054D" w:rsidP="009115E3">
      <w:pPr>
        <w:pStyle w:val="a3"/>
        <w:numPr>
          <w:ilvl w:val="0"/>
          <w:numId w:val="29"/>
        </w:numPr>
        <w:spacing w:line="400" w:lineRule="exact"/>
        <w:ind w:leftChars="0"/>
        <w:jc w:val="both"/>
        <w:rPr>
          <w:rFonts w:ascii="微軟正黑體" w:eastAsia="微軟正黑體" w:hAnsi="微軟正黑體"/>
        </w:rPr>
      </w:pPr>
      <w:r>
        <w:rPr>
          <w:rFonts w:ascii="微軟正黑體" w:eastAsia="微軟正黑體" w:hAnsi="微軟正黑體" w:hint="eastAsia"/>
        </w:rPr>
        <w:t>本息償還方式</w:t>
      </w:r>
    </w:p>
    <w:p w:rsidR="0006054D" w:rsidRDefault="00811102" w:rsidP="009115E3">
      <w:pPr>
        <w:pStyle w:val="a3"/>
        <w:numPr>
          <w:ilvl w:val="0"/>
          <w:numId w:val="25"/>
        </w:numPr>
        <w:spacing w:line="400" w:lineRule="exact"/>
        <w:ind w:leftChars="0"/>
        <w:jc w:val="both"/>
        <w:rPr>
          <w:rFonts w:ascii="微軟正黑體" w:eastAsia="微軟正黑體" w:hAnsi="微軟正黑體"/>
        </w:rPr>
      </w:pPr>
      <w:proofErr w:type="gramStart"/>
      <w:r>
        <w:rPr>
          <w:rFonts w:ascii="微軟正黑體" w:eastAsia="微軟正黑體" w:hAnsi="微軟正黑體" w:hint="eastAsia"/>
        </w:rPr>
        <w:t>不計入授信</w:t>
      </w:r>
      <w:proofErr w:type="gramEnd"/>
      <w:r>
        <w:rPr>
          <w:rFonts w:ascii="微軟正黑體" w:eastAsia="微軟正黑體" w:hAnsi="微軟正黑體" w:hint="eastAsia"/>
        </w:rPr>
        <w:t>限額及授信總餘額內</w:t>
      </w:r>
    </w:p>
    <w:p w:rsidR="006F4DE8" w:rsidRDefault="006F4DE8" w:rsidP="009115E3">
      <w:pPr>
        <w:pStyle w:val="a3"/>
        <w:numPr>
          <w:ilvl w:val="0"/>
          <w:numId w:val="30"/>
        </w:numPr>
        <w:spacing w:line="400" w:lineRule="exact"/>
        <w:ind w:leftChars="0"/>
        <w:jc w:val="both"/>
        <w:rPr>
          <w:rFonts w:ascii="微軟正黑體" w:eastAsia="微軟正黑體" w:hAnsi="微軟正黑體"/>
        </w:rPr>
      </w:pPr>
      <w:r>
        <w:rPr>
          <w:rFonts w:ascii="微軟正黑體" w:eastAsia="微軟正黑體" w:hAnsi="微軟正黑體" w:hint="eastAsia"/>
        </w:rPr>
        <w:t>政府政策，經金管會或中央銀行核准之授信</w:t>
      </w:r>
    </w:p>
    <w:p w:rsidR="006F4DE8" w:rsidRDefault="006F4DE8" w:rsidP="009115E3">
      <w:pPr>
        <w:pStyle w:val="a3"/>
        <w:numPr>
          <w:ilvl w:val="0"/>
          <w:numId w:val="30"/>
        </w:numPr>
        <w:spacing w:line="400" w:lineRule="exact"/>
        <w:ind w:leftChars="0"/>
        <w:jc w:val="both"/>
        <w:rPr>
          <w:rFonts w:ascii="微軟正黑體" w:eastAsia="微軟正黑體" w:hAnsi="微軟正黑體"/>
        </w:rPr>
      </w:pPr>
      <w:r>
        <w:rPr>
          <w:rFonts w:ascii="微軟正黑體" w:eastAsia="微軟正黑體" w:hAnsi="微軟正黑體" w:hint="eastAsia"/>
        </w:rPr>
        <w:t>政府機關或公營事業之授信</w:t>
      </w:r>
    </w:p>
    <w:p w:rsidR="006F4DE8" w:rsidRDefault="006F4DE8" w:rsidP="009115E3">
      <w:pPr>
        <w:pStyle w:val="a3"/>
        <w:numPr>
          <w:ilvl w:val="0"/>
          <w:numId w:val="30"/>
        </w:numPr>
        <w:spacing w:line="400" w:lineRule="exact"/>
        <w:ind w:leftChars="0"/>
        <w:jc w:val="both"/>
        <w:rPr>
          <w:rFonts w:ascii="微軟正黑體" w:eastAsia="微軟正黑體" w:hAnsi="微軟正黑體"/>
        </w:rPr>
      </w:pPr>
      <w:r>
        <w:rPr>
          <w:rFonts w:ascii="微軟正黑體" w:eastAsia="微軟正黑體" w:hAnsi="微軟正黑體" w:hint="eastAsia"/>
        </w:rPr>
        <w:t>公債、國庫券、中央銀行儲蓄</w:t>
      </w:r>
      <w:proofErr w:type="gramStart"/>
      <w:r>
        <w:rPr>
          <w:rFonts w:ascii="微軟正黑體" w:eastAsia="微軟正黑體" w:hAnsi="微軟正黑體" w:hint="eastAsia"/>
        </w:rPr>
        <w:t>券</w:t>
      </w:r>
      <w:proofErr w:type="gramEnd"/>
      <w:r>
        <w:rPr>
          <w:rFonts w:ascii="微軟正黑體" w:eastAsia="微軟正黑體" w:hAnsi="微軟正黑體" w:hint="eastAsia"/>
        </w:rPr>
        <w:t>、中央銀行可轉讓定存單、本行存單、本行金融債券為擔保品之授信</w:t>
      </w:r>
    </w:p>
    <w:p w:rsidR="00E661BB" w:rsidRPr="006F4DE8" w:rsidRDefault="00E661BB" w:rsidP="009115E3">
      <w:pPr>
        <w:pStyle w:val="a3"/>
        <w:numPr>
          <w:ilvl w:val="0"/>
          <w:numId w:val="30"/>
        </w:numPr>
        <w:spacing w:line="400" w:lineRule="exact"/>
        <w:ind w:leftChars="0"/>
        <w:jc w:val="both"/>
        <w:rPr>
          <w:rFonts w:ascii="微軟正黑體" w:eastAsia="微軟正黑體" w:hAnsi="微軟正黑體"/>
        </w:rPr>
      </w:pPr>
      <w:r>
        <w:rPr>
          <w:rFonts w:ascii="微軟正黑體" w:eastAsia="微軟正黑體" w:hAnsi="微軟正黑體" w:hint="eastAsia"/>
        </w:rPr>
        <w:t>加強推動小額放款業務</w:t>
      </w:r>
      <w:r w:rsidRPr="00E661BB">
        <w:rPr>
          <w:rFonts w:ascii="微軟正黑體" w:eastAsia="微軟正黑體" w:hAnsi="微軟正黑體" w:hint="eastAsia"/>
          <w:shd w:val="clear" w:color="auto" w:fill="FFFF00"/>
        </w:rPr>
        <w:t>100萬</w:t>
      </w:r>
      <w:proofErr w:type="gramStart"/>
      <w:r>
        <w:rPr>
          <w:rFonts w:ascii="微軟正黑體" w:eastAsia="微軟正黑體" w:hAnsi="微軟正黑體" w:hint="eastAsia"/>
        </w:rPr>
        <w:t>以下授</w:t>
      </w:r>
      <w:proofErr w:type="gramEnd"/>
      <w:r>
        <w:rPr>
          <w:rFonts w:ascii="微軟正黑體" w:eastAsia="微軟正黑體" w:hAnsi="微軟正黑體" w:hint="eastAsia"/>
        </w:rPr>
        <w:t>信</w:t>
      </w:r>
    </w:p>
    <w:p w:rsidR="00303917" w:rsidRDefault="006F4DE8"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依金融資產證券化條例擔任創始機，將放款債權於放款當日信託與受託機關或讓與特殊目的公司且符合以下條件者，不列入授信限額、授信總額</w:t>
      </w:r>
    </w:p>
    <w:p w:rsidR="006F4DE8" w:rsidRDefault="006F4DE8" w:rsidP="009115E3">
      <w:pPr>
        <w:pStyle w:val="a3"/>
        <w:numPr>
          <w:ilvl w:val="0"/>
          <w:numId w:val="31"/>
        </w:numPr>
        <w:spacing w:line="400" w:lineRule="exact"/>
        <w:ind w:leftChars="0"/>
        <w:jc w:val="both"/>
        <w:rPr>
          <w:rFonts w:ascii="微軟正黑體" w:eastAsia="微軟正黑體" w:hAnsi="微軟正黑體"/>
        </w:rPr>
      </w:pPr>
      <w:r>
        <w:rPr>
          <w:rFonts w:ascii="微軟正黑體" w:eastAsia="微軟正黑體" w:hAnsi="微軟正黑體" w:hint="eastAsia"/>
        </w:rPr>
        <w:t>取得金管會同意依金融資產證券化條例信託或讓與資產之同意書</w:t>
      </w:r>
    </w:p>
    <w:p w:rsidR="006F4DE8" w:rsidRDefault="006F4DE8" w:rsidP="009115E3">
      <w:pPr>
        <w:pStyle w:val="a3"/>
        <w:numPr>
          <w:ilvl w:val="0"/>
          <w:numId w:val="31"/>
        </w:numPr>
        <w:spacing w:line="400" w:lineRule="exact"/>
        <w:ind w:leftChars="0"/>
        <w:jc w:val="both"/>
        <w:rPr>
          <w:rFonts w:ascii="微軟正黑體" w:eastAsia="微軟正黑體" w:hAnsi="微軟正黑體"/>
        </w:rPr>
      </w:pPr>
      <w:r>
        <w:rPr>
          <w:rFonts w:ascii="微軟正黑體" w:eastAsia="微軟正黑體" w:hAnsi="微軟正黑體" w:hint="eastAsia"/>
        </w:rPr>
        <w:t>會計師出示評估報告，表明可以於放款當日將放款資產移出資產負債表</w:t>
      </w:r>
    </w:p>
    <w:p w:rsidR="006F4DE8" w:rsidRDefault="006F4DE8" w:rsidP="009115E3">
      <w:pPr>
        <w:pStyle w:val="a3"/>
        <w:numPr>
          <w:ilvl w:val="0"/>
          <w:numId w:val="31"/>
        </w:numPr>
        <w:spacing w:line="400" w:lineRule="exact"/>
        <w:ind w:leftChars="0"/>
        <w:jc w:val="both"/>
        <w:rPr>
          <w:rFonts w:ascii="微軟正黑體" w:eastAsia="微軟正黑體" w:hAnsi="微軟正黑體"/>
        </w:rPr>
      </w:pPr>
      <w:r>
        <w:rPr>
          <w:rFonts w:ascii="微軟正黑體" w:eastAsia="微軟正黑體" w:hAnsi="微軟正黑體" w:hint="eastAsia"/>
        </w:rPr>
        <w:t>以確實對於證券化放款債權徵信</w:t>
      </w:r>
    </w:p>
    <w:p w:rsidR="00303917" w:rsidRDefault="006F4DE8"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金融控股公司之子公司及保險子公司可用於(三)，並符合金管會規定</w:t>
      </w:r>
    </w:p>
    <w:p w:rsidR="006F4DE8" w:rsidRDefault="006F4DE8"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該金融控股公司之負責人及大股東</w:t>
      </w:r>
    </w:p>
    <w:p w:rsidR="006F4DE8" w:rsidRDefault="006F4DE8"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金融控股公司之負責人及大股東為獨資或合夥經營</w:t>
      </w:r>
    </w:p>
    <w:p w:rsidR="006F4DE8" w:rsidRDefault="006F4DE8"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半數以上董事與金融控股公司或其子公司相同之公司</w:t>
      </w:r>
    </w:p>
    <w:p w:rsidR="006F4DE8" w:rsidRPr="006F4DE8" w:rsidRDefault="006F4DE8"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金融控股公司之子公司與該子公司負責人及大股東</w:t>
      </w:r>
    </w:p>
    <w:p w:rsidR="00303917" w:rsidRDefault="00473B57"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金管會規定條文</w:t>
      </w:r>
    </w:p>
    <w:p w:rsidR="00473B57" w:rsidRDefault="00473B57" w:rsidP="009115E3">
      <w:pPr>
        <w:pStyle w:val="a3"/>
        <w:numPr>
          <w:ilvl w:val="1"/>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需要十足擔保，且不得優於其他同類授信對象</w:t>
      </w:r>
    </w:p>
    <w:tbl>
      <w:tblPr>
        <w:tblStyle w:val="-5"/>
        <w:tblW w:w="9376" w:type="dxa"/>
        <w:tblInd w:w="1290" w:type="dxa"/>
        <w:tblLook w:val="04A0" w:firstRow="1" w:lastRow="0" w:firstColumn="1" w:lastColumn="0" w:noHBand="0" w:noVBand="1"/>
      </w:tblPr>
      <w:tblGrid>
        <w:gridCol w:w="5197"/>
        <w:gridCol w:w="1393"/>
        <w:gridCol w:w="1393"/>
        <w:gridCol w:w="1393"/>
      </w:tblGrid>
      <w:tr w:rsidR="00473B57" w:rsidTr="00AC2A78">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授信限額</w:t>
            </w:r>
          </w:p>
        </w:tc>
        <w:tc>
          <w:tcPr>
            <w:tcW w:w="1393" w:type="dxa"/>
          </w:tcPr>
          <w:p w:rsidR="00473B57"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p>
        </w:tc>
        <w:tc>
          <w:tcPr>
            <w:tcW w:w="1393" w:type="dxa"/>
          </w:tcPr>
          <w:p w:rsidR="00473B57"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金額</w:t>
            </w:r>
          </w:p>
        </w:tc>
        <w:tc>
          <w:tcPr>
            <w:tcW w:w="1393" w:type="dxa"/>
          </w:tcPr>
          <w:p w:rsidR="00473B57"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淨值</w:t>
            </w:r>
          </w:p>
        </w:tc>
      </w:tr>
      <w:tr w:rsidR="00473B57" w:rsidTr="00AC2A7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同一授信對象每筆或累計金額</w:t>
            </w:r>
          </w:p>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需要</w:t>
            </w:r>
            <w:r w:rsidRPr="008417D9">
              <w:rPr>
                <w:rFonts w:ascii="微軟正黑體" w:eastAsia="微軟正黑體" w:hAnsi="微軟正黑體" w:hint="eastAsia"/>
                <w:shd w:val="clear" w:color="auto" w:fill="FFFF00"/>
              </w:rPr>
              <w:t>2/3</w:t>
            </w:r>
            <w:r>
              <w:rPr>
                <w:rFonts w:ascii="微軟正黑體" w:eastAsia="微軟正黑體" w:hAnsi="微軟正黑體" w:hint="eastAsia"/>
              </w:rPr>
              <w:t>董事出席，</w:t>
            </w:r>
            <w:r w:rsidRPr="008417D9">
              <w:rPr>
                <w:rFonts w:ascii="微軟正黑體" w:eastAsia="微軟正黑體" w:hAnsi="微軟正黑體" w:hint="eastAsia"/>
                <w:shd w:val="clear" w:color="auto" w:fill="FFFF00"/>
              </w:rPr>
              <w:t>3/4</w:t>
            </w:r>
            <w:r>
              <w:rPr>
                <w:rFonts w:ascii="微軟正黑體" w:eastAsia="微軟正黑體" w:hAnsi="微軟正黑體" w:hint="eastAsia"/>
              </w:rPr>
              <w:t>出席董事同意</w:t>
            </w: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1億</w:t>
            </w: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w:t>
            </w:r>
          </w:p>
        </w:tc>
      </w:tr>
      <w:tr w:rsidR="00473B57" w:rsidTr="003942E4">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對於</w:t>
            </w:r>
            <w:r w:rsidRPr="00392593">
              <w:rPr>
                <w:rFonts w:ascii="微軟正黑體" w:eastAsia="微軟正黑體" w:hAnsi="微軟正黑體" w:hint="eastAsia"/>
                <w:shd w:val="clear" w:color="auto" w:fill="FFFF00"/>
              </w:rPr>
              <w:t>實收資本總額</w:t>
            </w:r>
            <w:r>
              <w:rPr>
                <w:rFonts w:ascii="微軟正黑體" w:eastAsia="微軟正黑體" w:hAnsi="微軟正黑體" w:hint="eastAsia"/>
                <w:shd w:val="clear" w:color="auto" w:fill="FFFF00"/>
              </w:rPr>
              <w:t>5%</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之企業、本行之負責</w:t>
            </w:r>
            <w:r>
              <w:rPr>
                <w:rFonts w:ascii="微軟正黑體" w:eastAsia="微軟正黑體" w:hAnsi="微軟正黑體" w:hint="eastAsia"/>
              </w:rPr>
              <w:lastRenderedPageBreak/>
              <w:t>人、職員、主要股東、利害關係者，同一法人總餘額</w:t>
            </w:r>
          </w:p>
        </w:tc>
        <w:tc>
          <w:tcPr>
            <w:tcW w:w="1393" w:type="dxa"/>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lastRenderedPageBreak/>
              <w:t>法人</w:t>
            </w:r>
          </w:p>
        </w:tc>
        <w:tc>
          <w:tcPr>
            <w:tcW w:w="1393" w:type="dxa"/>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shd w:val="clear" w:color="auto" w:fill="FFFF00"/>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&lt;10%</w:t>
            </w:r>
          </w:p>
        </w:tc>
      </w:tr>
      <w:tr w:rsidR="00473B57" w:rsidTr="00AC2A78">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473B57" w:rsidRDefault="00473B57" w:rsidP="00AC2A78">
            <w:pPr>
              <w:spacing w:line="400" w:lineRule="exact"/>
              <w:jc w:val="both"/>
              <w:rPr>
                <w:rFonts w:ascii="微軟正黑體" w:eastAsia="微軟正黑體" w:hAnsi="微軟正黑體"/>
              </w:rPr>
            </w:pP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自然人</w:t>
            </w: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p>
        </w:tc>
        <w:tc>
          <w:tcPr>
            <w:tcW w:w="1393" w:type="dxa"/>
            <w:vAlign w:val="center"/>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&lt;2%</w:t>
            </w:r>
          </w:p>
        </w:tc>
      </w:tr>
      <w:tr w:rsidR="00473B57" w:rsidTr="00AC2A78">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lastRenderedPageBreak/>
              <w:t>授信總額對於</w:t>
            </w:r>
            <w:r w:rsidRPr="00392593">
              <w:rPr>
                <w:rFonts w:ascii="微軟正黑體" w:eastAsia="微軟正黑體" w:hAnsi="微軟正黑體" w:hint="eastAsia"/>
                <w:shd w:val="clear" w:color="auto" w:fill="FFFF00"/>
              </w:rPr>
              <w:t>實收資本總額</w:t>
            </w:r>
            <w:r>
              <w:rPr>
                <w:rFonts w:ascii="微軟正黑體" w:eastAsia="微軟正黑體" w:hAnsi="微軟正黑體" w:hint="eastAsia"/>
                <w:shd w:val="clear" w:color="auto" w:fill="FFFF00"/>
              </w:rPr>
              <w:t>5%</w:t>
            </w:r>
            <w:r w:rsidRPr="00392593">
              <w:rPr>
                <w:rFonts w:ascii="微軟正黑體" w:eastAsia="微軟正黑體" w:hAnsi="微軟正黑體" w:hint="eastAsia"/>
                <w:shd w:val="clear" w:color="auto" w:fill="FFFF00"/>
              </w:rPr>
              <w:t>以上</w:t>
            </w:r>
            <w:r>
              <w:rPr>
                <w:rFonts w:ascii="微軟正黑體" w:eastAsia="微軟正黑體" w:hAnsi="微軟正黑體" w:hint="eastAsia"/>
              </w:rPr>
              <w:t>之企業、本行之負責人、職員、主要股東、利害關係者總餘額</w:t>
            </w:r>
          </w:p>
        </w:tc>
        <w:tc>
          <w:tcPr>
            <w:tcW w:w="1393" w:type="dxa"/>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p>
        </w:tc>
        <w:tc>
          <w:tcPr>
            <w:tcW w:w="1393" w:type="dxa"/>
            <w:vAlign w:val="center"/>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&lt;1.5倍</w:t>
            </w:r>
          </w:p>
        </w:tc>
      </w:tr>
    </w:tbl>
    <w:p w:rsidR="00E661BB" w:rsidRPr="00E661BB" w:rsidRDefault="00E661BB" w:rsidP="009115E3">
      <w:pPr>
        <w:pStyle w:val="a3"/>
        <w:numPr>
          <w:ilvl w:val="0"/>
          <w:numId w:val="32"/>
        </w:numPr>
        <w:spacing w:line="400" w:lineRule="exact"/>
        <w:ind w:leftChars="0"/>
        <w:jc w:val="both"/>
        <w:rPr>
          <w:rFonts w:ascii="微軟正黑體" w:eastAsia="微軟正黑體" w:hAnsi="微軟正黑體"/>
        </w:rPr>
      </w:pPr>
      <w:r>
        <w:rPr>
          <w:rFonts w:ascii="微軟正黑體" w:eastAsia="微軟正黑體" w:hAnsi="微軟正黑體" w:hint="eastAsia"/>
        </w:rPr>
        <w:t>金融控股公司應將所有子公司對同一人、同一關係人、同一關係企業、為授信、背書總額達金融控股公司</w:t>
      </w:r>
      <w:r w:rsidRPr="00E661BB">
        <w:rPr>
          <w:rFonts w:ascii="微軟正黑體" w:eastAsia="微軟正黑體" w:hAnsi="微軟正黑體" w:hint="eastAsia"/>
          <w:shd w:val="clear" w:color="auto" w:fill="FFFF00"/>
        </w:rPr>
        <w:t>淨值5%</w:t>
      </w:r>
      <w:r>
        <w:rPr>
          <w:rFonts w:ascii="微軟正黑體" w:eastAsia="微軟正黑體" w:hAnsi="微軟正黑體" w:hint="eastAsia"/>
        </w:rPr>
        <w:t>或</w:t>
      </w:r>
      <w:r w:rsidRPr="00E661BB">
        <w:rPr>
          <w:rFonts w:ascii="微軟正黑體" w:eastAsia="微軟正黑體" w:hAnsi="微軟正黑體" w:hint="eastAsia"/>
          <w:shd w:val="clear" w:color="auto" w:fill="FFFF00"/>
        </w:rPr>
        <w:t>30億</w:t>
      </w:r>
      <w:r>
        <w:rPr>
          <w:rFonts w:ascii="微軟正黑體" w:eastAsia="微軟正黑體" w:hAnsi="微軟正黑體" w:hint="eastAsia"/>
        </w:rPr>
        <w:t>須於各季終了</w:t>
      </w:r>
      <w:r w:rsidRPr="00E661BB">
        <w:rPr>
          <w:rFonts w:ascii="微軟正黑體" w:eastAsia="微軟正黑體" w:hAnsi="微軟正黑體" w:hint="eastAsia"/>
          <w:shd w:val="clear" w:color="auto" w:fill="FFFF00"/>
        </w:rPr>
        <w:t>30日</w:t>
      </w:r>
      <w:r>
        <w:rPr>
          <w:rFonts w:ascii="微軟正黑體" w:eastAsia="微軟正黑體" w:hAnsi="微軟正黑體" w:hint="eastAsia"/>
        </w:rPr>
        <w:t>內，向主管機關申報</w:t>
      </w:r>
    </w:p>
    <w:tbl>
      <w:tblPr>
        <w:tblStyle w:val="-4"/>
        <w:tblW w:w="9127" w:type="dxa"/>
        <w:tblInd w:w="1360" w:type="dxa"/>
        <w:tblLook w:val="04A0" w:firstRow="1" w:lastRow="0" w:firstColumn="1" w:lastColumn="0" w:noHBand="0" w:noVBand="1"/>
      </w:tblPr>
      <w:tblGrid>
        <w:gridCol w:w="3417"/>
        <w:gridCol w:w="2855"/>
        <w:gridCol w:w="2855"/>
      </w:tblGrid>
      <w:tr w:rsidR="00473B57" w:rsidTr="00473B5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淨值</w:t>
            </w:r>
          </w:p>
        </w:tc>
        <w:tc>
          <w:tcPr>
            <w:tcW w:w="2855" w:type="dxa"/>
          </w:tcPr>
          <w:p w:rsidR="00473B57" w:rsidRPr="00473B57"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rPr>
            </w:pPr>
            <w:r w:rsidRPr="00473B57">
              <w:rPr>
                <w:rFonts w:ascii="微軟正黑體" w:eastAsia="微軟正黑體" w:hAnsi="微軟正黑體" w:cstheme="minorBidi" w:hint="eastAsia"/>
                <w:bCs w:val="0"/>
              </w:rPr>
              <w:t>授信總餘額</w:t>
            </w:r>
          </w:p>
        </w:tc>
        <w:tc>
          <w:tcPr>
            <w:tcW w:w="2855" w:type="dxa"/>
          </w:tcPr>
          <w:p w:rsidR="00473B57" w:rsidRPr="00473B57"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rPr>
            </w:pPr>
            <w:r w:rsidRPr="00473B57">
              <w:rPr>
                <w:rFonts w:ascii="微軟正黑體" w:eastAsia="微軟正黑體" w:hAnsi="微軟正黑體" w:cstheme="minorBidi" w:hint="eastAsia"/>
                <w:bCs w:val="0"/>
              </w:rPr>
              <w:t>無擔保授信</w:t>
            </w:r>
          </w:p>
        </w:tc>
      </w:tr>
      <w:tr w:rsidR="00473B57" w:rsidTr="00473B5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同一自然人</w:t>
            </w:r>
          </w:p>
        </w:tc>
        <w:tc>
          <w:tcPr>
            <w:tcW w:w="2855"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3%</w:t>
            </w:r>
          </w:p>
        </w:tc>
        <w:tc>
          <w:tcPr>
            <w:tcW w:w="2855"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w:t>
            </w:r>
          </w:p>
        </w:tc>
      </w:tr>
      <w:tr w:rsidR="00473B57" w:rsidTr="00473B57">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同一法人</w:t>
            </w:r>
          </w:p>
        </w:tc>
        <w:tc>
          <w:tcPr>
            <w:tcW w:w="2855" w:type="dxa"/>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15%</w:t>
            </w:r>
          </w:p>
        </w:tc>
        <w:tc>
          <w:tcPr>
            <w:tcW w:w="2855" w:type="dxa"/>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5%</w:t>
            </w:r>
          </w:p>
        </w:tc>
      </w:tr>
      <w:tr w:rsidR="00473B57" w:rsidTr="00473B5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7"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同一公營企業</w:t>
            </w:r>
          </w:p>
        </w:tc>
        <w:tc>
          <w:tcPr>
            <w:tcW w:w="2855"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&lt;1倍</w:t>
            </w:r>
          </w:p>
        </w:tc>
        <w:tc>
          <w:tcPr>
            <w:tcW w:w="2855"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p>
        </w:tc>
      </w:tr>
    </w:tbl>
    <w:p w:rsidR="00473B57" w:rsidRPr="005D64B1" w:rsidRDefault="00473B57" w:rsidP="005D64B1">
      <w:pPr>
        <w:spacing w:line="400" w:lineRule="exact"/>
        <w:jc w:val="both"/>
        <w:rPr>
          <w:rFonts w:ascii="微軟正黑體" w:eastAsia="微軟正黑體" w:hAnsi="微軟正黑體"/>
        </w:rPr>
      </w:pPr>
    </w:p>
    <w:tbl>
      <w:tblPr>
        <w:tblStyle w:val="-4"/>
        <w:tblW w:w="9322" w:type="dxa"/>
        <w:tblInd w:w="1360" w:type="dxa"/>
        <w:tblLook w:val="04A0" w:firstRow="1" w:lastRow="0" w:firstColumn="1" w:lastColumn="0" w:noHBand="0" w:noVBand="1"/>
      </w:tblPr>
      <w:tblGrid>
        <w:gridCol w:w="2292"/>
        <w:gridCol w:w="1958"/>
        <w:gridCol w:w="1959"/>
        <w:gridCol w:w="1538"/>
        <w:gridCol w:w="1575"/>
      </w:tblGrid>
      <w:tr w:rsidR="00473B57" w:rsidTr="005D64B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292" w:type="dxa"/>
            <w:vMerge w:val="restart"/>
            <w:vAlign w:val="center"/>
          </w:tcPr>
          <w:p w:rsidR="00473B57" w:rsidRDefault="00473B57" w:rsidP="005D64B1">
            <w:pPr>
              <w:spacing w:line="400" w:lineRule="exact"/>
              <w:jc w:val="both"/>
              <w:rPr>
                <w:rFonts w:ascii="微軟正黑體" w:eastAsia="微軟正黑體" w:hAnsi="微軟正黑體"/>
              </w:rPr>
            </w:pPr>
            <w:r>
              <w:rPr>
                <w:rFonts w:ascii="微軟正黑體" w:eastAsia="微軟正黑體" w:hAnsi="微軟正黑體" w:hint="eastAsia"/>
              </w:rPr>
              <w:t>淨值</w:t>
            </w:r>
          </w:p>
        </w:tc>
        <w:tc>
          <w:tcPr>
            <w:tcW w:w="1958" w:type="dxa"/>
            <w:vMerge w:val="restart"/>
            <w:vAlign w:val="center"/>
          </w:tcPr>
          <w:p w:rsidR="00473B57" w:rsidRPr="00473B57"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rPr>
            </w:pPr>
            <w:r w:rsidRPr="00473B57">
              <w:rPr>
                <w:rFonts w:ascii="微軟正黑體" w:eastAsia="微軟正黑體" w:hAnsi="微軟正黑體" w:cstheme="minorBidi" w:hint="eastAsia"/>
                <w:bCs w:val="0"/>
              </w:rPr>
              <w:t>授信總餘額</w:t>
            </w:r>
          </w:p>
        </w:tc>
        <w:tc>
          <w:tcPr>
            <w:tcW w:w="1959" w:type="dxa"/>
            <w:vMerge w:val="restart"/>
            <w:vAlign w:val="center"/>
          </w:tcPr>
          <w:p w:rsidR="00473B57"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rPr>
            </w:pPr>
            <w:r>
              <w:rPr>
                <w:rFonts w:ascii="微軟正黑體" w:eastAsia="微軟正黑體" w:hAnsi="微軟正黑體" w:hint="eastAsia"/>
                <w:bCs w:val="0"/>
              </w:rPr>
              <w:t>無擔保授信</w:t>
            </w:r>
          </w:p>
        </w:tc>
        <w:tc>
          <w:tcPr>
            <w:tcW w:w="3113" w:type="dxa"/>
            <w:gridSpan w:val="2"/>
          </w:tcPr>
          <w:p w:rsidR="00473B57" w:rsidRPr="00473B57"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rPr>
            </w:pPr>
            <w:r>
              <w:rPr>
                <w:rFonts w:ascii="微軟正黑體" w:eastAsia="微軟正黑體" w:hAnsi="微軟正黑體" w:hint="eastAsia"/>
                <w:bCs w:val="0"/>
              </w:rPr>
              <w:t>自然人</w:t>
            </w:r>
          </w:p>
        </w:tc>
      </w:tr>
      <w:tr w:rsidR="00473B57" w:rsidTr="00473B5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292" w:type="dxa"/>
            <w:vMerge/>
          </w:tcPr>
          <w:p w:rsidR="00473B57" w:rsidRDefault="00473B57" w:rsidP="00AC2A78">
            <w:pPr>
              <w:spacing w:line="400" w:lineRule="exact"/>
              <w:jc w:val="both"/>
              <w:rPr>
                <w:rFonts w:ascii="微軟正黑體" w:eastAsia="微軟正黑體" w:hAnsi="微軟正黑體"/>
              </w:rPr>
            </w:pPr>
          </w:p>
        </w:tc>
        <w:tc>
          <w:tcPr>
            <w:tcW w:w="1958" w:type="dxa"/>
            <w:vMerge/>
          </w:tcPr>
          <w:p w:rsidR="00473B57" w:rsidRPr="00473B57"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rPr>
            </w:pPr>
          </w:p>
        </w:tc>
        <w:tc>
          <w:tcPr>
            <w:tcW w:w="1959" w:type="dxa"/>
            <w:vMerge/>
          </w:tcPr>
          <w:p w:rsidR="00473B57"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rPr>
            </w:pPr>
          </w:p>
        </w:tc>
        <w:tc>
          <w:tcPr>
            <w:tcW w:w="1538" w:type="dxa"/>
          </w:tcPr>
          <w:p w:rsidR="00473B57"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rPr>
            </w:pPr>
            <w:r>
              <w:rPr>
                <w:rFonts w:ascii="微軟正黑體" w:eastAsia="微軟正黑體" w:hAnsi="微軟正黑體" w:hint="eastAsia"/>
                <w:bCs/>
              </w:rPr>
              <w:t>總額</w:t>
            </w:r>
          </w:p>
        </w:tc>
        <w:tc>
          <w:tcPr>
            <w:tcW w:w="1575" w:type="dxa"/>
          </w:tcPr>
          <w:p w:rsidR="00473B57" w:rsidRPr="00473B57"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rPr>
            </w:pPr>
            <w:r>
              <w:rPr>
                <w:rFonts w:ascii="微軟正黑體" w:eastAsia="微軟正黑體" w:hAnsi="微軟正黑體" w:hint="eastAsia"/>
                <w:bCs/>
              </w:rPr>
              <w:t>無擔保授信</w:t>
            </w:r>
          </w:p>
        </w:tc>
      </w:tr>
      <w:tr w:rsidR="00473B57" w:rsidTr="007C4B4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292"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同一關係人</w:t>
            </w:r>
          </w:p>
        </w:tc>
        <w:tc>
          <w:tcPr>
            <w:tcW w:w="1958" w:type="dxa"/>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40%</w:t>
            </w:r>
          </w:p>
        </w:tc>
        <w:tc>
          <w:tcPr>
            <w:tcW w:w="1959" w:type="dxa"/>
            <w:shd w:val="clear" w:color="auto" w:fill="FFFF00"/>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10%</w:t>
            </w:r>
          </w:p>
        </w:tc>
        <w:tc>
          <w:tcPr>
            <w:tcW w:w="1538" w:type="dxa"/>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6%</w:t>
            </w:r>
          </w:p>
        </w:tc>
        <w:tc>
          <w:tcPr>
            <w:tcW w:w="1575" w:type="dxa"/>
          </w:tcPr>
          <w:p w:rsidR="00473B57"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w:t>
            </w:r>
          </w:p>
        </w:tc>
      </w:tr>
      <w:tr w:rsidR="00473B57" w:rsidTr="00AC2A7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292" w:type="dxa"/>
          </w:tcPr>
          <w:p w:rsidR="00473B57" w:rsidRDefault="00473B57" w:rsidP="00AC2A78">
            <w:pPr>
              <w:spacing w:line="400" w:lineRule="exact"/>
              <w:jc w:val="both"/>
              <w:rPr>
                <w:rFonts w:ascii="微軟正黑體" w:eastAsia="微軟正黑體" w:hAnsi="微軟正黑體"/>
              </w:rPr>
            </w:pPr>
            <w:r>
              <w:rPr>
                <w:rFonts w:ascii="微軟正黑體" w:eastAsia="微軟正黑體" w:hAnsi="微軟正黑體" w:hint="eastAsia"/>
              </w:rPr>
              <w:t>同一關係企業</w:t>
            </w:r>
          </w:p>
        </w:tc>
        <w:tc>
          <w:tcPr>
            <w:tcW w:w="1958"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40%</w:t>
            </w:r>
          </w:p>
        </w:tc>
        <w:tc>
          <w:tcPr>
            <w:tcW w:w="1959" w:type="dxa"/>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15%</w:t>
            </w:r>
          </w:p>
        </w:tc>
        <w:tc>
          <w:tcPr>
            <w:tcW w:w="3113" w:type="dxa"/>
            <w:gridSpan w:val="2"/>
          </w:tcPr>
          <w:p w:rsidR="00473B57"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rPr>
            </w:pPr>
            <w:r>
              <w:rPr>
                <w:rFonts w:ascii="微軟正黑體" w:eastAsia="微軟正黑體" w:hAnsi="微軟正黑體" w:hint="eastAsia"/>
              </w:rPr>
              <w:t>公營事業不予</w:t>
            </w:r>
            <w:proofErr w:type="gramStart"/>
            <w:r>
              <w:rPr>
                <w:rFonts w:ascii="微軟正黑體" w:eastAsia="微軟正黑體" w:hAnsi="微軟正黑體" w:hint="eastAsia"/>
              </w:rPr>
              <w:t>併</w:t>
            </w:r>
            <w:proofErr w:type="gramEnd"/>
            <w:r>
              <w:rPr>
                <w:rFonts w:ascii="微軟正黑體" w:eastAsia="微軟正黑體" w:hAnsi="微軟正黑體" w:hint="eastAsia"/>
              </w:rPr>
              <w:t>計</w:t>
            </w:r>
          </w:p>
        </w:tc>
      </w:tr>
    </w:tbl>
    <w:p w:rsidR="00E661BB" w:rsidRDefault="00E661BB" w:rsidP="00E661BB">
      <w:pPr>
        <w:pStyle w:val="a3"/>
        <w:spacing w:line="400" w:lineRule="exact"/>
        <w:ind w:leftChars="0" w:left="1440"/>
        <w:jc w:val="both"/>
        <w:rPr>
          <w:rFonts w:ascii="微軟正黑體" w:eastAsia="微軟正黑體" w:hAnsi="微軟正黑體"/>
        </w:rPr>
      </w:pPr>
    </w:p>
    <w:p w:rsidR="00303917" w:rsidRDefault="008B4F85"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中長期放款</w:t>
      </w:r>
    </w:p>
    <w:p w:rsidR="008B4F85" w:rsidRDefault="008B4F85" w:rsidP="009115E3">
      <w:pPr>
        <w:pStyle w:val="a3"/>
        <w:numPr>
          <w:ilvl w:val="0"/>
          <w:numId w:val="33"/>
        </w:numPr>
        <w:spacing w:line="400" w:lineRule="exact"/>
        <w:ind w:leftChars="0"/>
        <w:jc w:val="both"/>
        <w:rPr>
          <w:rFonts w:ascii="微軟正黑體" w:eastAsia="微軟正黑體" w:hAnsi="微軟正黑體"/>
        </w:rPr>
      </w:pPr>
      <w:r>
        <w:rPr>
          <w:rFonts w:ascii="微軟正黑體" w:eastAsia="微軟正黑體" w:hAnsi="微軟正黑體" w:hint="eastAsia"/>
        </w:rPr>
        <w:t>購買或建造住宅或企業用建築，最長期限不可超過</w:t>
      </w:r>
      <w:r w:rsidRPr="008B4F85">
        <w:rPr>
          <w:rFonts w:ascii="微軟正黑體" w:eastAsia="微軟正黑體" w:hAnsi="微軟正黑體" w:hint="eastAsia"/>
          <w:shd w:val="clear" w:color="auto" w:fill="FFFF00"/>
        </w:rPr>
        <w:t>30年</w:t>
      </w:r>
      <w:r>
        <w:rPr>
          <w:rFonts w:ascii="微軟正黑體" w:eastAsia="微軟正黑體" w:hAnsi="微軟正黑體" w:hint="eastAsia"/>
        </w:rPr>
        <w:t>，無自住宅者不在此限</w:t>
      </w:r>
    </w:p>
    <w:p w:rsidR="008140D5" w:rsidRDefault="008B4F85" w:rsidP="009115E3">
      <w:pPr>
        <w:pStyle w:val="a3"/>
        <w:numPr>
          <w:ilvl w:val="0"/>
          <w:numId w:val="33"/>
        </w:numPr>
        <w:spacing w:line="400" w:lineRule="exact"/>
        <w:ind w:leftChars="0"/>
        <w:jc w:val="both"/>
        <w:rPr>
          <w:rFonts w:ascii="微軟正黑體" w:eastAsia="微軟正黑體" w:hAnsi="微軟正黑體"/>
        </w:rPr>
      </w:pPr>
      <w:r>
        <w:rPr>
          <w:rFonts w:ascii="微軟正黑體" w:eastAsia="微軟正黑體" w:hAnsi="微軟正黑體" w:hint="eastAsia"/>
        </w:rPr>
        <w:t>商業銀行</w:t>
      </w:r>
    </w:p>
    <w:p w:rsidR="008B4F85" w:rsidRPr="008140D5" w:rsidRDefault="008B4F85" w:rsidP="009115E3">
      <w:pPr>
        <w:pStyle w:val="a3"/>
        <w:numPr>
          <w:ilvl w:val="1"/>
          <w:numId w:val="33"/>
        </w:numPr>
        <w:spacing w:line="400" w:lineRule="exact"/>
        <w:ind w:leftChars="0"/>
        <w:jc w:val="both"/>
        <w:rPr>
          <w:rFonts w:ascii="微軟正黑體" w:eastAsia="微軟正黑體" w:hAnsi="微軟正黑體"/>
        </w:rPr>
      </w:pPr>
      <w:r>
        <w:rPr>
          <w:rFonts w:ascii="微軟正黑體" w:eastAsia="微軟正黑體" w:hAnsi="微軟正黑體" w:hint="eastAsia"/>
        </w:rPr>
        <w:t>辦理住宅建築及企業建築放款總額，不得超過放款時收存款總餘額及金融</w:t>
      </w:r>
      <w:proofErr w:type="gramStart"/>
      <w:r>
        <w:rPr>
          <w:rFonts w:ascii="微軟正黑體" w:eastAsia="微軟正黑體" w:hAnsi="微軟正黑體" w:hint="eastAsia"/>
        </w:rPr>
        <w:t>再勸總發售</w:t>
      </w:r>
      <w:proofErr w:type="gramEnd"/>
      <w:r>
        <w:rPr>
          <w:rFonts w:ascii="微軟正黑體" w:eastAsia="微軟正黑體" w:hAnsi="微軟正黑體" w:hint="eastAsia"/>
        </w:rPr>
        <w:t>額之和</w:t>
      </w:r>
      <w:r w:rsidRPr="008B4F85">
        <w:rPr>
          <w:rFonts w:ascii="微軟正黑體" w:eastAsia="微軟正黑體" w:hAnsi="微軟正黑體" w:hint="eastAsia"/>
          <w:shd w:val="clear" w:color="auto" w:fill="FFFF00"/>
        </w:rPr>
        <w:t>30%</w:t>
      </w:r>
    </w:p>
    <w:p w:rsidR="008140D5" w:rsidRDefault="008140D5" w:rsidP="009115E3">
      <w:pPr>
        <w:pStyle w:val="a3"/>
        <w:numPr>
          <w:ilvl w:val="1"/>
          <w:numId w:val="33"/>
        </w:numPr>
        <w:spacing w:line="400" w:lineRule="exact"/>
        <w:ind w:leftChars="0"/>
        <w:jc w:val="both"/>
        <w:rPr>
          <w:rFonts w:ascii="微軟正黑體" w:eastAsia="微軟正黑體" w:hAnsi="微軟正黑體"/>
        </w:rPr>
      </w:pPr>
      <w:r>
        <w:rPr>
          <w:rFonts w:ascii="微軟正黑體" w:eastAsia="微軟正黑體" w:hAnsi="微軟正黑體" w:hint="eastAsia"/>
        </w:rPr>
        <w:t>辦理中長期放款之總餘額，不得超過定期存款總餘額</w:t>
      </w:r>
    </w:p>
    <w:p w:rsidR="008B4F85" w:rsidRDefault="008140D5" w:rsidP="009115E3">
      <w:pPr>
        <w:pStyle w:val="a3"/>
        <w:numPr>
          <w:ilvl w:val="0"/>
          <w:numId w:val="25"/>
        </w:numPr>
        <w:spacing w:line="400" w:lineRule="exact"/>
        <w:ind w:leftChars="0"/>
        <w:jc w:val="both"/>
        <w:rPr>
          <w:rFonts w:ascii="微軟正黑體" w:eastAsia="微軟正黑體" w:hAnsi="微軟正黑體"/>
        </w:rPr>
      </w:pPr>
      <w:r>
        <w:rPr>
          <w:rFonts w:ascii="微軟正黑體" w:eastAsia="微軟正黑體" w:hAnsi="微軟正黑體" w:hint="eastAsia"/>
        </w:rPr>
        <w:t>發行金融債券</w:t>
      </w:r>
    </w:p>
    <w:p w:rsidR="008140D5" w:rsidRDefault="008140D5" w:rsidP="008140D5">
      <w:pPr>
        <w:pStyle w:val="a3"/>
        <w:spacing w:line="400" w:lineRule="exact"/>
        <w:ind w:leftChars="0" w:left="960"/>
        <w:jc w:val="both"/>
        <w:rPr>
          <w:rFonts w:ascii="微軟正黑體" w:eastAsia="微軟正黑體" w:hAnsi="微軟正黑體"/>
          <w:shd w:val="clear" w:color="auto" w:fill="FFFF00"/>
        </w:rPr>
      </w:pPr>
      <w:r>
        <w:rPr>
          <w:rFonts w:ascii="微軟正黑體" w:eastAsia="微軟正黑體" w:hAnsi="微軟正黑體" w:hint="eastAsia"/>
        </w:rPr>
        <w:t>開始還本期限不得低於</w:t>
      </w:r>
      <w:r w:rsidR="007C4B4C">
        <w:rPr>
          <w:rFonts w:ascii="微軟正黑體" w:eastAsia="微軟正黑體" w:hAnsi="微軟正黑體" w:hint="eastAsia"/>
          <w:shd w:val="clear" w:color="auto" w:fill="FFFF00"/>
        </w:rPr>
        <w:t>2</w:t>
      </w:r>
      <w:r w:rsidRPr="008140D5">
        <w:rPr>
          <w:rFonts w:ascii="微軟正黑體" w:eastAsia="微軟正黑體" w:hAnsi="微軟正黑體" w:hint="eastAsia"/>
          <w:shd w:val="clear" w:color="auto" w:fill="FFFF00"/>
        </w:rPr>
        <w:t>年</w:t>
      </w:r>
    </w:p>
    <w:p w:rsidR="004A0333" w:rsidRPr="007C4B4C" w:rsidRDefault="004A0333" w:rsidP="004A0333">
      <w:pPr>
        <w:spacing w:line="400" w:lineRule="exact"/>
        <w:jc w:val="both"/>
        <w:rPr>
          <w:rFonts w:ascii="微軟正黑體" w:eastAsia="微軟正黑體" w:hAnsi="微軟正黑體"/>
        </w:rPr>
      </w:pPr>
    </w:p>
    <w:p w:rsidR="00303917" w:rsidRDefault="004A0333" w:rsidP="009115E3">
      <w:pPr>
        <w:pStyle w:val="a3"/>
        <w:numPr>
          <w:ilvl w:val="0"/>
          <w:numId w:val="1"/>
        </w:numPr>
        <w:spacing w:line="440" w:lineRule="exact"/>
        <w:ind w:leftChars="0"/>
        <w:jc w:val="both"/>
        <w:rPr>
          <w:rFonts w:ascii="微軟正黑體" w:eastAsia="微軟正黑體" w:hAnsi="微軟正黑體"/>
          <w:sz w:val="28"/>
          <w:szCs w:val="28"/>
        </w:rPr>
      </w:pPr>
      <w:r w:rsidRPr="004A0333">
        <w:rPr>
          <w:rFonts w:ascii="微軟正黑體" w:eastAsia="微軟正黑體" w:hAnsi="微軟正黑體" w:hint="eastAsia"/>
          <w:sz w:val="28"/>
          <w:szCs w:val="28"/>
        </w:rPr>
        <w:t>授信原則</w:t>
      </w:r>
    </w:p>
    <w:p w:rsidR="004A0333" w:rsidRPr="00201D9E" w:rsidRDefault="00275729" w:rsidP="009115E3">
      <w:pPr>
        <w:pStyle w:val="a3"/>
        <w:numPr>
          <w:ilvl w:val="0"/>
          <w:numId w:val="34"/>
        </w:numPr>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基本原則</w:t>
      </w:r>
    </w:p>
    <w:p w:rsidR="00201D9E" w:rsidRPr="00201D9E" w:rsidRDefault="00275729" w:rsidP="00201D9E">
      <w:pPr>
        <w:spacing w:line="400" w:lineRule="exact"/>
        <w:ind w:firstLine="480"/>
        <w:jc w:val="both"/>
        <w:rPr>
          <w:rFonts w:ascii="微軟正黑體" w:eastAsia="微軟正黑體" w:hAnsi="微軟正黑體"/>
          <w:szCs w:val="24"/>
        </w:rPr>
      </w:pPr>
      <w:r w:rsidRPr="00201D9E">
        <w:rPr>
          <w:rFonts w:ascii="微軟正黑體" w:eastAsia="微軟正黑體" w:hAnsi="微軟正黑體" w:hint="eastAsia"/>
          <w:szCs w:val="24"/>
        </w:rPr>
        <w:t>安全性、流動性、公益性、收益性、成長性</w:t>
      </w:r>
    </w:p>
    <w:p w:rsidR="00201D9E" w:rsidRPr="00201D9E" w:rsidRDefault="00201D9E" w:rsidP="009115E3">
      <w:pPr>
        <w:pStyle w:val="a3"/>
        <w:numPr>
          <w:ilvl w:val="0"/>
          <w:numId w:val="34"/>
        </w:numPr>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審核原則</w:t>
      </w:r>
    </w:p>
    <w:p w:rsidR="00201D9E" w:rsidRPr="00201D9E" w:rsidRDefault="00201D9E" w:rsidP="00201D9E">
      <w:pPr>
        <w:pStyle w:val="a3"/>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借款戶、資金用途、償還來源、債權保障、授信展望</w:t>
      </w:r>
    </w:p>
    <w:p w:rsidR="00201D9E" w:rsidRPr="00201D9E" w:rsidRDefault="00201D9E" w:rsidP="009115E3">
      <w:pPr>
        <w:pStyle w:val="a3"/>
        <w:numPr>
          <w:ilvl w:val="0"/>
          <w:numId w:val="34"/>
        </w:numPr>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管理意識</w:t>
      </w:r>
    </w:p>
    <w:p w:rsidR="00201D9E" w:rsidRPr="00201D9E" w:rsidRDefault="00201D9E" w:rsidP="00201D9E">
      <w:pPr>
        <w:pStyle w:val="a3"/>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正當性、合理性、必要性</w:t>
      </w:r>
    </w:p>
    <w:p w:rsidR="00201D9E" w:rsidRDefault="00201D9E" w:rsidP="00201D9E">
      <w:pPr>
        <w:pStyle w:val="a3"/>
        <w:spacing w:line="400" w:lineRule="exact"/>
        <w:ind w:leftChars="0"/>
        <w:jc w:val="both"/>
        <w:rPr>
          <w:rFonts w:ascii="微軟正黑體" w:eastAsia="微軟正黑體" w:hAnsi="微軟正黑體"/>
          <w:sz w:val="28"/>
          <w:szCs w:val="28"/>
        </w:rPr>
      </w:pPr>
    </w:p>
    <w:p w:rsidR="00201D9E" w:rsidRDefault="00201D9E">
      <w:pPr>
        <w:widowControl/>
        <w:rPr>
          <w:rFonts w:ascii="微軟正黑體" w:eastAsia="微軟正黑體" w:hAnsi="微軟正黑體"/>
          <w:sz w:val="28"/>
          <w:szCs w:val="28"/>
        </w:rPr>
      </w:pPr>
      <w:r>
        <w:rPr>
          <w:rFonts w:ascii="微軟正黑體" w:eastAsia="微軟正黑體" w:hAnsi="微軟正黑體"/>
          <w:sz w:val="28"/>
          <w:szCs w:val="28"/>
        </w:rPr>
        <w:br w:type="page"/>
      </w:r>
    </w:p>
    <w:p w:rsidR="00201D9E" w:rsidRDefault="00201D9E" w:rsidP="009115E3">
      <w:pPr>
        <w:pStyle w:val="a3"/>
        <w:numPr>
          <w:ilvl w:val="0"/>
          <w:numId w:val="1"/>
        </w:numPr>
        <w:spacing w:line="440" w:lineRule="exact"/>
        <w:ind w:leftChars="0"/>
        <w:jc w:val="both"/>
        <w:rPr>
          <w:rFonts w:ascii="微軟正黑體" w:eastAsia="微軟正黑體" w:hAnsi="微軟正黑體"/>
          <w:sz w:val="28"/>
          <w:szCs w:val="28"/>
        </w:rPr>
      </w:pPr>
      <w:r>
        <w:rPr>
          <w:rFonts w:ascii="微軟正黑體" w:eastAsia="微軟正黑體" w:hAnsi="微軟正黑體" w:hint="eastAsia"/>
          <w:sz w:val="28"/>
          <w:szCs w:val="28"/>
        </w:rPr>
        <w:lastRenderedPageBreak/>
        <w:t>徵信</w:t>
      </w:r>
    </w:p>
    <w:p w:rsidR="00201D9E" w:rsidRPr="00201D9E" w:rsidRDefault="00201D9E" w:rsidP="009115E3">
      <w:pPr>
        <w:pStyle w:val="a3"/>
        <w:numPr>
          <w:ilvl w:val="0"/>
          <w:numId w:val="35"/>
        </w:numPr>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權責劃分</w:t>
      </w:r>
      <w:r>
        <w:rPr>
          <w:rFonts w:ascii="微軟正黑體" w:eastAsia="微軟正黑體" w:hAnsi="微軟正黑體" w:hint="eastAsia"/>
          <w:szCs w:val="24"/>
        </w:rPr>
        <w:t>與調查</w:t>
      </w:r>
    </w:p>
    <w:p w:rsidR="00201D9E" w:rsidRDefault="00201D9E" w:rsidP="009115E3">
      <w:pPr>
        <w:pStyle w:val="a3"/>
        <w:numPr>
          <w:ilvl w:val="0"/>
          <w:numId w:val="36"/>
        </w:numPr>
        <w:spacing w:line="400" w:lineRule="exact"/>
        <w:ind w:leftChars="0"/>
        <w:jc w:val="both"/>
        <w:rPr>
          <w:rFonts w:ascii="微軟正黑體" w:eastAsia="微軟正黑體" w:hAnsi="微軟正黑體"/>
          <w:szCs w:val="24"/>
        </w:rPr>
      </w:pPr>
      <w:r w:rsidRPr="00201D9E">
        <w:rPr>
          <w:rFonts w:ascii="微軟正黑體" w:eastAsia="微軟正黑體" w:hAnsi="微軟正黑體" w:hint="eastAsia"/>
          <w:szCs w:val="24"/>
        </w:rPr>
        <w:t>徵信所需資料</w:t>
      </w:r>
      <w:r>
        <w:rPr>
          <w:rFonts w:ascii="微軟正黑體" w:eastAsia="微軟正黑體" w:hAnsi="微軟正黑體" w:hint="eastAsia"/>
          <w:szCs w:val="24"/>
        </w:rPr>
        <w:t>應由營業單位負責索取</w:t>
      </w:r>
      <w:r w:rsidR="009070C3">
        <w:rPr>
          <w:rFonts w:ascii="微軟正黑體" w:eastAsia="微軟正黑體" w:hAnsi="微軟正黑體" w:hint="eastAsia"/>
          <w:szCs w:val="24"/>
        </w:rPr>
        <w:t>，並移送徵信單位辦理徵信</w:t>
      </w:r>
    </w:p>
    <w:p w:rsidR="009070C3" w:rsidRDefault="009070C3" w:rsidP="009115E3">
      <w:pPr>
        <w:pStyle w:val="a3"/>
        <w:numPr>
          <w:ilvl w:val="0"/>
          <w:numId w:val="36"/>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應以直接調查為主，間接調查為輔</w:t>
      </w:r>
    </w:p>
    <w:p w:rsidR="009070C3" w:rsidRDefault="009070C3" w:rsidP="009115E3">
      <w:pPr>
        <w:pStyle w:val="a3"/>
        <w:numPr>
          <w:ilvl w:val="0"/>
          <w:numId w:val="36"/>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徵信單位得配合營業單位派員實地調查</w:t>
      </w:r>
    </w:p>
    <w:p w:rsidR="00FA7233" w:rsidRDefault="00FA7233" w:rsidP="009115E3">
      <w:pPr>
        <w:pStyle w:val="a3"/>
        <w:numPr>
          <w:ilvl w:val="0"/>
          <w:numId w:val="36"/>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授信案件於</w:t>
      </w:r>
      <w:proofErr w:type="gramStart"/>
      <w:r>
        <w:rPr>
          <w:rFonts w:ascii="微軟正黑體" w:eastAsia="微軟正黑體" w:hAnsi="微軟正黑體" w:hint="eastAsia"/>
          <w:szCs w:val="24"/>
        </w:rPr>
        <w:t>核貸前須</w:t>
      </w:r>
      <w:proofErr w:type="gramEnd"/>
      <w:r>
        <w:rPr>
          <w:rFonts w:ascii="微軟正黑體" w:eastAsia="微軟正黑體" w:hAnsi="微軟正黑體" w:hint="eastAsia"/>
          <w:szCs w:val="24"/>
        </w:rPr>
        <w:t>先辦理徵信</w:t>
      </w:r>
    </w:p>
    <w:p w:rsidR="009070C3" w:rsidRDefault="009070C3" w:rsidP="009115E3">
      <w:pPr>
        <w:pStyle w:val="a3"/>
        <w:numPr>
          <w:ilvl w:val="0"/>
          <w:numId w:val="35"/>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徵信資料</w:t>
      </w:r>
    </w:p>
    <w:p w:rsidR="009070C3" w:rsidRDefault="009070C3" w:rsidP="009115E3">
      <w:pPr>
        <w:pStyle w:val="a3"/>
        <w:numPr>
          <w:ilvl w:val="0"/>
          <w:numId w:val="37"/>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企業授信</w:t>
      </w:r>
    </w:p>
    <w:p w:rsidR="009070C3" w:rsidRDefault="009070C3" w:rsidP="009115E3">
      <w:pPr>
        <w:pStyle w:val="a3"/>
        <w:numPr>
          <w:ilvl w:val="0"/>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短期授信</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授信戶資料表</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登記證件影本</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章程或合夥契約影本</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董監事名冊影本</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股東名冊或合夥名冊或公開發行公司更變</w:t>
      </w:r>
      <w:proofErr w:type="gramStart"/>
      <w:r>
        <w:rPr>
          <w:rFonts w:ascii="微軟正黑體" w:eastAsia="微軟正黑體" w:hAnsi="微軟正黑體" w:hint="eastAsia"/>
          <w:szCs w:val="24"/>
        </w:rPr>
        <w:t>登記表影本</w:t>
      </w:r>
      <w:proofErr w:type="gramEnd"/>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主要負責人、保證人之資料表</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sidRPr="009070C3">
        <w:rPr>
          <w:rFonts w:ascii="微軟正黑體" w:eastAsia="微軟正黑體" w:hAnsi="微軟正黑體" w:hint="eastAsia"/>
          <w:szCs w:val="24"/>
          <w:shd w:val="clear" w:color="auto" w:fill="FFFF00"/>
        </w:rPr>
        <w:t>最近</w:t>
      </w:r>
      <w:r w:rsidR="0081232D">
        <w:rPr>
          <w:rFonts w:ascii="微軟正黑體" w:eastAsia="微軟正黑體" w:hAnsi="微軟正黑體" w:hint="eastAsia"/>
          <w:szCs w:val="24"/>
          <w:shd w:val="clear" w:color="auto" w:fill="FFFF00"/>
        </w:rPr>
        <w:t>3</w:t>
      </w:r>
      <w:r w:rsidRPr="009070C3">
        <w:rPr>
          <w:rFonts w:ascii="微軟正黑體" w:eastAsia="微軟正黑體" w:hAnsi="微軟正黑體" w:hint="eastAsia"/>
          <w:szCs w:val="24"/>
          <w:shd w:val="clear" w:color="auto" w:fill="FFFF00"/>
        </w:rPr>
        <w:t>年</w:t>
      </w:r>
      <w:r>
        <w:rPr>
          <w:rFonts w:ascii="微軟正黑體" w:eastAsia="微軟正黑體" w:hAnsi="微軟正黑體" w:hint="eastAsia"/>
          <w:szCs w:val="24"/>
        </w:rPr>
        <w:t>之產負債表、損益表或會計師財務報表查核報告</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最近稅捐機關納稅證明影本</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同一關係企業及集團企業資料表</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企業三書表</w:t>
      </w:r>
    </w:p>
    <w:p w:rsidR="009070C3" w:rsidRDefault="009070C3" w:rsidP="009115E3">
      <w:pPr>
        <w:pStyle w:val="a3"/>
        <w:numPr>
          <w:ilvl w:val="0"/>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中長期授信</w:t>
      </w:r>
    </w:p>
    <w:p w:rsidR="009070C3" w:rsidRPr="009070C3" w:rsidRDefault="009070C3" w:rsidP="009070C3">
      <w:pPr>
        <w:pStyle w:val="a3"/>
        <w:spacing w:line="400" w:lineRule="exact"/>
        <w:ind w:leftChars="0" w:left="1440"/>
        <w:jc w:val="both"/>
        <w:rPr>
          <w:rFonts w:ascii="微軟正黑體" w:eastAsia="微軟正黑體" w:hAnsi="微軟正黑體"/>
          <w:color w:val="FF0000"/>
          <w:szCs w:val="24"/>
        </w:rPr>
      </w:pPr>
      <w:r w:rsidRPr="009070C3">
        <w:rPr>
          <w:rFonts w:ascii="微軟正黑體" w:eastAsia="微軟正黑體" w:hAnsi="微軟正黑體" w:hint="eastAsia"/>
          <w:color w:val="FF0000"/>
          <w:szCs w:val="24"/>
        </w:rPr>
        <w:t>(短期授信展期續約超過一年)</w:t>
      </w:r>
    </w:p>
    <w:p w:rsidR="009070C3" w:rsidRDefault="009070C3" w:rsidP="009070C3">
      <w:pPr>
        <w:spacing w:line="400" w:lineRule="exact"/>
        <w:ind w:left="960" w:firstLine="480"/>
        <w:jc w:val="both"/>
        <w:rPr>
          <w:rFonts w:ascii="微軟正黑體" w:eastAsia="微軟正黑體" w:hAnsi="微軟正黑體"/>
          <w:szCs w:val="24"/>
        </w:rPr>
      </w:pPr>
      <w:r>
        <w:rPr>
          <w:rFonts w:ascii="微軟正黑體" w:eastAsia="微軟正黑體" w:hAnsi="微軟正黑體" w:hint="eastAsia"/>
          <w:szCs w:val="24"/>
        </w:rPr>
        <w:t>其中存單質借、出口押匯、進口押匯之金額達</w:t>
      </w:r>
      <w:r w:rsidRPr="009070C3">
        <w:rPr>
          <w:rFonts w:ascii="微軟正黑體" w:eastAsia="微軟正黑體" w:hAnsi="微軟正黑體" w:hint="eastAsia"/>
          <w:szCs w:val="24"/>
          <w:shd w:val="clear" w:color="auto" w:fill="FFFF00"/>
        </w:rPr>
        <w:t>2億元</w:t>
      </w:r>
      <w:r>
        <w:rPr>
          <w:rFonts w:ascii="微軟正黑體" w:eastAsia="微軟正黑體" w:hAnsi="微軟正黑體" w:hint="eastAsia"/>
          <w:szCs w:val="24"/>
        </w:rPr>
        <w:t>得加付</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營運計畫</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現金流量估計表</w:t>
      </w:r>
    </w:p>
    <w:p w:rsid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預估資產負載表</w:t>
      </w:r>
    </w:p>
    <w:p w:rsidR="009070C3" w:rsidRPr="009070C3" w:rsidRDefault="009070C3" w:rsidP="009115E3">
      <w:pPr>
        <w:pStyle w:val="a3"/>
        <w:numPr>
          <w:ilvl w:val="1"/>
          <w:numId w:val="38"/>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預估損益表</w:t>
      </w:r>
    </w:p>
    <w:p w:rsidR="009070C3" w:rsidRPr="009070C3" w:rsidRDefault="009070C3" w:rsidP="009070C3">
      <w:pPr>
        <w:spacing w:line="400" w:lineRule="exact"/>
        <w:ind w:left="960" w:firstLine="480"/>
        <w:jc w:val="both"/>
        <w:rPr>
          <w:rFonts w:ascii="微軟正黑體" w:eastAsia="微軟正黑體" w:hAnsi="微軟正黑體"/>
          <w:color w:val="FF0000"/>
          <w:szCs w:val="24"/>
        </w:rPr>
      </w:pPr>
      <w:r w:rsidRPr="009070C3">
        <w:rPr>
          <w:rFonts w:ascii="微軟正黑體" w:eastAsia="微軟正黑體" w:hAnsi="微軟正黑體" w:hint="eastAsia"/>
          <w:color w:val="FF0000"/>
          <w:szCs w:val="24"/>
        </w:rPr>
        <w:t>(</w:t>
      </w:r>
      <w:r>
        <w:rPr>
          <w:rFonts w:ascii="微軟正黑體" w:eastAsia="微軟正黑體" w:hAnsi="微軟正黑體" w:hint="eastAsia"/>
          <w:color w:val="FF0000"/>
          <w:szCs w:val="24"/>
        </w:rPr>
        <w:t>中長期</w:t>
      </w:r>
      <w:r w:rsidRPr="009070C3">
        <w:rPr>
          <w:rFonts w:ascii="微軟正黑體" w:eastAsia="微軟正黑體" w:hAnsi="微軟正黑體" w:hint="eastAsia"/>
          <w:color w:val="FF0000"/>
          <w:szCs w:val="24"/>
        </w:rPr>
        <w:t>授信)</w:t>
      </w:r>
    </w:p>
    <w:p w:rsidR="00FA7233" w:rsidRDefault="00FA7233" w:rsidP="00FA7233">
      <w:pPr>
        <w:spacing w:line="400" w:lineRule="exact"/>
        <w:ind w:left="960" w:firstLine="480"/>
        <w:jc w:val="both"/>
        <w:rPr>
          <w:rFonts w:ascii="微軟正黑體" w:eastAsia="微軟正黑體" w:hAnsi="微軟正黑體"/>
          <w:szCs w:val="24"/>
        </w:rPr>
      </w:pPr>
      <w:r>
        <w:rPr>
          <w:rFonts w:ascii="微軟正黑體" w:eastAsia="微軟正黑體" w:hAnsi="微軟正黑體" w:hint="eastAsia"/>
          <w:szCs w:val="24"/>
        </w:rPr>
        <w:t>總授信之金額達</w:t>
      </w:r>
      <w:r w:rsidRPr="009070C3">
        <w:rPr>
          <w:rFonts w:ascii="微軟正黑體" w:eastAsia="微軟正黑體" w:hAnsi="微軟正黑體" w:hint="eastAsia"/>
          <w:szCs w:val="24"/>
          <w:shd w:val="clear" w:color="auto" w:fill="FFFF00"/>
        </w:rPr>
        <w:t>2億元</w:t>
      </w:r>
      <w:r>
        <w:rPr>
          <w:rFonts w:ascii="微軟正黑體" w:eastAsia="微軟正黑體" w:hAnsi="微軟正黑體" w:hint="eastAsia"/>
          <w:szCs w:val="24"/>
        </w:rPr>
        <w:t>得加付</w:t>
      </w:r>
    </w:p>
    <w:p w:rsidR="009070C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個案預計資金來源去路表</w:t>
      </w:r>
    </w:p>
    <w:p w:rsidR="00FA723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建廠進度表</w:t>
      </w:r>
    </w:p>
    <w:p w:rsidR="00FA723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營運計畫</w:t>
      </w:r>
    </w:p>
    <w:p w:rsidR="00FA723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現金流量估計表</w:t>
      </w:r>
    </w:p>
    <w:p w:rsidR="00FA723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預估資產負債表</w:t>
      </w:r>
    </w:p>
    <w:p w:rsidR="00FA7233" w:rsidRPr="00FA7233" w:rsidRDefault="00FA7233" w:rsidP="009115E3">
      <w:pPr>
        <w:pStyle w:val="a3"/>
        <w:numPr>
          <w:ilvl w:val="0"/>
          <w:numId w:val="3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預估損益表</w:t>
      </w:r>
    </w:p>
    <w:p w:rsidR="009070C3" w:rsidRDefault="00FA7233" w:rsidP="009115E3">
      <w:pPr>
        <w:pStyle w:val="a3"/>
        <w:numPr>
          <w:ilvl w:val="0"/>
          <w:numId w:val="35"/>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徵信範圍</w:t>
      </w:r>
    </w:p>
    <w:p w:rsidR="00FA7233" w:rsidRDefault="00FA7233" w:rsidP="009115E3">
      <w:pPr>
        <w:pStyle w:val="a3"/>
        <w:numPr>
          <w:ilvl w:val="0"/>
          <w:numId w:val="40"/>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免徵信案件</w:t>
      </w:r>
    </w:p>
    <w:p w:rsidR="00FA7233" w:rsidRDefault="00FA7233" w:rsidP="00FA7233">
      <w:pPr>
        <w:pStyle w:val="a3"/>
        <w:spacing w:line="400" w:lineRule="exact"/>
        <w:ind w:leftChars="0" w:left="960"/>
        <w:jc w:val="both"/>
        <w:rPr>
          <w:rFonts w:ascii="微軟正黑體" w:eastAsia="微軟正黑體" w:hAnsi="微軟正黑體"/>
          <w:szCs w:val="24"/>
        </w:rPr>
      </w:pPr>
      <w:r>
        <w:rPr>
          <w:rFonts w:ascii="微軟正黑體" w:eastAsia="微軟正黑體" w:hAnsi="微軟正黑體" w:hint="eastAsia"/>
          <w:szCs w:val="24"/>
        </w:rPr>
        <w:t>提供定存單十足擔保之授信，得斟酌免徵取徵信文件</w:t>
      </w:r>
    </w:p>
    <w:p w:rsidR="00FA7233" w:rsidRDefault="00FA7233" w:rsidP="009115E3">
      <w:pPr>
        <w:pStyle w:val="a3"/>
        <w:numPr>
          <w:ilvl w:val="0"/>
          <w:numId w:val="40"/>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企業徵信範圍</w:t>
      </w:r>
    </w:p>
    <w:p w:rsidR="00FA7233" w:rsidRDefault="00FA7233" w:rsidP="009115E3">
      <w:pPr>
        <w:pStyle w:val="a3"/>
        <w:numPr>
          <w:ilvl w:val="0"/>
          <w:numId w:val="41"/>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lastRenderedPageBreak/>
        <w:t>短期授信</w:t>
      </w:r>
    </w:p>
    <w:p w:rsidR="00FA7233" w:rsidRDefault="00FA7233" w:rsidP="009115E3">
      <w:pPr>
        <w:pStyle w:val="a3"/>
        <w:numPr>
          <w:ilvl w:val="0"/>
          <w:numId w:val="41"/>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中長期授信(包含</w:t>
      </w:r>
      <w:r w:rsidRPr="00FA7233">
        <w:rPr>
          <w:rFonts w:ascii="微軟正黑體" w:eastAsia="微軟正黑體" w:hAnsi="微軟正黑體" w:hint="eastAsia"/>
          <w:szCs w:val="24"/>
        </w:rPr>
        <w:t>短期授信展期續約超過一年</w:t>
      </w:r>
      <w:r>
        <w:rPr>
          <w:rFonts w:ascii="微軟正黑體" w:eastAsia="微軟正黑體" w:hAnsi="微軟正黑體" w:hint="eastAsia"/>
          <w:szCs w:val="24"/>
        </w:rPr>
        <w:t>)</w:t>
      </w:r>
    </w:p>
    <w:p w:rsidR="00FA7233" w:rsidRDefault="00FA7233" w:rsidP="009115E3">
      <w:pPr>
        <w:pStyle w:val="a3"/>
        <w:numPr>
          <w:ilvl w:val="0"/>
          <w:numId w:val="41"/>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中小企業徵信範圍</w:t>
      </w:r>
    </w:p>
    <w:p w:rsidR="00FA7233" w:rsidRPr="00FA7233" w:rsidRDefault="00FA7233" w:rsidP="00FA7233">
      <w:pPr>
        <w:spacing w:line="400" w:lineRule="exact"/>
        <w:ind w:left="1440"/>
        <w:jc w:val="both"/>
        <w:rPr>
          <w:rFonts w:ascii="微軟正黑體" w:eastAsia="微軟正黑體" w:hAnsi="微軟正黑體"/>
          <w:szCs w:val="24"/>
        </w:rPr>
      </w:pPr>
      <w:r>
        <w:rPr>
          <w:rFonts w:ascii="微軟正黑體" w:eastAsia="微軟正黑體" w:hAnsi="微軟正黑體" w:hint="eastAsia"/>
          <w:szCs w:val="24"/>
        </w:rPr>
        <w:t>金額在600萬以下或1500萬以下具有十足擔保，可簡化徵信範圍</w:t>
      </w:r>
    </w:p>
    <w:p w:rsidR="00FA7233" w:rsidRDefault="00FA7233" w:rsidP="009115E3">
      <w:pPr>
        <w:pStyle w:val="a3"/>
        <w:numPr>
          <w:ilvl w:val="0"/>
          <w:numId w:val="40"/>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個人徵信</w:t>
      </w:r>
    </w:p>
    <w:p w:rsidR="00FA7233" w:rsidRDefault="00FA7233" w:rsidP="009115E3">
      <w:pPr>
        <w:pStyle w:val="a3"/>
        <w:numPr>
          <w:ilvl w:val="0"/>
          <w:numId w:val="42"/>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金額達</w:t>
      </w:r>
      <w:r w:rsidRPr="00FA7233">
        <w:rPr>
          <w:rFonts w:ascii="微軟正黑體" w:eastAsia="微軟正黑體" w:hAnsi="微軟正黑體" w:hint="eastAsia"/>
          <w:szCs w:val="24"/>
          <w:shd w:val="clear" w:color="auto" w:fill="FFFF00"/>
        </w:rPr>
        <w:t>2000萬</w:t>
      </w:r>
      <w:r>
        <w:rPr>
          <w:rFonts w:ascii="微軟正黑體" w:eastAsia="微軟正黑體" w:hAnsi="微軟正黑體" w:hint="eastAsia"/>
          <w:szCs w:val="24"/>
        </w:rPr>
        <w:t>者，須核對XX資料</w:t>
      </w:r>
    </w:p>
    <w:p w:rsidR="00FA7233" w:rsidRDefault="00FA7233" w:rsidP="009115E3">
      <w:pPr>
        <w:pStyle w:val="a3"/>
        <w:numPr>
          <w:ilvl w:val="0"/>
          <w:numId w:val="42"/>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填送個人收入情況，與綜合所得稅申請書內容有輸入時，以申請書為</w:t>
      </w:r>
      <w:proofErr w:type="gramStart"/>
      <w:r>
        <w:rPr>
          <w:rFonts w:ascii="微軟正黑體" w:eastAsia="微軟正黑體" w:hAnsi="微軟正黑體" w:hint="eastAsia"/>
          <w:szCs w:val="24"/>
        </w:rPr>
        <w:t>準</w:t>
      </w:r>
      <w:proofErr w:type="gramEnd"/>
    </w:p>
    <w:p w:rsidR="00AC2A78" w:rsidRDefault="00AC2A78" w:rsidP="00AC2A78">
      <w:pPr>
        <w:pStyle w:val="a3"/>
        <w:spacing w:line="400" w:lineRule="exact"/>
        <w:ind w:leftChars="0" w:left="1440"/>
        <w:jc w:val="both"/>
        <w:rPr>
          <w:rFonts w:ascii="微軟正黑體" w:eastAsia="微軟正黑體" w:hAnsi="微軟正黑體"/>
          <w:szCs w:val="24"/>
        </w:rPr>
      </w:pPr>
    </w:p>
    <w:p w:rsidR="00AC2A78" w:rsidRPr="00AC2A78" w:rsidRDefault="00AC2A78" w:rsidP="009115E3">
      <w:pPr>
        <w:pStyle w:val="a3"/>
        <w:numPr>
          <w:ilvl w:val="0"/>
          <w:numId w:val="1"/>
        </w:numPr>
        <w:spacing w:line="440" w:lineRule="exact"/>
        <w:ind w:leftChars="0"/>
        <w:jc w:val="both"/>
        <w:rPr>
          <w:rFonts w:ascii="微軟正黑體" w:eastAsia="微軟正黑體" w:hAnsi="微軟正黑體"/>
          <w:sz w:val="28"/>
          <w:szCs w:val="28"/>
        </w:rPr>
      </w:pPr>
      <w:r w:rsidRPr="00AC2A78">
        <w:rPr>
          <w:rFonts w:ascii="微軟正黑體" w:eastAsia="微軟正黑體" w:hAnsi="微軟正黑體" w:hint="eastAsia"/>
          <w:sz w:val="28"/>
          <w:szCs w:val="28"/>
        </w:rPr>
        <w:t>商業銀行之轉投資</w:t>
      </w:r>
    </w:p>
    <w:p w:rsidR="00AC2A78" w:rsidRDefault="00AC2A78" w:rsidP="009115E3">
      <w:pPr>
        <w:pStyle w:val="a3"/>
        <w:numPr>
          <w:ilvl w:val="0"/>
          <w:numId w:val="43"/>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投資總額不得超過投資時銀行實收資本總額扣除累積虧損的</w:t>
      </w:r>
      <w:r w:rsidRPr="00AC2A78">
        <w:rPr>
          <w:rFonts w:ascii="微軟正黑體" w:eastAsia="微軟正黑體" w:hAnsi="微軟正黑體" w:hint="eastAsia"/>
          <w:szCs w:val="24"/>
          <w:shd w:val="clear" w:color="auto" w:fill="FFFF00"/>
        </w:rPr>
        <w:t>40%</w:t>
      </w:r>
      <w:r>
        <w:rPr>
          <w:rFonts w:ascii="微軟正黑體" w:eastAsia="微軟正黑體" w:hAnsi="微軟正黑體" w:hint="eastAsia"/>
          <w:szCs w:val="24"/>
        </w:rPr>
        <w:t>，非金融事業</w:t>
      </w:r>
      <w:r w:rsidRPr="00AC2A78">
        <w:rPr>
          <w:rFonts w:ascii="微軟正黑體" w:eastAsia="微軟正黑體" w:hAnsi="微軟正黑體" w:hint="eastAsia"/>
          <w:szCs w:val="24"/>
          <w:shd w:val="clear" w:color="auto" w:fill="FFFF00"/>
        </w:rPr>
        <w:t>10%</w:t>
      </w:r>
    </w:p>
    <w:p w:rsidR="00AC2A78" w:rsidRDefault="00AC2A78" w:rsidP="009115E3">
      <w:pPr>
        <w:pStyle w:val="a3"/>
        <w:numPr>
          <w:ilvl w:val="0"/>
          <w:numId w:val="43"/>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同一</w:t>
      </w:r>
      <w:proofErr w:type="gramStart"/>
      <w:r>
        <w:rPr>
          <w:rFonts w:ascii="微軟正黑體" w:eastAsia="微軟正黑體" w:hAnsi="微軟正黑體" w:hint="eastAsia"/>
          <w:szCs w:val="24"/>
        </w:rPr>
        <w:t>業別者以</w:t>
      </w:r>
      <w:proofErr w:type="gramEnd"/>
      <w:r>
        <w:rPr>
          <w:rFonts w:ascii="微軟正黑體" w:eastAsia="微軟正黑體" w:hAnsi="微軟正黑體" w:hint="eastAsia"/>
          <w:szCs w:val="24"/>
        </w:rPr>
        <w:t>一家為限，配合政府政策、主管機關核准不在此限</w:t>
      </w:r>
    </w:p>
    <w:p w:rsidR="00AC2A78" w:rsidRPr="00402505" w:rsidRDefault="00AC2A78" w:rsidP="009115E3">
      <w:pPr>
        <w:pStyle w:val="a3"/>
        <w:numPr>
          <w:ilvl w:val="0"/>
          <w:numId w:val="43"/>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投資非金融事業，每一事業</w:t>
      </w:r>
      <w:r w:rsidR="00F75AD9">
        <w:rPr>
          <w:rFonts w:ascii="微軟正黑體" w:eastAsia="微軟正黑體" w:hAnsi="微軟正黑體" w:hint="eastAsia"/>
          <w:szCs w:val="24"/>
        </w:rPr>
        <w:t>不得超過投資事業實收資本總額或以發行股票總數之</w:t>
      </w:r>
      <w:r w:rsidR="00F75AD9" w:rsidRPr="00F75AD9">
        <w:rPr>
          <w:rFonts w:ascii="微軟正黑體" w:eastAsia="微軟正黑體" w:hAnsi="微軟正黑體" w:hint="eastAsia"/>
          <w:szCs w:val="24"/>
          <w:shd w:val="clear" w:color="auto" w:fill="FFFF00"/>
        </w:rPr>
        <w:t>5%</w:t>
      </w:r>
    </w:p>
    <w:p w:rsidR="00402505" w:rsidRPr="00402505" w:rsidRDefault="00402505" w:rsidP="00402505">
      <w:pPr>
        <w:spacing w:line="400" w:lineRule="exact"/>
        <w:jc w:val="both"/>
        <w:rPr>
          <w:rFonts w:ascii="微軟正黑體" w:eastAsia="微軟正黑體" w:hAnsi="微軟正黑體"/>
          <w:szCs w:val="24"/>
        </w:rPr>
      </w:pPr>
    </w:p>
    <w:p w:rsidR="00F75AD9" w:rsidRPr="00402505" w:rsidRDefault="00402505" w:rsidP="009115E3">
      <w:pPr>
        <w:pStyle w:val="a3"/>
        <w:numPr>
          <w:ilvl w:val="0"/>
          <w:numId w:val="1"/>
        </w:numPr>
        <w:spacing w:line="440" w:lineRule="exact"/>
        <w:ind w:leftChars="0"/>
        <w:jc w:val="both"/>
        <w:rPr>
          <w:rFonts w:ascii="微軟正黑體" w:eastAsia="微軟正黑體" w:hAnsi="微軟正黑體"/>
          <w:sz w:val="28"/>
          <w:szCs w:val="28"/>
        </w:rPr>
      </w:pPr>
      <w:r w:rsidRPr="00402505">
        <w:rPr>
          <w:rFonts w:ascii="微軟正黑體" w:eastAsia="微軟正黑體" w:hAnsi="微軟正黑體" w:hint="eastAsia"/>
          <w:sz w:val="28"/>
          <w:szCs w:val="28"/>
        </w:rPr>
        <w:t>銀行之股份</w:t>
      </w:r>
    </w:p>
    <w:p w:rsidR="00402505" w:rsidRDefault="00402505" w:rsidP="009115E3">
      <w:pPr>
        <w:pStyle w:val="a3"/>
        <w:numPr>
          <w:ilvl w:val="0"/>
          <w:numId w:val="44"/>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銀行之股票應為記名式</w:t>
      </w:r>
    </w:p>
    <w:p w:rsidR="00402505" w:rsidRPr="00402505" w:rsidRDefault="00402505" w:rsidP="009115E3">
      <w:pPr>
        <w:pStyle w:val="a3"/>
        <w:numPr>
          <w:ilvl w:val="0"/>
          <w:numId w:val="44"/>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同一人、同一關係人之申報</w:t>
      </w:r>
    </w:p>
    <w:p w:rsidR="00402505" w:rsidRDefault="00402505" w:rsidP="009115E3">
      <w:pPr>
        <w:pStyle w:val="a3"/>
        <w:numPr>
          <w:ilvl w:val="0"/>
          <w:numId w:val="45"/>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同一人、同一關係人持有表決權股份總數超過</w:t>
      </w:r>
      <w:r w:rsidRPr="00402505">
        <w:rPr>
          <w:rFonts w:ascii="微軟正黑體" w:eastAsia="微軟正黑體" w:hAnsi="微軟正黑體" w:hint="eastAsia"/>
          <w:szCs w:val="24"/>
          <w:shd w:val="clear" w:color="auto" w:fill="FFFF00"/>
        </w:rPr>
        <w:t>5%</w:t>
      </w:r>
      <w:r>
        <w:rPr>
          <w:rFonts w:ascii="微軟正黑體" w:eastAsia="微軟正黑體" w:hAnsi="微軟正黑體" w:hint="eastAsia"/>
          <w:szCs w:val="24"/>
        </w:rPr>
        <w:t>，須於十天內向主管機關申報，之後增減</w:t>
      </w:r>
      <w:r w:rsidRPr="00402505">
        <w:rPr>
          <w:rFonts w:ascii="微軟正黑體" w:eastAsia="微軟正黑體" w:hAnsi="微軟正黑體" w:hint="eastAsia"/>
          <w:szCs w:val="24"/>
          <w:shd w:val="clear" w:color="auto" w:fill="FFFF00"/>
        </w:rPr>
        <w:t>1%</w:t>
      </w:r>
      <w:r>
        <w:rPr>
          <w:rFonts w:ascii="微軟正黑體" w:eastAsia="微軟正黑體" w:hAnsi="微軟正黑體" w:hint="eastAsia"/>
          <w:szCs w:val="24"/>
        </w:rPr>
        <w:t>都要申報</w:t>
      </w:r>
    </w:p>
    <w:p w:rsidR="00402505" w:rsidRPr="00402505" w:rsidRDefault="00402505" w:rsidP="009115E3">
      <w:pPr>
        <w:pStyle w:val="a3"/>
        <w:numPr>
          <w:ilvl w:val="0"/>
          <w:numId w:val="45"/>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同一人或本人與配偶、未成年子女合計持有同一銀行發行有表決權股份</w:t>
      </w:r>
      <w:r w:rsidRPr="00402505">
        <w:rPr>
          <w:rFonts w:ascii="微軟正黑體" w:eastAsia="微軟正黑體" w:hAnsi="微軟正黑體" w:hint="eastAsia"/>
          <w:szCs w:val="24"/>
          <w:shd w:val="clear" w:color="auto" w:fill="FFFF00"/>
        </w:rPr>
        <w:t>1%</w:t>
      </w:r>
    </w:p>
    <w:p w:rsidR="00402505" w:rsidRDefault="00402505" w:rsidP="009115E3">
      <w:pPr>
        <w:pStyle w:val="a3"/>
        <w:numPr>
          <w:ilvl w:val="0"/>
          <w:numId w:val="45"/>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持股超過</w:t>
      </w:r>
      <w:r w:rsidRPr="00402505">
        <w:rPr>
          <w:rFonts w:ascii="微軟正黑體" w:eastAsia="微軟正黑體" w:hAnsi="微軟正黑體" w:hint="eastAsia"/>
          <w:szCs w:val="24"/>
          <w:shd w:val="clear" w:color="auto" w:fill="FFFF00"/>
        </w:rPr>
        <w:t>10%</w:t>
      </w:r>
      <w:r>
        <w:rPr>
          <w:rFonts w:ascii="微軟正黑體" w:eastAsia="微軟正黑體" w:hAnsi="微軟正黑體" w:hint="eastAsia"/>
          <w:szCs w:val="24"/>
        </w:rPr>
        <w:t>、</w:t>
      </w:r>
      <w:r w:rsidRPr="00402505">
        <w:rPr>
          <w:rFonts w:ascii="微軟正黑體" w:eastAsia="微軟正黑體" w:hAnsi="微軟正黑體" w:hint="eastAsia"/>
          <w:szCs w:val="24"/>
          <w:shd w:val="clear" w:color="auto" w:fill="FFFF00"/>
        </w:rPr>
        <w:t>25%</w:t>
      </w:r>
      <w:r>
        <w:rPr>
          <w:rFonts w:ascii="微軟正黑體" w:eastAsia="微軟正黑體" w:hAnsi="微軟正黑體" w:hint="eastAsia"/>
          <w:szCs w:val="24"/>
        </w:rPr>
        <w:t>、</w:t>
      </w:r>
      <w:r w:rsidRPr="00402505">
        <w:rPr>
          <w:rFonts w:ascii="微軟正黑體" w:eastAsia="微軟正黑體" w:hAnsi="微軟正黑體" w:hint="eastAsia"/>
          <w:szCs w:val="24"/>
          <w:shd w:val="clear" w:color="auto" w:fill="FFFF00"/>
        </w:rPr>
        <w:t>50%</w:t>
      </w:r>
      <w:r>
        <w:rPr>
          <w:rFonts w:ascii="微軟正黑體" w:eastAsia="微軟正黑體" w:hAnsi="微軟正黑體" w:hint="eastAsia"/>
          <w:szCs w:val="24"/>
        </w:rPr>
        <w:t>須向主管機關申請核准</w:t>
      </w:r>
    </w:p>
    <w:p w:rsidR="00402505" w:rsidRPr="007C4B4C" w:rsidRDefault="00402505" w:rsidP="007C4B4C">
      <w:pPr>
        <w:spacing w:line="400" w:lineRule="exact"/>
        <w:jc w:val="both"/>
        <w:rPr>
          <w:rFonts w:ascii="微軟正黑體" w:eastAsia="微軟正黑體" w:hAnsi="微軟正黑體"/>
          <w:szCs w:val="24"/>
        </w:rPr>
      </w:pPr>
    </w:p>
    <w:p w:rsidR="00402505" w:rsidRDefault="00402505" w:rsidP="00402505">
      <w:pPr>
        <w:spacing w:line="400" w:lineRule="exact"/>
        <w:jc w:val="both"/>
        <w:rPr>
          <w:rFonts w:ascii="微軟正黑體" w:eastAsia="微軟正黑體" w:hAnsi="微軟正黑體"/>
          <w:szCs w:val="24"/>
        </w:rPr>
      </w:pPr>
    </w:p>
    <w:p w:rsidR="00402505" w:rsidRDefault="00402505" w:rsidP="00402505">
      <w:pPr>
        <w:spacing w:line="400" w:lineRule="exact"/>
        <w:jc w:val="both"/>
        <w:rPr>
          <w:rFonts w:ascii="微軟正黑體" w:eastAsia="微軟正黑體" w:hAnsi="微軟正黑體"/>
          <w:szCs w:val="24"/>
        </w:rPr>
      </w:pPr>
    </w:p>
    <w:p w:rsidR="00402505" w:rsidRDefault="00402505" w:rsidP="00402505">
      <w:pPr>
        <w:spacing w:line="400" w:lineRule="exact"/>
        <w:jc w:val="both"/>
        <w:rPr>
          <w:rFonts w:ascii="微軟正黑體" w:eastAsia="微軟正黑體" w:hAnsi="微軟正黑體"/>
          <w:szCs w:val="24"/>
        </w:rPr>
      </w:pPr>
    </w:p>
    <w:p w:rsidR="00402505" w:rsidRPr="00402505" w:rsidRDefault="00402505" w:rsidP="00402505">
      <w:pPr>
        <w:spacing w:line="400" w:lineRule="exact"/>
        <w:jc w:val="both"/>
        <w:rPr>
          <w:rFonts w:ascii="微軟正黑體" w:eastAsia="微軟正黑體" w:hAnsi="微軟正黑體"/>
          <w:szCs w:val="24"/>
        </w:rPr>
      </w:pPr>
    </w:p>
    <w:p w:rsidR="009070C3" w:rsidRDefault="009070C3">
      <w:pPr>
        <w:widowControl/>
        <w:rPr>
          <w:rFonts w:ascii="微軟正黑體" w:eastAsia="微軟正黑體" w:hAnsi="微軟正黑體"/>
          <w:szCs w:val="24"/>
        </w:rPr>
      </w:pPr>
      <w:r>
        <w:rPr>
          <w:rFonts w:ascii="微軟正黑體" w:eastAsia="微軟正黑體" w:hAnsi="微軟正黑體"/>
          <w:szCs w:val="24"/>
        </w:rPr>
        <w:br w:type="page"/>
      </w:r>
    </w:p>
    <w:p w:rsidR="009070C3" w:rsidRPr="009070C3" w:rsidRDefault="009070C3" w:rsidP="009070C3">
      <w:pPr>
        <w:spacing w:line="400" w:lineRule="exact"/>
        <w:jc w:val="both"/>
        <w:rPr>
          <w:rFonts w:ascii="微軟正黑體" w:eastAsia="微軟正黑體" w:hAnsi="微軟正黑體"/>
          <w:szCs w:val="24"/>
        </w:rPr>
      </w:pPr>
    </w:p>
    <w:sectPr w:rsidR="009070C3" w:rsidRPr="009070C3"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ABF6F1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B142D9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6369C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4DA328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1305AC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26652B32"/>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0F30BD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88E7045"/>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9E6736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3DF468C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405A0700"/>
    <w:multiLevelType w:val="hybridMultilevel"/>
    <w:tmpl w:val="BD946774"/>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40F707E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445D6A70"/>
    <w:multiLevelType w:val="hybridMultilevel"/>
    <w:tmpl w:val="1638E4E8"/>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455E7737"/>
    <w:multiLevelType w:val="hybridMultilevel"/>
    <w:tmpl w:val="85C8C8D2"/>
    <w:lvl w:ilvl="0" w:tplc="4256367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49C720D6"/>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4BE7132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4CE24BCB"/>
    <w:multiLevelType w:val="hybridMultilevel"/>
    <w:tmpl w:val="616A8CAA"/>
    <w:lvl w:ilvl="0" w:tplc="B88A1D90">
      <w:start w:val="1"/>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DCD7F29"/>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nsid w:val="53DD7C52"/>
    <w:multiLevelType w:val="hybridMultilevel"/>
    <w:tmpl w:val="2EE0BE5C"/>
    <w:lvl w:ilvl="0" w:tplc="C3C26302">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50C628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5DF958A3"/>
    <w:multiLevelType w:val="hybridMultilevel"/>
    <w:tmpl w:val="8F9277BE"/>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EC5057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64C40A9C"/>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6BF85728"/>
    <w:multiLevelType w:val="hybridMultilevel"/>
    <w:tmpl w:val="95C40F0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71CB47B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7904688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nsid w:val="793D79EC"/>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nsid w:val="794347AC"/>
    <w:multiLevelType w:val="hybridMultilevel"/>
    <w:tmpl w:val="79ECD7E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79A1746C"/>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ECC267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7F6C27E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2"/>
  </w:num>
  <w:num w:numId="3">
    <w:abstractNumId w:val="29"/>
  </w:num>
  <w:num w:numId="4">
    <w:abstractNumId w:val="0"/>
  </w:num>
  <w:num w:numId="5">
    <w:abstractNumId w:val="7"/>
  </w:num>
  <w:num w:numId="6">
    <w:abstractNumId w:val="9"/>
  </w:num>
  <w:num w:numId="7">
    <w:abstractNumId w:val="21"/>
  </w:num>
  <w:num w:numId="8">
    <w:abstractNumId w:val="40"/>
  </w:num>
  <w:num w:numId="9">
    <w:abstractNumId w:val="23"/>
  </w:num>
  <w:num w:numId="10">
    <w:abstractNumId w:val="20"/>
  </w:num>
  <w:num w:numId="11">
    <w:abstractNumId w:val="44"/>
  </w:num>
  <w:num w:numId="12">
    <w:abstractNumId w:val="22"/>
  </w:num>
  <w:num w:numId="13">
    <w:abstractNumId w:val="13"/>
  </w:num>
  <w:num w:numId="14">
    <w:abstractNumId w:val="17"/>
  </w:num>
  <w:num w:numId="15">
    <w:abstractNumId w:val="19"/>
  </w:num>
  <w:num w:numId="16">
    <w:abstractNumId w:val="32"/>
  </w:num>
  <w:num w:numId="17">
    <w:abstractNumId w:val="6"/>
  </w:num>
  <w:num w:numId="18">
    <w:abstractNumId w:val="8"/>
  </w:num>
  <w:num w:numId="19">
    <w:abstractNumId w:val="43"/>
  </w:num>
  <w:num w:numId="20">
    <w:abstractNumId w:val="31"/>
  </w:num>
  <w:num w:numId="21">
    <w:abstractNumId w:val="25"/>
  </w:num>
  <w:num w:numId="22">
    <w:abstractNumId w:val="38"/>
  </w:num>
  <w:num w:numId="23">
    <w:abstractNumId w:val="2"/>
  </w:num>
  <w:num w:numId="24">
    <w:abstractNumId w:val="39"/>
  </w:num>
  <w:num w:numId="25">
    <w:abstractNumId w:val="4"/>
  </w:num>
  <w:num w:numId="26">
    <w:abstractNumId w:val="12"/>
  </w:num>
  <w:num w:numId="27">
    <w:abstractNumId w:val="1"/>
  </w:num>
  <w:num w:numId="28">
    <w:abstractNumId w:val="37"/>
  </w:num>
  <w:num w:numId="29">
    <w:abstractNumId w:val="15"/>
  </w:num>
  <w:num w:numId="30">
    <w:abstractNumId w:val="10"/>
  </w:num>
  <w:num w:numId="31">
    <w:abstractNumId w:val="16"/>
  </w:num>
  <w:num w:numId="32">
    <w:abstractNumId w:val="35"/>
  </w:num>
  <w:num w:numId="33">
    <w:abstractNumId w:val="18"/>
  </w:num>
  <w:num w:numId="34">
    <w:abstractNumId w:val="41"/>
  </w:num>
  <w:num w:numId="35">
    <w:abstractNumId w:val="14"/>
  </w:num>
  <w:num w:numId="36">
    <w:abstractNumId w:val="11"/>
  </w:num>
  <w:num w:numId="37">
    <w:abstractNumId w:val="24"/>
  </w:num>
  <w:num w:numId="38">
    <w:abstractNumId w:val="28"/>
  </w:num>
  <w:num w:numId="39">
    <w:abstractNumId w:val="3"/>
  </w:num>
  <w:num w:numId="40">
    <w:abstractNumId w:val="36"/>
  </w:num>
  <w:num w:numId="41">
    <w:abstractNumId w:val="34"/>
  </w:num>
  <w:num w:numId="42">
    <w:abstractNumId w:val="33"/>
  </w:num>
  <w:num w:numId="43">
    <w:abstractNumId w:val="27"/>
  </w:num>
  <w:num w:numId="44">
    <w:abstractNumId w:val="26"/>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6054D"/>
    <w:rsid w:val="00071DB8"/>
    <w:rsid w:val="000D3524"/>
    <w:rsid w:val="00194E33"/>
    <w:rsid w:val="001973AF"/>
    <w:rsid w:val="00201D9E"/>
    <w:rsid w:val="00275729"/>
    <w:rsid w:val="00276E9C"/>
    <w:rsid w:val="002865F4"/>
    <w:rsid w:val="00295E60"/>
    <w:rsid w:val="00303917"/>
    <w:rsid w:val="00342FBF"/>
    <w:rsid w:val="00392593"/>
    <w:rsid w:val="003942E4"/>
    <w:rsid w:val="003C433A"/>
    <w:rsid w:val="00402505"/>
    <w:rsid w:val="00461E76"/>
    <w:rsid w:val="00473B57"/>
    <w:rsid w:val="004A0333"/>
    <w:rsid w:val="004A75C4"/>
    <w:rsid w:val="005376D3"/>
    <w:rsid w:val="005435FF"/>
    <w:rsid w:val="0057149B"/>
    <w:rsid w:val="005D64B1"/>
    <w:rsid w:val="005F77E1"/>
    <w:rsid w:val="00684975"/>
    <w:rsid w:val="006F4DE8"/>
    <w:rsid w:val="007C4B4C"/>
    <w:rsid w:val="00811102"/>
    <w:rsid w:val="0081232D"/>
    <w:rsid w:val="008140D5"/>
    <w:rsid w:val="008417D9"/>
    <w:rsid w:val="0087168F"/>
    <w:rsid w:val="0088743D"/>
    <w:rsid w:val="008B4F85"/>
    <w:rsid w:val="009070C3"/>
    <w:rsid w:val="009115E3"/>
    <w:rsid w:val="00940F65"/>
    <w:rsid w:val="00971F76"/>
    <w:rsid w:val="009B5CBF"/>
    <w:rsid w:val="009C5154"/>
    <w:rsid w:val="00A61238"/>
    <w:rsid w:val="00AC2A78"/>
    <w:rsid w:val="00AD718D"/>
    <w:rsid w:val="00B33E96"/>
    <w:rsid w:val="00C00D28"/>
    <w:rsid w:val="00C16F71"/>
    <w:rsid w:val="00E661BB"/>
    <w:rsid w:val="00E83CDB"/>
    <w:rsid w:val="00EC53C4"/>
    <w:rsid w:val="00F15223"/>
    <w:rsid w:val="00F75AD9"/>
    <w:rsid w:val="00FA7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9</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Andy</cp:lastModifiedBy>
  <cp:revision>39</cp:revision>
  <dcterms:created xsi:type="dcterms:W3CDTF">2016-07-03T02:16:00Z</dcterms:created>
  <dcterms:modified xsi:type="dcterms:W3CDTF">2016-07-03T10:07:00Z</dcterms:modified>
</cp:coreProperties>
</file>