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7E2656">
        <w:rPr>
          <w:rFonts w:eastAsia="微軟正黑體" w:cstheme="minorHAnsi" w:hint="eastAsia"/>
          <w:sz w:val="40"/>
          <w:szCs w:val="40"/>
        </w:rPr>
        <w:t>十二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7E2656">
        <w:rPr>
          <w:rFonts w:eastAsia="微軟正黑體" w:cstheme="minorHAnsi" w:hint="eastAsia"/>
          <w:sz w:val="40"/>
          <w:szCs w:val="40"/>
        </w:rPr>
        <w:t>信用卡、現金卡業務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CE6927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信用卡業務機構</w:t>
      </w:r>
    </w:p>
    <w:p w:rsidR="00DB40F1" w:rsidRDefault="00CE6927" w:rsidP="00C940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名詞定義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信用卡：得以延後或以其他約定方式清償帳款所使用之卡片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信用卡業務：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發行及辦理信用卡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辦理信用卡循環信用、預借現金業務</w:t>
      </w:r>
    </w:p>
    <w:p w:rsidR="00CE6927" w:rsidRP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簽訂特約商店及辦理相關事宜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代理</w:t>
      </w:r>
      <w:proofErr w:type="gramStart"/>
      <w:r>
        <w:rPr>
          <w:rFonts w:eastAsia="微軟正黑體" w:cstheme="minorHAnsi" w:hint="eastAsia"/>
        </w:rPr>
        <w:t>收覆特約</w:t>
      </w:r>
      <w:proofErr w:type="gramEnd"/>
      <w:r>
        <w:rPr>
          <w:rFonts w:eastAsia="微軟正黑體" w:cstheme="minorHAnsi" w:hint="eastAsia"/>
        </w:rPr>
        <w:t>商店信用卡消費帳款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授權使用信用卡之商標或服務標章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提供信用卡之商標或服務標章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信用卡業務機構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信用卡公司：經主管機關許可，以股份有限公司組織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國外信用卡公司：依照國外法律組之登記，經中華民國政府認許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經主管機關許可兼營業信用卡業務之銀行、信用合作社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經財政部許可經營信用卡業務之機構</w:t>
      </w:r>
    </w:p>
    <w:p w:rsidR="00CE6927" w:rsidRDefault="00CE6927" w:rsidP="00CE69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最低實收資本額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專營信用卡業務機構辦理發卡或收單業務者，最低實收資本額</w:t>
      </w:r>
      <w:r w:rsidRPr="00CE6927">
        <w:rPr>
          <w:rFonts w:eastAsia="微軟正黑體" w:cstheme="minorHAnsi" w:hint="eastAsia"/>
          <w:shd w:val="clear" w:color="auto" w:fill="FFFF00"/>
        </w:rPr>
        <w:t>2</w:t>
      </w:r>
      <w:r w:rsidRPr="00CE6927">
        <w:rPr>
          <w:rFonts w:eastAsia="微軟正黑體" w:cstheme="minorHAnsi" w:hint="eastAsia"/>
          <w:shd w:val="clear" w:color="auto" w:fill="FFFF00"/>
        </w:rPr>
        <w:t>億</w:t>
      </w:r>
    </w:p>
    <w:p w:rsidR="00CE6927" w:rsidRDefault="005908F2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主管機關得視社會經濟情況及實際需要調整之</w:t>
      </w:r>
    </w:p>
    <w:p w:rsidR="005908F2" w:rsidRDefault="005908F2" w:rsidP="005908F2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費用</w:t>
      </w:r>
    </w:p>
    <w:p w:rsidR="005908F2" w:rsidRDefault="005908F2" w:rsidP="005908F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若發卡機構增加向持卡人收取之年費、手續費等等，應於</w:t>
      </w:r>
      <w:r w:rsidRPr="005908F2">
        <w:rPr>
          <w:rFonts w:eastAsia="微軟正黑體" w:cstheme="minorHAnsi" w:hint="eastAsia"/>
          <w:shd w:val="clear" w:color="auto" w:fill="FFFF00"/>
        </w:rPr>
        <w:t>60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內以書面或其他方式通知持卡人，如有異議可終止合約</w:t>
      </w:r>
    </w:p>
    <w:p w:rsidR="005908F2" w:rsidRDefault="005908F2" w:rsidP="007E399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持卡人收到申請之信用卡起</w:t>
      </w:r>
      <w:r w:rsidRPr="005908F2">
        <w:rPr>
          <w:rFonts w:eastAsia="微軟正黑體" w:cstheme="minorHAnsi" w:hint="eastAsia"/>
          <w:shd w:val="clear" w:color="auto" w:fill="FFFF00"/>
        </w:rPr>
        <w:t>7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內，可以解除契約不用負擔任何費用</w:t>
      </w:r>
    </w:p>
    <w:p w:rsidR="007E399C" w:rsidRDefault="007E399C" w:rsidP="007E399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備抵呆帳之提列與轉銷</w:t>
      </w:r>
    </w:p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備抵呆帳之提列</w:t>
      </w:r>
    </w:p>
    <w:tbl>
      <w:tblPr>
        <w:tblStyle w:val="-1"/>
        <w:tblW w:w="0" w:type="auto"/>
        <w:tblInd w:w="1404" w:type="dxa"/>
        <w:tblLook w:val="04A0" w:firstRow="1" w:lastRow="0" w:firstColumn="1" w:lastColumn="0" w:noHBand="0" w:noVBand="1"/>
      </w:tblPr>
      <w:tblGrid>
        <w:gridCol w:w="2106"/>
        <w:gridCol w:w="3402"/>
      </w:tblGrid>
      <w:tr w:rsidR="00E85F51" w:rsidTr="00E8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超過繳款期限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全部墊款金額的</w:t>
            </w:r>
            <w:r>
              <w:rPr>
                <w:rFonts w:eastAsia="微軟正黑體" w:cstheme="minorHAnsi" w:hint="eastAsia"/>
              </w:rPr>
              <w:t>%</w:t>
            </w:r>
            <w:r>
              <w:rPr>
                <w:rFonts w:eastAsia="微軟正黑體" w:cstheme="minorHAnsi" w:hint="eastAsia"/>
              </w:rPr>
              <w:t>之備抵呆帳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1-3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2%</w:t>
            </w:r>
          </w:p>
        </w:tc>
      </w:tr>
      <w:tr w:rsidR="00E85F51" w:rsidTr="00E85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3-6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50%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6</w:t>
            </w:r>
            <w:r w:rsidRPr="00E85F51">
              <w:rPr>
                <w:rFonts w:eastAsia="微軟正黑體" w:cstheme="minorHAnsi" w:hint="eastAsia"/>
                <w:b w:val="0"/>
              </w:rPr>
              <w:t>個月以上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100%</w:t>
            </w:r>
          </w:p>
        </w:tc>
      </w:tr>
    </w:tbl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呆帳之轉銷</w:t>
      </w:r>
    </w:p>
    <w:p w:rsidR="00E85F51" w:rsidRDefault="00E85F51" w:rsidP="00E85F5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超過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個月者，應於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個月內全部墊款金額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由有權人原核准轉銷，並會報董事會備查</w:t>
      </w:r>
    </w:p>
    <w:p w:rsidR="000B74D1" w:rsidRDefault="000B74D1" w:rsidP="000B74D1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</w:t>
      </w:r>
    </w:p>
    <w:p w:rsidR="000B74D1" w:rsidRDefault="000B74D1" w:rsidP="000B74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發卡業務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推廣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贈送出之贈品不應追回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信用卡業務應對相關法令規章之訓練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應注意儀容、佩戴名片、標明發卡機關名稱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徵信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查詢金融聯合徵信中心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發卡機關在徵信過程或接獲被害人反映，發現有冒名申請，應通報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，再由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通報其他信用卡機構及金融徵信中心</w:t>
      </w:r>
    </w:p>
    <w:p w:rsidR="003C5326" w:rsidRDefault="003C5326" w:rsidP="003C532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正卡持卡人須年滿</w:t>
      </w:r>
      <w:r w:rsidRPr="003C5326">
        <w:rPr>
          <w:rFonts w:eastAsia="微軟正黑體" w:cstheme="minorHAnsi" w:hint="eastAsia"/>
          <w:shd w:val="clear" w:color="auto" w:fill="FFFF00"/>
        </w:rPr>
        <w:t>20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  <w:r>
        <w:rPr>
          <w:rFonts w:eastAsia="微軟正黑體" w:cstheme="minorHAnsi" w:hint="eastAsia"/>
        </w:rPr>
        <w:t>，附卡持卡人須年滿</w:t>
      </w:r>
      <w:r w:rsidRPr="003C5326">
        <w:rPr>
          <w:rFonts w:eastAsia="微軟正黑體" w:cstheme="minorHAnsi" w:hint="eastAsia"/>
          <w:shd w:val="clear" w:color="auto" w:fill="FFFF00"/>
        </w:rPr>
        <w:t>15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</w:p>
    <w:p w:rsidR="003C5326" w:rsidRDefault="003C5326" w:rsidP="003C5326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附卡人須為正卡人之配偶、父母、子女、兄弟姊妹、配偶父母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不可由正卡申請人代理附卡申請人簽名申請附卡</w:t>
      </w:r>
    </w:p>
    <w:p w:rsidR="003C5326" w:rsidRDefault="003C5326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學生申請信用卡</w:t>
      </w:r>
    </w:p>
    <w:p w:rsidR="003C5326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歲或未滿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歲之學生，需法定代理人簽名同意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法定代理人或父母有權以書面通知方式調閱持卡人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或要求終止契約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歲以上學生除非有穩定經濟來源，否則只能辦家長附卡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學生限制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1700A9">
        <w:rPr>
          <w:rFonts w:eastAsia="微軟正黑體" w:cstheme="minorHAnsi" w:hint="eastAsia"/>
          <w:shd w:val="clear" w:color="auto" w:fill="FFFF00"/>
        </w:rPr>
        <w:t>3</w:t>
      </w:r>
      <w:r w:rsidRPr="001700A9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發卡機構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1700A9">
        <w:rPr>
          <w:rFonts w:eastAsia="微軟正黑體" w:cstheme="minorHAnsi" w:hint="eastAsia"/>
          <w:shd w:val="clear" w:color="auto" w:fill="FFFF00"/>
        </w:rPr>
        <w:t>2</w:t>
      </w:r>
      <w:r w:rsidRPr="001700A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以下</w:t>
      </w:r>
    </w:p>
    <w:p w:rsidR="001700A9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已經持有</w:t>
      </w:r>
      <w:r w:rsidRPr="005D03DC">
        <w:rPr>
          <w:rFonts w:eastAsia="微軟正黑體" w:cstheme="minorHAnsi" w:hint="eastAsia"/>
          <w:shd w:val="clear" w:color="auto" w:fill="FFFF00"/>
        </w:rPr>
        <w:t>3</w:t>
      </w:r>
      <w:r w:rsidRPr="005D03DC">
        <w:rPr>
          <w:rFonts w:eastAsia="微軟正黑體" w:cstheme="minorHAnsi" w:hint="eastAsia"/>
          <w:shd w:val="clear" w:color="auto" w:fill="FFFF00"/>
        </w:rPr>
        <w:t>張</w:t>
      </w:r>
      <w:r>
        <w:rPr>
          <w:rFonts w:eastAsia="微軟正黑體" w:cstheme="minorHAnsi" w:hint="eastAsia"/>
        </w:rPr>
        <w:t>以上發卡機構卡片之申請人，應審慎評估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調高信用額度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發卡機構主動調高持卡人信用額度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需持卡人書面同意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有保證人</w:t>
      </w:r>
      <w:proofErr w:type="gramStart"/>
      <w:r>
        <w:rPr>
          <w:rFonts w:eastAsia="微軟正黑體" w:cstheme="minorHAnsi" w:hint="eastAsia"/>
        </w:rPr>
        <w:t>也須其書面</w:t>
      </w:r>
      <w:proofErr w:type="gramEnd"/>
      <w:r>
        <w:rPr>
          <w:rFonts w:eastAsia="微軟正黑體" w:cstheme="minorHAnsi" w:hint="eastAsia"/>
        </w:rPr>
        <w:t>同意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持卡人申請提高額度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須本人為之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個人身份辨識程序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發卡機構提供信用卡預借現金功能</w:t>
      </w:r>
      <w:r w:rsidR="00344A99">
        <w:rPr>
          <w:rFonts w:eastAsia="微軟正黑體" w:cstheme="minorHAnsi" w:hint="eastAsia"/>
        </w:rPr>
        <w:t>，應</w:t>
      </w:r>
      <w:r w:rsidR="00344A99">
        <w:rPr>
          <w:rFonts w:eastAsia="微軟正黑體" w:cstheme="minorHAnsi" w:hint="eastAsia"/>
        </w:rPr>
        <w:t>審慎核給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依持卡人持卡時間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所得水準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國內外消費狀態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還款近況</w:t>
      </w:r>
    </w:p>
    <w:p w:rsidR="005D03DC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帳</w:t>
      </w:r>
      <w:proofErr w:type="gramStart"/>
      <w:r>
        <w:rPr>
          <w:rFonts w:eastAsia="微軟正黑體" w:cstheme="minorHAnsi" w:hint="eastAsia"/>
        </w:rPr>
        <w:t>務</w:t>
      </w:r>
      <w:proofErr w:type="gramEnd"/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爭議款項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尚未查明時，發卡機構不得將持卡人資料掛入金融聯合徵信中心不良</w:t>
      </w:r>
      <w:proofErr w:type="gramStart"/>
      <w:r>
        <w:rPr>
          <w:rFonts w:eastAsia="微軟正黑體" w:cstheme="minorHAnsi" w:hint="eastAsia"/>
        </w:rPr>
        <w:t>檔</w:t>
      </w:r>
      <w:proofErr w:type="gramEnd"/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受理後</w:t>
      </w:r>
      <w:r w:rsidRPr="00B75B05">
        <w:rPr>
          <w:rFonts w:eastAsia="微軟正黑體" w:cstheme="minorHAnsi" w:hint="eastAsia"/>
          <w:shd w:val="clear" w:color="auto" w:fill="FFFF00"/>
        </w:rPr>
        <w:t>14</w:t>
      </w:r>
      <w:r w:rsidRPr="00B75B05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回覆持卡人處理狀況或進度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調查期間停止計算利息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確定持卡人責任時，收取爭議款項處理期間之利息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信用卡消費帳款委託便利</w:t>
      </w:r>
      <w:proofErr w:type="gramStart"/>
      <w:r>
        <w:rPr>
          <w:rFonts w:eastAsia="微軟正黑體" w:cstheme="minorHAnsi" w:hint="eastAsia"/>
        </w:rPr>
        <w:t>商變業</w:t>
      </w:r>
      <w:proofErr w:type="gramEnd"/>
      <w:r>
        <w:rPr>
          <w:rFonts w:eastAsia="微軟正黑體" w:cstheme="minorHAnsi" w:hint="eastAsia"/>
        </w:rPr>
        <w:t>代收者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每筆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代收</w:t>
      </w:r>
      <w:r w:rsidRPr="00B75B05">
        <w:rPr>
          <w:rFonts w:eastAsia="微軟正黑體" w:cstheme="minorHAnsi" w:hint="eastAsia"/>
          <w:shd w:val="clear" w:color="auto" w:fill="FFFF00"/>
        </w:rPr>
        <w:t>2</w:t>
      </w:r>
      <w:r w:rsidRPr="00B75B05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為上限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</w:t>
      </w:r>
      <w:proofErr w:type="gramStart"/>
      <w:r>
        <w:rPr>
          <w:rFonts w:eastAsia="微軟正黑體" w:cstheme="minorHAnsi" w:hint="eastAsia"/>
        </w:rPr>
        <w:t>完整列</w:t>
      </w:r>
      <w:proofErr w:type="gramEnd"/>
      <w:r>
        <w:rPr>
          <w:rFonts w:eastAsia="微軟正黑體" w:cstheme="minorHAnsi" w:hint="eastAsia"/>
        </w:rPr>
        <w:t>示客戶身分證字號及信用卡卡號等個人資料</w:t>
      </w:r>
    </w:p>
    <w:p w:rsidR="00B75B05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客戶服務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使用信用卡可能產生的各項費用與計算方式，於發卡機構網站揭露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服務專線刊登於刊物或網站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利率應以年利率表示</w:t>
      </w:r>
    </w:p>
    <w:p w:rsidR="008C26EE" w:rsidRDefault="008C26EE" w:rsidP="008C26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</w:t>
      </w:r>
    </w:p>
    <w:p w:rsidR="008C26EE" w:rsidRDefault="008C26EE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經客戶選擇以郵寄方式領取信用卡，應於信用卡加設管制程序，經客戶通知並完成辨識身分手續後，解除管制程序及啟用卡片功能</w:t>
      </w:r>
    </w:p>
    <w:p w:rsidR="008C26EE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如發現偽冒信用卡，應主動通知檢警調單位</w:t>
      </w:r>
    </w:p>
    <w:p w:rsidR="00A84650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發卡機構核給信用卡信用額度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確認申請人人份之真實性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確認有穩定經濟來源及通分還款能力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舉債情形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財力證明文件與徵信查核紀錄</w:t>
      </w:r>
    </w:p>
    <w:p w:rsidR="00A84650" w:rsidRDefault="00A84650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僅能對債務人本人及其保證人催收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發卡機構將持卡人之債信不良紀錄登錄金融聯合徵信中心前，須將登入債信不良原因與日後對持卡人可能之影響告知持卡人</w:t>
      </w:r>
    </w:p>
    <w:p w:rsidR="00A84650" w:rsidRDefault="00A84650" w:rsidP="00A8465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收單業務</w:t>
      </w:r>
    </w:p>
    <w:p w:rsidR="00A84650" w:rsidRDefault="0078537A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推廣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收單機構簽訂特約商店、連鎖店、加盟店前應親自到訪查核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非有正當理由不得加收刷卡手續費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禁止惡性價格競爭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徵信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透過聯合徵信中心查詢特約商店之檔案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加強對特約商店之徵信審核與監控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簽約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要求特約商店收銀員接受教育訓練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特約商店不得將信用卡手續費轉嫁於持卡人負擔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特約商店需檢查背面之簽字是否相同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服務及管理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收單機構確實提報金融聯合徵信中心風險特約商店資料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特約商店收銀員執行偽冒防治訓練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收單機構向發卡機構收取特約商店沒收卡片之處理費用</w:t>
      </w:r>
    </w:p>
    <w:p w:rsidR="0078537A" w:rsidRDefault="0078537A" w:rsidP="0078537A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8537A">
        <w:rPr>
          <w:rFonts w:eastAsia="微軟正黑體" w:cstheme="minorHAnsi" w:hint="eastAsia"/>
          <w:shd w:val="clear" w:color="auto" w:fill="FFFF00"/>
        </w:rPr>
        <w:t>1000</w:t>
      </w:r>
      <w:r w:rsidRPr="0078537A">
        <w:rPr>
          <w:rFonts w:eastAsia="微軟正黑體" w:cstheme="minorHAnsi" w:hint="eastAsia"/>
          <w:shd w:val="clear" w:color="auto" w:fill="FFFF00"/>
        </w:rPr>
        <w:t>元</w:t>
      </w:r>
    </w:p>
    <w:p w:rsidR="0078537A" w:rsidRDefault="0078537A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取消</w:t>
      </w:r>
    </w:p>
    <w:p w:rsidR="00673368" w:rsidRDefault="0078537A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若特約商店從事不法情事，取消</w:t>
      </w:r>
      <w:r w:rsidR="00673368">
        <w:rPr>
          <w:rFonts w:eastAsia="微軟正黑體" w:cstheme="minorHAnsi" w:hint="eastAsia"/>
        </w:rPr>
        <w:t>特約商店資格並採取法律行動</w:t>
      </w:r>
    </w:p>
    <w:p w:rsidR="00DD5AE7" w:rsidRDefault="00DD5AE7" w:rsidP="00DD5AE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現金卡業務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定義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提供一定金額信用額度之無擔保授信業務</w:t>
      </w:r>
    </w:p>
    <w:p w:rsidR="008A2722" w:rsidRDefault="008A2722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內部控制與內部稽核</w:t>
      </w:r>
    </w:p>
    <w:p w:rsidR="008A2722" w:rsidRDefault="008A2722" w:rsidP="008A2722">
      <w:pPr>
        <w:pStyle w:val="a3"/>
        <w:spacing w:line="440" w:lineRule="exact"/>
        <w:ind w:leftChars="0" w:left="96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應建立內部控制及內部稽核制度，於辦理委外作業時，應定期稽核受委託單位之內部控制制度，若因受委託機關之不當行為致客戶權益受損，金融機構應對客戶負責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申請人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一般申請人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歲，額度不得超過申請人平均年收入的</w:t>
      </w:r>
      <w:r w:rsidRPr="00DD5AE7">
        <w:rPr>
          <w:rFonts w:eastAsia="微軟正黑體" w:cstheme="minorHAnsi" w:hint="eastAsia"/>
          <w:shd w:val="clear" w:color="auto" w:fill="FFFF00"/>
        </w:rPr>
        <w:t>22</w:t>
      </w:r>
      <w:r w:rsidRPr="00DD5AE7">
        <w:rPr>
          <w:rFonts w:eastAsia="微軟正黑體" w:cstheme="minorHAnsi" w:hint="eastAsia"/>
          <w:shd w:val="clear" w:color="auto" w:fill="FFFF00"/>
        </w:rPr>
        <w:t>倍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</w:p>
    <w:p w:rsidR="00DD5AE7" w:rsidRPr="00E06AE0" w:rsidRDefault="00DD5AE7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金融機構為限</w:t>
      </w:r>
      <w:r w:rsidR="00E06AE0">
        <w:rPr>
          <w:rFonts w:eastAsia="微軟正黑體" w:cstheme="minorHAnsi" w:hint="eastAsia"/>
        </w:rPr>
        <w:t>，</w:t>
      </w:r>
      <w:r w:rsidRPr="00E06AE0">
        <w:rPr>
          <w:rFonts w:eastAsia="微軟正黑體" w:cstheme="minorHAnsi" w:hint="eastAsia"/>
        </w:rPr>
        <w:t>每家不得超過</w:t>
      </w:r>
      <w:r w:rsidRPr="00E06AE0">
        <w:rPr>
          <w:rFonts w:eastAsia="微軟正黑體" w:cstheme="minorHAnsi" w:hint="eastAsia"/>
          <w:shd w:val="clear" w:color="auto" w:fill="FFFF00"/>
        </w:rPr>
        <w:t>1</w:t>
      </w:r>
      <w:r w:rsidRPr="00E06AE0">
        <w:rPr>
          <w:rFonts w:eastAsia="微軟正黑體" w:cstheme="minorHAnsi" w:hint="eastAsia"/>
          <w:shd w:val="clear" w:color="auto" w:fill="FFFF00"/>
        </w:rPr>
        <w:t>萬</w:t>
      </w:r>
      <w:r w:rsidRPr="00E06AE0">
        <w:rPr>
          <w:rFonts w:eastAsia="微軟正黑體" w:cstheme="minorHAnsi" w:hint="eastAsia"/>
        </w:rPr>
        <w:t>元</w:t>
      </w:r>
    </w:p>
    <w:p w:rsidR="00DD5AE7" w:rsidRDefault="00DD5AE7" w:rsidP="00DD5AE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父母同意可以達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06AE0" w:rsidRDefault="00E06AE0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若持卡超過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張或每家信用額度超過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萬元，應立即通知持卡人停止使用卡片</w:t>
      </w:r>
    </w:p>
    <w:p w:rsidR="002D7376" w:rsidRDefault="002D7376" w:rsidP="002D73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發卡與行銷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金融機構未收到申請人相關資料前，不得製發現金卡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書面申請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完成徵信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授信審核程序</w:t>
      </w:r>
    </w:p>
    <w:p w:rsidR="007E2656" w:rsidRDefault="005D47AB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不得以快速核卡、以卡辦卡、以名片辦卡等訴求行銷，也不得給予職贈品</w:t>
      </w:r>
    </w:p>
    <w:p w:rsidR="005D47AB" w:rsidRDefault="005D47AB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應於廣告、申請書上加</w:t>
      </w:r>
      <w:proofErr w:type="gramStart"/>
      <w:r>
        <w:rPr>
          <w:rFonts w:eastAsia="微軟正黑體" w:cstheme="minorHAnsi" w:hint="eastAsia"/>
        </w:rPr>
        <w:t>註</w:t>
      </w:r>
      <w:proofErr w:type="gramEnd"/>
      <w:r>
        <w:rPr>
          <w:rFonts w:eastAsia="微軟正黑體" w:cstheme="minorHAnsi" w:hint="eastAsia"/>
        </w:rPr>
        <w:t>易懂警語，並詳列最高利率及所有費用</w:t>
      </w:r>
    </w:p>
    <w:p w:rsidR="005D47AB" w:rsidRDefault="005D47AB" w:rsidP="005D47A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利率及各項費用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申請書應詳列各項費用，讓申請人簽名確認，並於網路上揭露各項費用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應於契約內約定，若有增加持卡人收取任何費用，應於</w:t>
      </w:r>
      <w:r w:rsidRPr="005D47AB">
        <w:rPr>
          <w:rFonts w:eastAsia="微軟正黑體" w:cstheme="minorHAnsi" w:hint="eastAsia"/>
          <w:shd w:val="clear" w:color="auto" w:fill="FFFF00"/>
        </w:rPr>
        <w:t>60</w:t>
      </w:r>
      <w:r w:rsidRPr="005D47AB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內以書面或其他方式通知持卡人，如有異議可以終止契約</w:t>
      </w:r>
    </w:p>
    <w:p w:rsidR="003C48DE" w:rsidRDefault="003C48DE" w:rsidP="003C48D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契約之訂定</w:t>
      </w:r>
    </w:p>
    <w:p w:rsidR="003C48DE" w:rsidRDefault="003C48DE" w:rsidP="003C48D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現金卡契約應通分揭露借款利率、還款方式、對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寄送方式、終止契約程序等等事項</w:t>
      </w:r>
    </w:p>
    <w:p w:rsidR="003C48DE" w:rsidRDefault="003C48DE" w:rsidP="003C48D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訂定契約前，應給予申請人合理審核期間</w:t>
      </w:r>
    </w:p>
    <w:p w:rsidR="003C48DE" w:rsidRDefault="003C48DE" w:rsidP="003C48D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契約額度之調整</w:t>
      </w:r>
    </w:p>
    <w:p w:rsidR="003C48DE" w:rsidRPr="003C48DE" w:rsidRDefault="003C48DE" w:rsidP="003C48DE">
      <w:pPr>
        <w:spacing w:line="440" w:lineRule="exact"/>
        <w:ind w:left="960"/>
        <w:rPr>
          <w:rFonts w:eastAsia="微軟正黑體" w:cstheme="minorHAnsi" w:hint="eastAsia"/>
        </w:rPr>
      </w:pPr>
      <w:r w:rsidRPr="003C48DE">
        <w:rPr>
          <w:rFonts w:eastAsia="微軟正黑體" w:cstheme="minorHAnsi" w:hint="eastAsia"/>
        </w:rPr>
        <w:t>主動調高契約額度或可動額度時，應徵持卡人書面同意，</w:t>
      </w:r>
      <w:proofErr w:type="gramStart"/>
      <w:r w:rsidRPr="003C48DE">
        <w:rPr>
          <w:rFonts w:eastAsia="微軟正黑體" w:cstheme="minorHAnsi" w:hint="eastAsia"/>
        </w:rPr>
        <w:t>若原徵有</w:t>
      </w:r>
      <w:proofErr w:type="gramEnd"/>
      <w:r w:rsidRPr="003C48DE">
        <w:rPr>
          <w:rFonts w:eastAsia="微軟正黑體" w:cstheme="minorHAnsi" w:hint="eastAsia"/>
        </w:rPr>
        <w:t>保證人，應事先通知保證人同意並獲得其書面同意</w:t>
      </w:r>
    </w:p>
    <w:p w:rsidR="003C48DE" w:rsidRDefault="00125028" w:rsidP="0012502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催收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只可向本人及保證人催收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應裝設錄音系統，並保留</w:t>
      </w:r>
      <w:r w:rsidRPr="00125028">
        <w:rPr>
          <w:rFonts w:eastAsia="微軟正黑體" w:cstheme="minorHAnsi" w:hint="eastAsia"/>
          <w:shd w:val="clear" w:color="auto" w:fill="FFFF00"/>
        </w:rPr>
        <w:t>6</w:t>
      </w:r>
      <w:r w:rsidRPr="00125028">
        <w:rPr>
          <w:rFonts w:eastAsia="微軟正黑體" w:cstheme="minorHAnsi" w:hint="eastAsia"/>
          <w:shd w:val="clear" w:color="auto" w:fill="FFFF00"/>
        </w:rPr>
        <w:t>個月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不得有不當催收方式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對於債務無關之第三人資料，不得提供</w:t>
      </w:r>
      <w:proofErr w:type="gramStart"/>
      <w:r>
        <w:rPr>
          <w:rFonts w:eastAsia="微軟正黑體" w:cstheme="minorHAnsi" w:hint="eastAsia"/>
        </w:rPr>
        <w:t>餘委外催</w:t>
      </w:r>
      <w:proofErr w:type="gramEnd"/>
      <w:r>
        <w:rPr>
          <w:rFonts w:eastAsia="微軟正黑體" w:cstheme="minorHAnsi" w:hint="eastAsia"/>
        </w:rPr>
        <w:t>收機關</w:t>
      </w:r>
    </w:p>
    <w:p w:rsidR="00125028" w:rsidRDefault="00125028" w:rsidP="0012502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轉銷呆帳</w:t>
      </w:r>
    </w:p>
    <w:p w:rsidR="007E2656" w:rsidRPr="000616FE" w:rsidRDefault="00125028" w:rsidP="007E265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當期應繳最低付款金額超過指定繳款期限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個月未繳足者，</w:t>
      </w:r>
      <w:r w:rsidRPr="00125028">
        <w:rPr>
          <w:rFonts w:eastAsia="微軟正黑體" w:cstheme="minorHAnsi" w:hint="eastAsia"/>
          <w:shd w:val="clear" w:color="auto" w:fill="FFFF00"/>
        </w:rPr>
        <w:t>6</w:t>
      </w:r>
      <w:r w:rsidRPr="00125028">
        <w:rPr>
          <w:rFonts w:eastAsia="微軟正黑體" w:cstheme="minorHAnsi" w:hint="eastAsia"/>
          <w:shd w:val="clear" w:color="auto" w:fill="FFFF00"/>
        </w:rPr>
        <w:t>個月後之</w:t>
      </w:r>
      <w:r w:rsidRPr="00125028">
        <w:rPr>
          <w:rFonts w:eastAsia="微軟正黑體" w:cstheme="minorHAnsi" w:hint="eastAsia"/>
          <w:shd w:val="clear" w:color="auto" w:fill="FFFF00"/>
        </w:rPr>
        <w:t>3</w:t>
      </w:r>
      <w:r w:rsidRPr="00125028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內，將債權餘額</w:t>
      </w:r>
      <w:proofErr w:type="gramStart"/>
      <w:r>
        <w:rPr>
          <w:rFonts w:eastAsia="微軟正黑體" w:cstheme="minorHAnsi" w:hint="eastAsia"/>
        </w:rPr>
        <w:t>轉銷為呆帳</w:t>
      </w:r>
      <w:bookmarkStart w:id="0" w:name="_GoBack"/>
      <w:bookmarkEnd w:id="0"/>
      <w:proofErr w:type="gramEnd"/>
    </w:p>
    <w:sectPr w:rsidR="007E2656" w:rsidRPr="000616FE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616FE"/>
    <w:rsid w:val="000B583F"/>
    <w:rsid w:val="000B74D1"/>
    <w:rsid w:val="000E22A4"/>
    <w:rsid w:val="00125028"/>
    <w:rsid w:val="0014589B"/>
    <w:rsid w:val="00162BAD"/>
    <w:rsid w:val="001700A9"/>
    <w:rsid w:val="0018188D"/>
    <w:rsid w:val="001B1CB2"/>
    <w:rsid w:val="001B68CC"/>
    <w:rsid w:val="002714D0"/>
    <w:rsid w:val="00276CFB"/>
    <w:rsid w:val="0028163C"/>
    <w:rsid w:val="002B2F73"/>
    <w:rsid w:val="002D7376"/>
    <w:rsid w:val="002E24D7"/>
    <w:rsid w:val="002F524C"/>
    <w:rsid w:val="002F7D06"/>
    <w:rsid w:val="00300331"/>
    <w:rsid w:val="00301E9D"/>
    <w:rsid w:val="00344A99"/>
    <w:rsid w:val="00351A0E"/>
    <w:rsid w:val="00361F5D"/>
    <w:rsid w:val="00396E8C"/>
    <w:rsid w:val="003C48DE"/>
    <w:rsid w:val="003C5326"/>
    <w:rsid w:val="003F5965"/>
    <w:rsid w:val="00401C82"/>
    <w:rsid w:val="0040578F"/>
    <w:rsid w:val="00431686"/>
    <w:rsid w:val="00472DAF"/>
    <w:rsid w:val="004A78DB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27007"/>
    <w:rsid w:val="00661D9B"/>
    <w:rsid w:val="00673368"/>
    <w:rsid w:val="006B732D"/>
    <w:rsid w:val="006F173E"/>
    <w:rsid w:val="00715F98"/>
    <w:rsid w:val="00754C6C"/>
    <w:rsid w:val="0078537A"/>
    <w:rsid w:val="00790E50"/>
    <w:rsid w:val="00794D5E"/>
    <w:rsid w:val="007C1075"/>
    <w:rsid w:val="007E2656"/>
    <w:rsid w:val="007E399C"/>
    <w:rsid w:val="007E570D"/>
    <w:rsid w:val="007E7F95"/>
    <w:rsid w:val="0085002D"/>
    <w:rsid w:val="0088409B"/>
    <w:rsid w:val="008A16BA"/>
    <w:rsid w:val="008A17B1"/>
    <w:rsid w:val="008A2722"/>
    <w:rsid w:val="008C26EE"/>
    <w:rsid w:val="008E561C"/>
    <w:rsid w:val="009252CF"/>
    <w:rsid w:val="009354DC"/>
    <w:rsid w:val="00935F75"/>
    <w:rsid w:val="0095656D"/>
    <w:rsid w:val="009714E4"/>
    <w:rsid w:val="009C3B8C"/>
    <w:rsid w:val="00A062F9"/>
    <w:rsid w:val="00A84650"/>
    <w:rsid w:val="00A97565"/>
    <w:rsid w:val="00AC1049"/>
    <w:rsid w:val="00AC7A68"/>
    <w:rsid w:val="00AF1E5D"/>
    <w:rsid w:val="00B0680B"/>
    <w:rsid w:val="00B2778C"/>
    <w:rsid w:val="00B6078B"/>
    <w:rsid w:val="00B642AE"/>
    <w:rsid w:val="00B66E63"/>
    <w:rsid w:val="00B75B05"/>
    <w:rsid w:val="00B92B29"/>
    <w:rsid w:val="00BC2568"/>
    <w:rsid w:val="00BF6E2A"/>
    <w:rsid w:val="00C30AEC"/>
    <w:rsid w:val="00C35AE9"/>
    <w:rsid w:val="00C53931"/>
    <w:rsid w:val="00C9406F"/>
    <w:rsid w:val="00CE6927"/>
    <w:rsid w:val="00D05CC2"/>
    <w:rsid w:val="00D1709A"/>
    <w:rsid w:val="00D95A9E"/>
    <w:rsid w:val="00DB40F1"/>
    <w:rsid w:val="00DC1241"/>
    <w:rsid w:val="00DD5AE7"/>
    <w:rsid w:val="00E06AE0"/>
    <w:rsid w:val="00E269E8"/>
    <w:rsid w:val="00E30C65"/>
    <w:rsid w:val="00E449F2"/>
    <w:rsid w:val="00E45B39"/>
    <w:rsid w:val="00E46726"/>
    <w:rsid w:val="00E85F51"/>
    <w:rsid w:val="00E9792D"/>
    <w:rsid w:val="00ED5048"/>
    <w:rsid w:val="00EE0365"/>
    <w:rsid w:val="00EE39CF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2ED9-76FC-4E8A-8143-BDC09755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31</cp:revision>
  <dcterms:created xsi:type="dcterms:W3CDTF">2016-07-04T08:34:00Z</dcterms:created>
  <dcterms:modified xsi:type="dcterms:W3CDTF">2016-07-05T01:12:00Z</dcterms:modified>
</cp:coreProperties>
</file>