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635099">
        <w:rPr>
          <w:rFonts w:eastAsia="微軟正黑體" w:cstheme="minorHAnsi" w:hint="eastAsia"/>
          <w:sz w:val="40"/>
          <w:szCs w:val="40"/>
        </w:rPr>
        <w:t>十七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635099">
        <w:rPr>
          <w:rFonts w:eastAsia="微軟正黑體" w:cstheme="minorHAnsi" w:hint="eastAsia"/>
          <w:sz w:val="40"/>
          <w:szCs w:val="40"/>
        </w:rPr>
        <w:t>銀行</w:t>
      </w:r>
      <w:proofErr w:type="gramStart"/>
      <w:r w:rsidR="00635099">
        <w:rPr>
          <w:rFonts w:eastAsia="微軟正黑體" w:cstheme="minorHAnsi" w:hint="eastAsia"/>
          <w:sz w:val="40"/>
          <w:szCs w:val="40"/>
        </w:rPr>
        <w:t>辦理衍</w:t>
      </w:r>
      <w:proofErr w:type="gramEnd"/>
      <w:r w:rsidR="00635099">
        <w:rPr>
          <w:rFonts w:eastAsia="微軟正黑體" w:cstheme="minorHAnsi" w:hint="eastAsia"/>
          <w:sz w:val="40"/>
          <w:szCs w:val="40"/>
        </w:rPr>
        <w:t>生性金融商品相關規定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012D0D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77507F" w:rsidRDefault="00635099" w:rsidP="00635099">
      <w:pPr>
        <w:spacing w:line="440" w:lineRule="exact"/>
        <w:ind w:left="480"/>
        <w:rPr>
          <w:rFonts w:eastAsia="微軟正黑體" w:cstheme="minorHAnsi"/>
        </w:rPr>
      </w:pPr>
      <w:r>
        <w:rPr>
          <w:rFonts w:eastAsia="微軟正黑體" w:cstheme="minorHAnsi" w:hint="eastAsia"/>
        </w:rPr>
        <w:t>指其價值由利率、匯率、股價、指數、商品等等及其組合所以生之交易契約</w:t>
      </w:r>
    </w:p>
    <w:p w:rsidR="00635099" w:rsidRDefault="00635099" w:rsidP="00635099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申請核准</w:t>
      </w:r>
    </w:p>
    <w:p w:rsidR="00635099" w:rsidRDefault="00635099" w:rsidP="0063509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銀行辦理衍生性商品須訂定經營策略及作業準則，並檢送申請書及下列文件向主管機關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金管會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申請核准辦理：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法規遵循聲明書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總行資本與風險性資產比率不低於銀行法規規定之證明文件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董事會或適當人員授權之文件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負責本業務人員相關從業經驗或專業訓練之證明文件</w:t>
      </w:r>
    </w:p>
    <w:p w:rsidR="00635099" w:rsidRDefault="00635099" w:rsidP="0063509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營業計畫書</w:t>
      </w:r>
    </w:p>
    <w:p w:rsidR="00635099" w:rsidRDefault="00635099" w:rsidP="0063509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銀行取得業務許可後，並於開辦後</w:t>
      </w:r>
      <w:r w:rsidRPr="00AE7E02">
        <w:rPr>
          <w:rFonts w:eastAsia="微軟正黑體" w:cstheme="minorHAnsi" w:hint="eastAsia"/>
          <w:highlight w:val="yellow"/>
        </w:rPr>
        <w:t>15</w:t>
      </w:r>
      <w:r w:rsidRPr="00AE7E02">
        <w:rPr>
          <w:rFonts w:eastAsia="微軟正黑體" w:cstheme="minorHAnsi" w:hint="eastAsia"/>
          <w:highlight w:val="yellow"/>
        </w:rPr>
        <w:t>日內</w:t>
      </w:r>
      <w:r>
        <w:rPr>
          <w:rFonts w:eastAsia="微軟正黑體" w:cstheme="minorHAnsi" w:hint="eastAsia"/>
        </w:rPr>
        <w:t>檢附商品特性說明書、法規遵循聲明書及風險預告書報金管會備查</w:t>
      </w:r>
      <w:r w:rsidR="00AE7E02">
        <w:rPr>
          <w:rFonts w:eastAsia="微軟正黑體" w:cstheme="minorHAnsi" w:hint="eastAsia"/>
        </w:rPr>
        <w:t>，除下列商品外：</w:t>
      </w:r>
    </w:p>
    <w:p w:rsidR="00AE7E02" w:rsidRDefault="00AE7E02" w:rsidP="00AE7E0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金管會核准第一家銀行辦理後，其他銀行將相關文件送至金管會之次日起</w:t>
      </w:r>
      <w:r w:rsidRPr="00AE7E02">
        <w:rPr>
          <w:rFonts w:eastAsia="微軟正黑體" w:cstheme="minorHAnsi" w:hint="eastAsia"/>
          <w:highlight w:val="yellow"/>
        </w:rPr>
        <w:t>15</w:t>
      </w:r>
      <w:r w:rsidRPr="00AE7E02">
        <w:rPr>
          <w:rFonts w:eastAsia="微軟正黑體" w:cstheme="minorHAnsi" w:hint="eastAsia"/>
          <w:highlight w:val="yellow"/>
        </w:rPr>
        <w:t>日內</w:t>
      </w:r>
      <w:r>
        <w:rPr>
          <w:rFonts w:eastAsia="微軟正黑體" w:cstheme="minorHAnsi" w:hint="eastAsia"/>
        </w:rPr>
        <w:t>，金管會未表達反對者，逕行辦理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涉及與適用台灣地區與大陸地區人民關係法條例所定之相關商品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涉及從事衍生自國內股價與期貨交易所相關之現貨商品及指數契約，並洽會金管會證券期貨局之商品</w:t>
      </w:r>
    </w:p>
    <w:p w:rsidR="00AE7E02" w:rsidRDefault="00AE7E02" w:rsidP="00AE7E0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逕自向中央銀行申請</w:t>
      </w:r>
    </w:p>
    <w:p w:rsidR="00AE7E02" w:rsidRDefault="00AE7E02" w:rsidP="00AE7E02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涉及須經中央銀行許可之外匯商品</w:t>
      </w:r>
    </w:p>
    <w:p w:rsidR="004D0B46" w:rsidRDefault="004D0B46" w:rsidP="004D0B4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銀行辦理衍生性商品之基本資格規定</w:t>
      </w:r>
    </w:p>
    <w:p w:rsidR="004D0B46" w:rsidRDefault="003A06C0" w:rsidP="004D0B4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長期信用評等達金管會規定之標準</w:t>
      </w:r>
    </w:p>
    <w:p w:rsidR="003A06C0" w:rsidRDefault="003A06C0" w:rsidP="004D0B4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銀行資本與風險性資產比率符合銀行法規定</w:t>
      </w:r>
    </w:p>
    <w:p w:rsidR="003A06C0" w:rsidRDefault="003A06C0" w:rsidP="003A06C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236C5">
        <w:rPr>
          <w:rFonts w:eastAsia="微軟正黑體" w:cstheme="minorHAnsi" w:hint="eastAsia"/>
          <w:shd w:val="clear" w:color="auto" w:fill="FFFF00"/>
        </w:rPr>
        <w:t>8%</w:t>
      </w:r>
      <w:r w:rsidRPr="007236C5">
        <w:rPr>
          <w:rFonts w:eastAsia="微軟正黑體" w:cstheme="minorHAnsi" w:hint="eastAsia"/>
          <w:shd w:val="clear" w:color="auto" w:fill="FFFF00"/>
        </w:rPr>
        <w:t>以上</w:t>
      </w:r>
    </w:p>
    <w:p w:rsidR="003A06C0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無備抵</w:t>
      </w:r>
      <w:proofErr w:type="gramEnd"/>
      <w:r>
        <w:rPr>
          <w:rFonts w:eastAsia="微軟正黑體" w:cstheme="minorHAnsi" w:hint="eastAsia"/>
        </w:rPr>
        <w:t>呆帳提列不足</w:t>
      </w:r>
    </w:p>
    <w:p w:rsidR="00BC408E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申請日上一季逾放比率</w:t>
      </w:r>
      <w:r w:rsidRPr="00BC408E">
        <w:rPr>
          <w:rFonts w:eastAsia="微軟正黑體" w:cstheme="minorHAnsi" w:hint="eastAsia"/>
          <w:shd w:val="clear" w:color="auto" w:fill="FFFF00"/>
        </w:rPr>
        <w:t>3%</w:t>
      </w:r>
      <w:r w:rsidRPr="00BC408E">
        <w:rPr>
          <w:rFonts w:eastAsia="微軟正黑體" w:cstheme="minorHAnsi" w:hint="eastAsia"/>
          <w:shd w:val="clear" w:color="auto" w:fill="FFFF00"/>
        </w:rPr>
        <w:t>以下</w:t>
      </w:r>
    </w:p>
    <w:p w:rsidR="00BC408E" w:rsidRDefault="00BC408E" w:rsidP="003A06C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申請日上一年度無因違反銀行法</w:t>
      </w:r>
      <w:r w:rsidR="00C76E34">
        <w:rPr>
          <w:rFonts w:eastAsia="微軟正黑體" w:cstheme="minorHAnsi" w:hint="eastAsia"/>
        </w:rPr>
        <w:t>，或其違法情事以具體改善，經金管會認可</w:t>
      </w:r>
    </w:p>
    <w:p w:rsidR="00C76E34" w:rsidRDefault="00C76E34" w:rsidP="00C76E3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取得</w:t>
      </w:r>
      <w:proofErr w:type="gramStart"/>
      <w:r>
        <w:rPr>
          <w:rFonts w:eastAsia="微軟正黑體" w:cstheme="minorHAnsi" w:hint="eastAsia"/>
        </w:rPr>
        <w:t>辦理衍</w:t>
      </w:r>
      <w:proofErr w:type="gramEnd"/>
      <w:r>
        <w:rPr>
          <w:rFonts w:eastAsia="微軟正黑體" w:cstheme="minorHAnsi" w:hint="eastAsia"/>
        </w:rPr>
        <w:t>生性金融商品之銀行，有下列事項，期</w:t>
      </w:r>
      <w:proofErr w:type="gramStart"/>
      <w:r>
        <w:rPr>
          <w:rFonts w:eastAsia="微軟正黑體" w:cstheme="minorHAnsi" w:hint="eastAsia"/>
        </w:rPr>
        <w:t>辦理之衍生性</w:t>
      </w:r>
      <w:proofErr w:type="gramEnd"/>
      <w:r>
        <w:rPr>
          <w:rFonts w:eastAsia="微軟正黑體" w:cstheme="minorHAnsi" w:hint="eastAsia"/>
        </w:rPr>
        <w:t>金融商品以避險為限：</w:t>
      </w:r>
    </w:p>
    <w:p w:rsidR="00C76E34" w:rsidRDefault="00C76E34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最近一季逾放比高於</w:t>
      </w:r>
      <w:r w:rsidRPr="00C76E34">
        <w:rPr>
          <w:rFonts w:eastAsia="微軟正黑體" w:cstheme="minorHAnsi" w:hint="eastAsia"/>
          <w:shd w:val="clear" w:color="auto" w:fill="FFFF00"/>
        </w:rPr>
        <w:t>3%</w:t>
      </w:r>
    </w:p>
    <w:p w:rsidR="00C76E34" w:rsidRDefault="00C76E34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銀行資本與風險性資產比率低於銀行法規定</w:t>
      </w:r>
    </w:p>
    <w:p w:rsidR="00E803CE" w:rsidRDefault="00E803CE" w:rsidP="00C76E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備抵呆帳不足</w:t>
      </w:r>
    </w:p>
    <w:p w:rsidR="00E803CE" w:rsidRDefault="00E803CE" w:rsidP="00E803CE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業務執行與監督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辦理衍</w:t>
      </w:r>
      <w:proofErr w:type="gramEnd"/>
      <w:r>
        <w:rPr>
          <w:rFonts w:eastAsia="微軟正黑體" w:cstheme="minorHAnsi" w:hint="eastAsia"/>
        </w:rPr>
        <w:t>生性金融商品業務應先評估其風險與效益，訂定經營</w:t>
      </w:r>
      <w:r w:rsidR="00010F6B">
        <w:rPr>
          <w:rFonts w:eastAsia="微軟正黑體" w:cstheme="minorHAnsi" w:hint="eastAsia"/>
        </w:rPr>
        <w:t>策略及</w:t>
      </w:r>
      <w:r>
        <w:rPr>
          <w:rFonts w:eastAsia="微軟正黑體" w:cstheme="minorHAnsi" w:hint="eastAsia"/>
        </w:rPr>
        <w:t>作業準則報董事會核准後</w:t>
      </w:r>
      <w:r>
        <w:rPr>
          <w:rFonts w:eastAsia="微軟正黑體" w:cstheme="minorHAnsi" w:hint="eastAsia"/>
        </w:rPr>
        <w:lastRenderedPageBreak/>
        <w:t>施行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衍生性金融商品交易政策及程序，應是商品與市場改變情況適時調整，並定期提報董事會審定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衍生性金融商品業務之交易及交割人員不得互相兼任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應設立獨立之風險管理單位，並定期向高階管理階層報告</w:t>
      </w:r>
    </w:p>
    <w:p w:rsidR="00E803CE" w:rsidRDefault="00E803C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風險包含市場風險、信用風險、</w:t>
      </w:r>
      <w:r w:rsidR="00C35DAE">
        <w:rPr>
          <w:rFonts w:eastAsia="微軟正黑體" w:cstheme="minorHAnsi" w:hint="eastAsia"/>
        </w:rPr>
        <w:t>流動性風險</w:t>
      </w:r>
      <w:r>
        <w:rPr>
          <w:rFonts w:eastAsia="微軟正黑體" w:cstheme="minorHAnsi" w:hint="eastAsia"/>
        </w:rPr>
        <w:t>、</w:t>
      </w:r>
      <w:r w:rsidR="00C35DAE">
        <w:rPr>
          <w:rFonts w:eastAsia="微軟正黑體" w:cstheme="minorHAnsi" w:hint="eastAsia"/>
        </w:rPr>
        <w:t>作業風險，法律風險等</w:t>
      </w:r>
    </w:p>
    <w:p w:rsidR="00C35DAE" w:rsidRDefault="00C35DAE" w:rsidP="00E803C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衍生性商品部位之評價頻率，應依照部位性質分別訂定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交易部位應以</w:t>
      </w:r>
      <w:r w:rsidRPr="00C35DAE">
        <w:rPr>
          <w:rFonts w:eastAsia="微軟正黑體" w:cstheme="minorHAnsi" w:hint="eastAsia"/>
          <w:shd w:val="clear" w:color="auto" w:fill="FFFF00"/>
        </w:rPr>
        <w:t>及時</w:t>
      </w:r>
      <w:r>
        <w:rPr>
          <w:rFonts w:eastAsia="微軟正黑體" w:cstheme="minorHAnsi" w:hint="eastAsia"/>
        </w:rPr>
        <w:t>或</w:t>
      </w:r>
      <w:r w:rsidRPr="00C35DAE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市價評估為原則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避險性交易至少</w:t>
      </w:r>
      <w:r w:rsidRPr="00C35DAE">
        <w:rPr>
          <w:rFonts w:eastAsia="微軟正黑體" w:cstheme="minorHAnsi" w:hint="eastAsia"/>
          <w:shd w:val="clear" w:color="auto" w:fill="FFFF00"/>
        </w:rPr>
        <w:t>每月評估</w:t>
      </w:r>
      <w:r w:rsidRPr="00C35DAE">
        <w:rPr>
          <w:rFonts w:eastAsia="微軟正黑體" w:cstheme="minorHAnsi" w:hint="eastAsia"/>
          <w:shd w:val="clear" w:color="auto" w:fill="FFFF00"/>
        </w:rPr>
        <w:t>1</w:t>
      </w:r>
      <w:r w:rsidRPr="00C35DAE">
        <w:rPr>
          <w:rFonts w:eastAsia="微軟正黑體" w:cstheme="minorHAnsi" w:hint="eastAsia"/>
          <w:shd w:val="clear" w:color="auto" w:fill="FFFF00"/>
        </w:rPr>
        <w:t>次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銀行辦理衍生性商品應於財務報表本身或附註至少揭露：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面額或合約金額</w:t>
      </w:r>
    </w:p>
    <w:p w:rsidR="00C35DAE" w:rsidRDefault="00C35DAE" w:rsidP="00C35D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商品性質及條件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如有涉及新台幣與外幣之轉換部分，應依外匯收支或交易申報辦法之規定辦理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應建立防範利益衝突及內線交易之管理機制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業務人員應具備專業能力，並訂定專業資格條件、訓練、考評制度</w:t>
      </w:r>
    </w:p>
    <w:p w:rsidR="00C35DAE" w:rsidRDefault="00C35DA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向客戶交付商品說明書及風險預告書</w:t>
      </w:r>
    </w:p>
    <w:p w:rsidR="00C35DAE" w:rsidRDefault="008A144E" w:rsidP="00C35D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銀行辦理結構性商品，對客戶風險揭露之相關文件包含：</w:t>
      </w:r>
    </w:p>
    <w:p w:rsidR="008A144E" w:rsidRDefault="008A144E" w:rsidP="008A144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結構性商品：結合固定收益</w:t>
      </w:r>
      <w:proofErr w:type="gramStart"/>
      <w:r>
        <w:rPr>
          <w:rFonts w:eastAsia="微軟正黑體" w:cstheme="minorHAnsi" w:hint="eastAsia"/>
        </w:rPr>
        <w:t>商品與衍生性</w:t>
      </w:r>
      <w:proofErr w:type="gramEnd"/>
      <w:r>
        <w:rPr>
          <w:rFonts w:eastAsia="微軟正黑體" w:cstheme="minorHAnsi" w:hint="eastAsia"/>
        </w:rPr>
        <w:t>金融商品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交易條件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商品涉主要風險之性質與內容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承諾收益率之來源及方式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</w:t>
      </w:r>
      <w:proofErr w:type="gramStart"/>
      <w:r>
        <w:rPr>
          <w:rFonts w:eastAsia="微軟正黑體" w:cstheme="minorHAnsi" w:hint="eastAsia"/>
        </w:rPr>
        <w:t>年報揭酬率</w:t>
      </w:r>
      <w:proofErr w:type="gramEnd"/>
      <w:r>
        <w:rPr>
          <w:rFonts w:eastAsia="微軟正黑體" w:cstheme="minorHAnsi" w:hint="eastAsia"/>
        </w:rPr>
        <w:t>揭露，可能之損益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保本比率</w:t>
      </w:r>
    </w:p>
    <w:p w:rsidR="008A144E" w:rsidRDefault="008A144E" w:rsidP="008A144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申訴管道</w:t>
      </w:r>
    </w:p>
    <w:p w:rsidR="004B6A4F" w:rsidRPr="009C4EB2" w:rsidRDefault="00E47255" w:rsidP="00BD5F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銀行不得與本行或連結股票發行公司之董事、監</w:t>
      </w:r>
      <w:bookmarkStart w:id="0" w:name="_GoBack"/>
      <w:bookmarkEnd w:id="0"/>
      <w:r w:rsidR="006B4BD8">
        <w:rPr>
          <w:rFonts w:eastAsia="微軟正黑體" w:cstheme="minorHAnsi" w:hint="eastAsia"/>
        </w:rPr>
        <w:t>察人、經理人或股份</w:t>
      </w:r>
      <w:r w:rsidR="006B4BD8" w:rsidRPr="006B4BD8">
        <w:rPr>
          <w:rFonts w:eastAsia="微軟正黑體" w:cstheme="minorHAnsi" w:hint="eastAsia"/>
          <w:shd w:val="clear" w:color="auto" w:fill="FFFF00"/>
        </w:rPr>
        <w:t>10%</w:t>
      </w:r>
      <w:r w:rsidR="006B4BD8">
        <w:rPr>
          <w:rFonts w:eastAsia="微軟正黑體" w:cstheme="minorHAnsi" w:hint="eastAsia"/>
        </w:rPr>
        <w:t>以上之股東，從事台股股權結構性商品</w:t>
      </w:r>
    </w:p>
    <w:sectPr w:rsidR="004B6A4F" w:rsidRPr="009C4EB2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88" w:rsidRDefault="00CE5088" w:rsidP="00010F6B">
      <w:r>
        <w:separator/>
      </w:r>
    </w:p>
  </w:endnote>
  <w:endnote w:type="continuationSeparator" w:id="0">
    <w:p w:rsidR="00CE5088" w:rsidRDefault="00CE5088" w:rsidP="0001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88" w:rsidRDefault="00CE5088" w:rsidP="00010F6B">
      <w:r>
        <w:separator/>
      </w:r>
    </w:p>
  </w:footnote>
  <w:footnote w:type="continuationSeparator" w:id="0">
    <w:p w:rsidR="00CE5088" w:rsidRDefault="00CE5088" w:rsidP="00010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0F6B"/>
    <w:rsid w:val="00012D0D"/>
    <w:rsid w:val="000616FE"/>
    <w:rsid w:val="000B583F"/>
    <w:rsid w:val="000B74D1"/>
    <w:rsid w:val="000E22A4"/>
    <w:rsid w:val="0010059F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565F6"/>
    <w:rsid w:val="00361F5D"/>
    <w:rsid w:val="00393D27"/>
    <w:rsid w:val="00396E8C"/>
    <w:rsid w:val="003A06C0"/>
    <w:rsid w:val="003C48DE"/>
    <w:rsid w:val="003C5326"/>
    <w:rsid w:val="003F31A0"/>
    <w:rsid w:val="003F5965"/>
    <w:rsid w:val="00401C82"/>
    <w:rsid w:val="0040578F"/>
    <w:rsid w:val="00431686"/>
    <w:rsid w:val="0044153E"/>
    <w:rsid w:val="00472DAF"/>
    <w:rsid w:val="004812B9"/>
    <w:rsid w:val="0048546B"/>
    <w:rsid w:val="00491F83"/>
    <w:rsid w:val="004A78DB"/>
    <w:rsid w:val="004B6A4F"/>
    <w:rsid w:val="004D0B46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35099"/>
    <w:rsid w:val="00661D9B"/>
    <w:rsid w:val="00673368"/>
    <w:rsid w:val="006A68DC"/>
    <w:rsid w:val="006B4BD8"/>
    <w:rsid w:val="006B732D"/>
    <w:rsid w:val="006D4007"/>
    <w:rsid w:val="006D587C"/>
    <w:rsid w:val="006F173E"/>
    <w:rsid w:val="00715F98"/>
    <w:rsid w:val="007236C5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A1200"/>
    <w:rsid w:val="009C3B8C"/>
    <w:rsid w:val="009C4EB2"/>
    <w:rsid w:val="00A062F9"/>
    <w:rsid w:val="00A51626"/>
    <w:rsid w:val="00A704C4"/>
    <w:rsid w:val="00A84650"/>
    <w:rsid w:val="00A90EA9"/>
    <w:rsid w:val="00A97565"/>
    <w:rsid w:val="00AC1049"/>
    <w:rsid w:val="00AC7A68"/>
    <w:rsid w:val="00AE7E02"/>
    <w:rsid w:val="00AF1E5D"/>
    <w:rsid w:val="00B0680B"/>
    <w:rsid w:val="00B2778C"/>
    <w:rsid w:val="00B56A6A"/>
    <w:rsid w:val="00B6078B"/>
    <w:rsid w:val="00B642AE"/>
    <w:rsid w:val="00B66E63"/>
    <w:rsid w:val="00B75B05"/>
    <w:rsid w:val="00B875DF"/>
    <w:rsid w:val="00B92B29"/>
    <w:rsid w:val="00BC2568"/>
    <w:rsid w:val="00BC408E"/>
    <w:rsid w:val="00BD5F3C"/>
    <w:rsid w:val="00BF6E2A"/>
    <w:rsid w:val="00C30AEC"/>
    <w:rsid w:val="00C33C03"/>
    <w:rsid w:val="00C35AE9"/>
    <w:rsid w:val="00C35DAE"/>
    <w:rsid w:val="00C53931"/>
    <w:rsid w:val="00C76E34"/>
    <w:rsid w:val="00C9406F"/>
    <w:rsid w:val="00CC37BA"/>
    <w:rsid w:val="00CE5088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E06AE0"/>
    <w:rsid w:val="00E269E8"/>
    <w:rsid w:val="00E30C65"/>
    <w:rsid w:val="00E449F2"/>
    <w:rsid w:val="00E45B39"/>
    <w:rsid w:val="00E46726"/>
    <w:rsid w:val="00E47255"/>
    <w:rsid w:val="00E60A89"/>
    <w:rsid w:val="00E803CE"/>
    <w:rsid w:val="00E8071E"/>
    <w:rsid w:val="00E85F51"/>
    <w:rsid w:val="00E9792D"/>
    <w:rsid w:val="00EA5263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D432F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010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0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0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0F6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010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0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0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0F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637F2-E788-421B-A51E-E7590FB4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12</cp:revision>
  <dcterms:created xsi:type="dcterms:W3CDTF">2016-07-06T00:52:00Z</dcterms:created>
  <dcterms:modified xsi:type="dcterms:W3CDTF">2016-07-09T12:48:00Z</dcterms:modified>
</cp:coreProperties>
</file>