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Pr="00796DC6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796DC6">
        <w:rPr>
          <w:rFonts w:eastAsia="微軟正黑體" w:cstheme="minorHAnsi"/>
          <w:sz w:val="40"/>
          <w:szCs w:val="40"/>
        </w:rPr>
        <w:t>第</w:t>
      </w:r>
      <w:r w:rsidR="00635099" w:rsidRPr="00796DC6">
        <w:rPr>
          <w:rFonts w:eastAsia="微軟正黑體" w:cstheme="minorHAnsi"/>
          <w:sz w:val="40"/>
          <w:szCs w:val="40"/>
        </w:rPr>
        <w:t>十七</w:t>
      </w:r>
      <w:r w:rsidRPr="00796DC6">
        <w:rPr>
          <w:rFonts w:eastAsia="微軟正黑體" w:cstheme="minorHAnsi"/>
          <w:sz w:val="40"/>
          <w:szCs w:val="40"/>
        </w:rPr>
        <w:t>章</w:t>
      </w:r>
      <w:r w:rsidRPr="00796DC6">
        <w:rPr>
          <w:rFonts w:eastAsia="微軟正黑體" w:cstheme="minorHAnsi"/>
          <w:sz w:val="40"/>
          <w:szCs w:val="40"/>
        </w:rPr>
        <w:t xml:space="preserve"> </w:t>
      </w:r>
      <w:r w:rsidR="00C9720A" w:rsidRPr="00796DC6">
        <w:rPr>
          <w:rFonts w:eastAsia="微軟正黑體" w:cstheme="minorHAnsi"/>
          <w:sz w:val="40"/>
          <w:szCs w:val="40"/>
        </w:rPr>
        <w:t>票</w:t>
      </w:r>
      <w:proofErr w:type="gramStart"/>
      <w:r w:rsidR="00C9720A" w:rsidRPr="00796DC6">
        <w:rPr>
          <w:rFonts w:eastAsia="微軟正黑體" w:cstheme="minorHAnsi"/>
          <w:sz w:val="40"/>
          <w:szCs w:val="40"/>
        </w:rPr>
        <w:t>券</w:t>
      </w:r>
      <w:proofErr w:type="gramEnd"/>
      <w:r w:rsidR="00C9720A" w:rsidRPr="00796DC6">
        <w:rPr>
          <w:rFonts w:eastAsia="微軟正黑體" w:cstheme="minorHAnsi"/>
          <w:sz w:val="40"/>
          <w:szCs w:val="40"/>
        </w:rPr>
        <w:t>、證券相關法規</w:t>
      </w:r>
    </w:p>
    <w:p w:rsidR="00AF1E5D" w:rsidRPr="00796DC6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Pr="00796DC6" w:rsidRDefault="00C9720A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票券業</w:t>
      </w:r>
      <w:proofErr w:type="gramStart"/>
      <w:r w:rsidRPr="00796DC6">
        <w:rPr>
          <w:rFonts w:eastAsia="微軟正黑體" w:cstheme="minorHAnsi"/>
        </w:rPr>
        <w:t>務</w:t>
      </w:r>
      <w:proofErr w:type="gramEnd"/>
    </w:p>
    <w:p w:rsidR="00C9720A" w:rsidRPr="00796DC6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票券商不得簽證、承銷、經濟或買賣發行人未經信用評等機構評等之短期票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，下列票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不在此限</w:t>
      </w:r>
    </w:p>
    <w:p w:rsidR="00C9720A" w:rsidRPr="00796DC6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國庫券</w:t>
      </w:r>
    </w:p>
    <w:p w:rsidR="00C9720A" w:rsidRPr="00796DC6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基於商品交易或勞務提供所產生，且經受款人背書之本票或匯票</w:t>
      </w:r>
    </w:p>
    <w:p w:rsidR="00C9720A" w:rsidRPr="00796DC6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經金融機構保證之短期票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</w:p>
    <w:p w:rsidR="00C9720A" w:rsidRPr="00796DC6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金融公司辦理短期票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或債券，應詳細實紀錄交易時間、種類、數量、金額、顧客名稱</w:t>
      </w:r>
    </w:p>
    <w:p w:rsidR="00C9720A" w:rsidRPr="00796DC6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成交單時間記錄至「日、時、分」</w:t>
      </w:r>
    </w:p>
    <w:p w:rsidR="00C9720A" w:rsidRPr="00796DC6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成交單以外單據時間記錄至「日」</w:t>
      </w:r>
    </w:p>
    <w:p w:rsidR="00C9720A" w:rsidRPr="00796DC6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票券商買賣或持有下列企業所發行之短期票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、債券，其交易條件不得有於其他同類交易對象，信用評等需在一定等級以上，總額應受一定之限制，但銀行發行之可轉讓定存單及金融債券，不在此限：</w:t>
      </w:r>
    </w:p>
    <w:p w:rsidR="00AD09D1" w:rsidRPr="00796DC6" w:rsidRDefault="00AD09D1" w:rsidP="00AD09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受限對象</w:t>
      </w:r>
    </w:p>
    <w:p w:rsidR="00BC274C" w:rsidRPr="00796DC6" w:rsidRDefault="00BC274C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以法人身分或推由其代表人</w:t>
      </w:r>
      <w:proofErr w:type="gramStart"/>
      <w:r w:rsidRPr="00796DC6">
        <w:rPr>
          <w:rFonts w:eastAsia="微軟正黑體" w:cstheme="minorHAnsi"/>
        </w:rPr>
        <w:t>當選為票券商</w:t>
      </w:r>
      <w:proofErr w:type="gramEnd"/>
      <w:r w:rsidRPr="00796DC6">
        <w:rPr>
          <w:rFonts w:eastAsia="微軟正黑體" w:cstheme="minorHAnsi"/>
        </w:rPr>
        <w:t>董事或監察人</w:t>
      </w:r>
    </w:p>
    <w:p w:rsidR="00BC274C" w:rsidRPr="00796DC6" w:rsidRDefault="003D4ACF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持有票券商實收資本額</w:t>
      </w:r>
      <w:r w:rsidRPr="00796DC6">
        <w:rPr>
          <w:rFonts w:eastAsia="微軟正黑體" w:cstheme="minorHAnsi"/>
          <w:shd w:val="clear" w:color="auto" w:fill="FFFF00"/>
        </w:rPr>
        <w:t>3%</w:t>
      </w:r>
      <w:r w:rsidRPr="00796DC6">
        <w:rPr>
          <w:rFonts w:eastAsia="微軟正黑體" w:cstheme="minorHAnsi"/>
          <w:shd w:val="clear" w:color="auto" w:fill="FFFF00"/>
        </w:rPr>
        <w:t>以上</w:t>
      </w:r>
      <w:r w:rsidRPr="00796DC6">
        <w:rPr>
          <w:rFonts w:eastAsia="微軟正黑體" w:cstheme="minorHAnsi"/>
        </w:rPr>
        <w:t>之股東或票券商負責人擔任董事、監察人或經理人之企業</w:t>
      </w:r>
    </w:p>
    <w:p w:rsidR="00AD09D1" w:rsidRPr="00796DC6" w:rsidRDefault="00AD09D1" w:rsidP="00AD09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限制條件，由主管機關會商中央銀行定之</w:t>
      </w:r>
    </w:p>
    <w:p w:rsidR="00AD09D1" w:rsidRPr="00796DC6" w:rsidRDefault="00BD3C35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買賣條件：交易利率或價格</w:t>
      </w:r>
    </w:p>
    <w:p w:rsidR="00BD3C35" w:rsidRPr="00796DC6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同類交易對象：同一票券商買賣相同交易天數或發行其次，且信用評等相當之短期票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或債券</w:t>
      </w:r>
    </w:p>
    <w:p w:rsidR="00BD3C35" w:rsidRPr="00796DC6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信用評</w:t>
      </w:r>
      <w:proofErr w:type="gramStart"/>
      <w:r w:rsidRPr="00796DC6">
        <w:rPr>
          <w:rFonts w:eastAsia="微軟正黑體" w:cstheme="minorHAnsi"/>
        </w:rPr>
        <w:t>等</w:t>
      </w:r>
      <w:proofErr w:type="gramEnd"/>
      <w:r w:rsidRPr="00796DC6">
        <w:rPr>
          <w:rFonts w:eastAsia="微軟正黑體" w:cstheme="minorHAnsi"/>
        </w:rPr>
        <w:t>等級</w:t>
      </w:r>
    </w:p>
    <w:p w:rsidR="00BD3C35" w:rsidRPr="00796DC6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一定信用評等等級以上</w:t>
      </w:r>
    </w:p>
    <w:p w:rsidR="00BD3C35" w:rsidRPr="00796DC6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持有總額：庫存自有部位</w:t>
      </w:r>
      <w:proofErr w:type="gramStart"/>
      <w:r w:rsidRPr="00796DC6">
        <w:rPr>
          <w:rFonts w:eastAsia="微軟正黑體" w:cstheme="minorHAnsi"/>
        </w:rPr>
        <w:t>加計附買回</w:t>
      </w:r>
      <w:proofErr w:type="gramEnd"/>
      <w:r w:rsidRPr="00796DC6">
        <w:rPr>
          <w:rFonts w:eastAsia="微軟正黑體" w:cstheme="minorHAnsi"/>
        </w:rPr>
        <w:t>條件交易賣出之短期票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及債券帳列成本</w:t>
      </w:r>
    </w:p>
    <w:p w:rsidR="00BD3C35" w:rsidRPr="00796DC6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持有總額限制：持有上述特定關係人所發行之短期票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指總額，不得高過該票券商淨值</w:t>
      </w:r>
      <w:r w:rsidRPr="00796DC6">
        <w:rPr>
          <w:rFonts w:eastAsia="微軟正黑體" w:cstheme="minorHAnsi"/>
          <w:shd w:val="clear" w:color="auto" w:fill="FFFF00"/>
        </w:rPr>
        <w:t>15%</w:t>
      </w:r>
      <w:r w:rsidR="003279F1" w:rsidRPr="00796DC6">
        <w:rPr>
          <w:rFonts w:eastAsia="微軟正黑體" w:cstheme="minorHAnsi"/>
        </w:rPr>
        <w:t>，銀行發行之可轉讓定存單及金融債券不在此限</w:t>
      </w:r>
    </w:p>
    <w:p w:rsidR="003279F1" w:rsidRPr="00796DC6" w:rsidRDefault="003279F1" w:rsidP="003279F1">
      <w:pPr>
        <w:pStyle w:val="a3"/>
        <w:numPr>
          <w:ilvl w:val="1"/>
          <w:numId w:val="2"/>
        </w:numPr>
        <w:spacing w:line="440" w:lineRule="exact"/>
        <w:ind w:leftChars="400" w:left="144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以債券或登記形式發行，</w:t>
      </w:r>
      <w:proofErr w:type="gramStart"/>
      <w:r w:rsidRPr="00796DC6">
        <w:rPr>
          <w:rFonts w:eastAsia="微軟正黑體" w:cstheme="minorHAnsi"/>
        </w:rPr>
        <w:t>應由票券商</w:t>
      </w:r>
      <w:proofErr w:type="gramEnd"/>
      <w:r w:rsidRPr="00796DC6">
        <w:rPr>
          <w:rFonts w:eastAsia="微軟正黑體" w:cstheme="minorHAnsi"/>
        </w:rPr>
        <w:t>以參加人身分送存集中保管機構保管，集中保管機構隊參加人之帳簿與其送存及交割憑證，至少保存</w:t>
      </w:r>
      <w:r w:rsidRPr="00796DC6">
        <w:rPr>
          <w:rFonts w:eastAsia="微軟正黑體" w:cstheme="minorHAnsi"/>
          <w:shd w:val="clear" w:color="auto" w:fill="FFFF00"/>
        </w:rPr>
        <w:t>5</w:t>
      </w:r>
      <w:r w:rsidRPr="00796DC6">
        <w:rPr>
          <w:rFonts w:eastAsia="微軟正黑體" w:cstheme="minorHAnsi"/>
          <w:shd w:val="clear" w:color="auto" w:fill="FFFF00"/>
        </w:rPr>
        <w:t>年</w:t>
      </w:r>
    </w:p>
    <w:p w:rsidR="003279F1" w:rsidRPr="00796DC6" w:rsidRDefault="003279F1" w:rsidP="003279F1">
      <w:pPr>
        <w:pStyle w:val="a3"/>
        <w:numPr>
          <w:ilvl w:val="1"/>
          <w:numId w:val="2"/>
        </w:numPr>
        <w:spacing w:line="440" w:lineRule="exact"/>
        <w:ind w:leftChars="400" w:left="144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以集中保管機構登入或保管之短期票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辦理買賣之交割，應由集中保管機構以帳簿劃撥方式為之</w:t>
      </w:r>
    </w:p>
    <w:p w:rsidR="00C9720A" w:rsidRPr="00796DC6" w:rsidRDefault="003279F1" w:rsidP="003279F1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票券商負責人、業務人</w:t>
      </w:r>
    </w:p>
    <w:p w:rsidR="00B24BC9" w:rsidRPr="00796DC6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金融公司負責人及職員，不得兼任他票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金融公司或金融機構任何職務。但因投資關係，經主管機關同意，不在此限</w:t>
      </w:r>
    </w:p>
    <w:p w:rsidR="00B24BC9" w:rsidRPr="00796DC6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lastRenderedPageBreak/>
        <w:t>票券商業務人員需向</w:t>
      </w:r>
      <w:r w:rsidR="009A3BF5" w:rsidRPr="00796DC6">
        <w:rPr>
          <w:rFonts w:eastAsia="微軟正黑體" w:cstheme="minorHAnsi"/>
        </w:rPr>
        <w:t>「</w:t>
      </w: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金融商業同業公會</w:t>
      </w:r>
      <w:r w:rsidR="009A3BF5" w:rsidRPr="00796DC6">
        <w:rPr>
          <w:rFonts w:eastAsia="微軟正黑體" w:cstheme="minorHAnsi"/>
        </w:rPr>
        <w:t>」</w:t>
      </w:r>
      <w:r w:rsidRPr="00796DC6">
        <w:rPr>
          <w:rFonts w:eastAsia="微軟正黑體" w:cstheme="minorHAnsi"/>
        </w:rPr>
        <w:t>登記</w:t>
      </w:r>
    </w:p>
    <w:p w:rsidR="00B24BC9" w:rsidRPr="00796DC6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票券商業務人員不得有下列行為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接受客戶委託買賣，同時以自己之計算為買入或賣出之相對行為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挪用或代為保管客戶之短期票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、債券、款項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意圖獲得利益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利用客戶名義或帳戶，為自己或第三人買買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未依據客戶委託事項及條件，執行買賣或不當延遲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未經客戶授權，以其名義辦理開戶、買賣、交割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未盡保密之責</w:t>
      </w:r>
    </w:p>
    <w:p w:rsidR="00B24BC9" w:rsidRPr="00796DC6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對外散播誇大、不實訊息有礙金融市場之穩定</w:t>
      </w:r>
    </w:p>
    <w:p w:rsidR="00B24BC9" w:rsidRPr="00796DC6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票券商業務人員有異動者，異動後</w:t>
      </w:r>
      <w:r w:rsidRPr="00796DC6">
        <w:rPr>
          <w:rFonts w:eastAsia="微軟正黑體" w:cstheme="minorHAnsi"/>
          <w:shd w:val="clear" w:color="auto" w:fill="FFFF00"/>
        </w:rPr>
        <w:t>20</w:t>
      </w:r>
      <w:r w:rsidRPr="00796DC6">
        <w:rPr>
          <w:rFonts w:eastAsia="微軟正黑體" w:cstheme="minorHAnsi"/>
          <w:shd w:val="clear" w:color="auto" w:fill="FFFF00"/>
        </w:rPr>
        <w:t>日內</w:t>
      </w:r>
      <w:r w:rsidRPr="00796DC6">
        <w:rPr>
          <w:rFonts w:eastAsia="微軟正黑體" w:cstheme="minorHAnsi"/>
        </w:rPr>
        <w:t>，</w:t>
      </w:r>
      <w:proofErr w:type="gramStart"/>
      <w:r w:rsidRPr="00796DC6">
        <w:rPr>
          <w:rFonts w:eastAsia="微軟正黑體" w:cstheme="minorHAnsi"/>
        </w:rPr>
        <w:t>像票券商</w:t>
      </w:r>
      <w:proofErr w:type="gramEnd"/>
      <w:r w:rsidRPr="00796DC6">
        <w:rPr>
          <w:rFonts w:eastAsia="微軟正黑體" w:cstheme="minorHAnsi"/>
        </w:rPr>
        <w:t>公會申請及登記</w:t>
      </w:r>
    </w:p>
    <w:p w:rsidR="00B24BC9" w:rsidRPr="00796DC6" w:rsidRDefault="00C54CD4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金融公司負責人或職員，意圖自己或第三人之不法利益，損害公司之利益</w:t>
      </w:r>
    </w:p>
    <w:tbl>
      <w:tblPr>
        <w:tblStyle w:val="-1"/>
        <w:tblW w:w="0" w:type="auto"/>
        <w:tblInd w:w="984" w:type="dxa"/>
        <w:tblLook w:val="04A0" w:firstRow="1" w:lastRow="0" w:firstColumn="1" w:lastColumn="0" w:noHBand="0" w:noVBand="1"/>
      </w:tblPr>
      <w:tblGrid>
        <w:gridCol w:w="2385"/>
        <w:gridCol w:w="2268"/>
        <w:gridCol w:w="1842"/>
      </w:tblGrid>
      <w:tr w:rsidR="00C54CD4" w:rsidRPr="00796DC6" w:rsidTr="00C5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rPr>
                <w:rFonts w:asciiTheme="minorHAnsi" w:eastAsia="微軟正黑體" w:hAnsiTheme="minorHAnsi" w:cstheme="minorHAnsi"/>
              </w:rPr>
            </w:pPr>
          </w:p>
        </w:tc>
        <w:tc>
          <w:tcPr>
            <w:tcW w:w="2268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罰金</w:t>
            </w:r>
          </w:p>
        </w:tc>
        <w:tc>
          <w:tcPr>
            <w:tcW w:w="1842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有期徒刑</w:t>
            </w:r>
          </w:p>
        </w:tc>
      </w:tr>
      <w:tr w:rsidR="00C54CD4" w:rsidRPr="00796DC6" w:rsidTr="00C5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rPr>
                <w:rFonts w:asciiTheme="minorHAnsi" w:eastAsia="微軟正黑體" w:hAnsiTheme="minorHAnsi" w:cstheme="minorHAnsi"/>
              </w:rPr>
            </w:pPr>
          </w:p>
        </w:tc>
        <w:tc>
          <w:tcPr>
            <w:tcW w:w="2268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1000</w:t>
            </w:r>
            <w:r w:rsidRPr="00796DC6">
              <w:rPr>
                <w:rFonts w:eastAsia="微軟正黑體" w:cstheme="minorHAnsi"/>
              </w:rPr>
              <w:t>萬至</w:t>
            </w:r>
            <w:r w:rsidRPr="00796DC6">
              <w:rPr>
                <w:rFonts w:eastAsia="微軟正黑體" w:cstheme="minorHAnsi"/>
              </w:rPr>
              <w:t>2</w:t>
            </w:r>
            <w:r w:rsidRPr="00796DC6">
              <w:rPr>
                <w:rFonts w:eastAsia="微軟正黑體" w:cstheme="minorHAnsi"/>
              </w:rPr>
              <w:t>億元</w:t>
            </w:r>
          </w:p>
        </w:tc>
        <w:tc>
          <w:tcPr>
            <w:tcW w:w="1842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3-10</w:t>
            </w:r>
            <w:r w:rsidRPr="00796DC6">
              <w:rPr>
                <w:rFonts w:eastAsia="微軟正黑體" w:cstheme="minorHAnsi"/>
              </w:rPr>
              <w:t>年</w:t>
            </w:r>
          </w:p>
        </w:tc>
      </w:tr>
      <w:tr w:rsidR="00C54CD4" w:rsidRPr="00796DC6" w:rsidTr="00C54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犯罪所得</w:t>
            </w:r>
            <w:r w:rsidRPr="00796DC6">
              <w:rPr>
                <w:rFonts w:asciiTheme="minorHAnsi" w:eastAsia="微軟正黑體" w:hAnsiTheme="minorHAnsi" w:cstheme="minorHAnsi"/>
              </w:rPr>
              <w:t>1</w:t>
            </w:r>
            <w:r w:rsidRPr="00796DC6">
              <w:rPr>
                <w:rFonts w:asciiTheme="minorHAnsi" w:eastAsia="微軟正黑體" w:hAnsiTheme="minorHAnsi" w:cstheme="minorHAnsi"/>
              </w:rPr>
              <w:t>億元以上</w:t>
            </w:r>
          </w:p>
        </w:tc>
        <w:tc>
          <w:tcPr>
            <w:tcW w:w="2268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2500</w:t>
            </w:r>
            <w:r w:rsidRPr="00796DC6">
              <w:rPr>
                <w:rFonts w:eastAsia="微軟正黑體" w:cstheme="minorHAnsi"/>
              </w:rPr>
              <w:t>萬至</w:t>
            </w:r>
            <w:r w:rsidRPr="00796DC6">
              <w:rPr>
                <w:rFonts w:eastAsia="微軟正黑體" w:cstheme="minorHAnsi"/>
              </w:rPr>
              <w:t>5</w:t>
            </w:r>
            <w:r w:rsidRPr="00796DC6">
              <w:rPr>
                <w:rFonts w:eastAsia="微軟正黑體" w:cstheme="minorHAnsi"/>
              </w:rPr>
              <w:t>億元</w:t>
            </w:r>
          </w:p>
        </w:tc>
        <w:tc>
          <w:tcPr>
            <w:tcW w:w="1842" w:type="dxa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7</w:t>
            </w:r>
            <w:r w:rsidRPr="00796DC6">
              <w:rPr>
                <w:rFonts w:eastAsia="微軟正黑體" w:cstheme="minorHAnsi"/>
              </w:rPr>
              <w:t>年以上</w:t>
            </w:r>
          </w:p>
        </w:tc>
      </w:tr>
      <w:tr w:rsidR="00C54CD4" w:rsidRPr="00796DC6" w:rsidTr="00C5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兩人以上</w:t>
            </w:r>
          </w:p>
        </w:tc>
        <w:tc>
          <w:tcPr>
            <w:tcW w:w="4110" w:type="dxa"/>
            <w:gridSpan w:val="2"/>
            <w:vAlign w:val="center"/>
          </w:tcPr>
          <w:p w:rsidR="00C54CD4" w:rsidRPr="00796DC6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加重</w:t>
            </w:r>
            <w:r w:rsidRPr="00796DC6">
              <w:rPr>
                <w:rFonts w:eastAsia="微軟正黑體" w:cstheme="minorHAnsi"/>
              </w:rPr>
              <w:t>1/2</w:t>
            </w:r>
          </w:p>
        </w:tc>
      </w:tr>
    </w:tbl>
    <w:p w:rsidR="00C54CD4" w:rsidRPr="00796DC6" w:rsidRDefault="00602FBB" w:rsidP="00BF0D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意圖自己或第三人之不法所得，以詐術使票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金融公司或第三人之財物交付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犯罪所得達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億元以上</w:t>
      </w:r>
    </w:p>
    <w:p w:rsidR="00602FBB" w:rsidRPr="00796DC6" w:rsidRDefault="00602FBB" w:rsidP="00602FB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處</w:t>
      </w:r>
      <w:r w:rsidRPr="00796DC6">
        <w:rPr>
          <w:rFonts w:eastAsia="微軟正黑體" w:cstheme="minorHAnsi"/>
        </w:rPr>
        <w:t>3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10</w:t>
      </w:r>
      <w:r w:rsidRPr="00796DC6">
        <w:rPr>
          <w:rFonts w:eastAsia="微軟正黑體" w:cstheme="minorHAnsi"/>
        </w:rPr>
        <w:t>年以下有期徒刑</w:t>
      </w:r>
    </w:p>
    <w:p w:rsidR="00602FBB" w:rsidRPr="00796DC6" w:rsidRDefault="00602FBB" w:rsidP="00602FB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1000</w:t>
      </w:r>
      <w:r w:rsidRPr="00796DC6">
        <w:rPr>
          <w:rFonts w:eastAsia="微軟正黑體" w:cstheme="minorHAnsi"/>
        </w:rPr>
        <w:t>萬以上，</w:t>
      </w:r>
      <w:r w:rsidRPr="00796DC6">
        <w:rPr>
          <w:rFonts w:eastAsia="微軟正黑體" w:cstheme="minorHAnsi"/>
        </w:rPr>
        <w:t>2</w:t>
      </w:r>
      <w:r w:rsidRPr="00796DC6">
        <w:rPr>
          <w:rFonts w:eastAsia="微軟正黑體" w:cstheme="minorHAnsi"/>
        </w:rPr>
        <w:t>億以下罰金</w:t>
      </w:r>
    </w:p>
    <w:p w:rsidR="002E27D0" w:rsidRPr="00796DC6" w:rsidRDefault="00602FBB" w:rsidP="00602FB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</w:t>
      </w:r>
    </w:p>
    <w:p w:rsidR="00602FBB" w:rsidRPr="00796DC6" w:rsidRDefault="00602FBB" w:rsidP="00602FB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金融公司得投資債券及股權之種類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政府債券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銀行依銀行法之金融債券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公司債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金融組織核准在我國境內發行之債券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受託證券及資產基礎證券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證券投資信託事業發行之基金受益憑證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信託業發行之共信用基金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認購權證</w:t>
      </w:r>
    </w:p>
    <w:p w:rsidR="00602FBB" w:rsidRPr="00796DC6" w:rsidRDefault="00602FBB" w:rsidP="00602FB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投資限額</w:t>
      </w:r>
    </w:p>
    <w:p w:rsidR="00602FBB" w:rsidRPr="00796DC6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金融公司投資單一銀行所發行之金融債券之原始取得成本總餘額，不得超過該票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金融公司淨值之</w:t>
      </w:r>
      <w:r w:rsidRPr="00796DC6">
        <w:rPr>
          <w:rFonts w:eastAsia="微軟正黑體" w:cstheme="minorHAnsi"/>
          <w:shd w:val="clear" w:color="auto" w:fill="FFFF00"/>
        </w:rPr>
        <w:t>5%</w:t>
      </w:r>
    </w:p>
    <w:p w:rsidR="00602FBB" w:rsidRPr="00796DC6" w:rsidRDefault="001133D2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金融公司投資單一企業所發行之金融債券之原始取得成本總餘額，不得超過投資時</w:t>
      </w:r>
      <w:r w:rsidRPr="00796DC6">
        <w:rPr>
          <w:rFonts w:eastAsia="微軟正黑體" w:cstheme="minorHAnsi"/>
        </w:rPr>
        <w:lastRenderedPageBreak/>
        <w:t>該企業實收資本額</w:t>
      </w:r>
      <w:r w:rsidRPr="00796DC6">
        <w:rPr>
          <w:rFonts w:eastAsia="微軟正黑體" w:cstheme="minorHAnsi"/>
          <w:shd w:val="clear" w:color="auto" w:fill="FFFF00"/>
        </w:rPr>
        <w:t>5%</w:t>
      </w:r>
      <w:r w:rsidRPr="00796DC6">
        <w:rPr>
          <w:rFonts w:eastAsia="微軟正黑體" w:cstheme="minorHAnsi"/>
        </w:rPr>
        <w:t>及票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公司淨值之</w:t>
      </w:r>
      <w:r w:rsidRPr="00796DC6">
        <w:rPr>
          <w:rFonts w:eastAsia="微軟正黑體" w:cstheme="minorHAnsi"/>
          <w:shd w:val="clear" w:color="auto" w:fill="FFFF00"/>
        </w:rPr>
        <w:t>5%</w:t>
      </w:r>
      <w:r w:rsidRPr="00796DC6">
        <w:rPr>
          <w:rFonts w:eastAsia="微軟正黑體" w:cstheme="minorHAnsi"/>
        </w:rPr>
        <w:t>，若因認股、轉換、交換股權導致超過總額者，超額部分應於取得股票起</w:t>
      </w:r>
      <w:r w:rsidRPr="00796DC6">
        <w:rPr>
          <w:rFonts w:eastAsia="微軟正黑體" w:cstheme="minorHAnsi"/>
          <w:shd w:val="clear" w:color="auto" w:fill="FFFF00"/>
        </w:rPr>
        <w:t>6</w:t>
      </w:r>
      <w:r w:rsidRPr="00796DC6">
        <w:rPr>
          <w:rFonts w:eastAsia="微軟正黑體" w:cstheme="minorHAnsi"/>
          <w:shd w:val="clear" w:color="auto" w:fill="FFFF00"/>
        </w:rPr>
        <w:t>個月內</w:t>
      </w:r>
      <w:r w:rsidRPr="00796DC6">
        <w:rPr>
          <w:rFonts w:eastAsia="微軟正黑體" w:cstheme="minorHAnsi"/>
        </w:rPr>
        <w:t>處分之</w:t>
      </w:r>
    </w:p>
    <w:p w:rsidR="001133D2" w:rsidRPr="00796DC6" w:rsidRDefault="00702DB3" w:rsidP="00702DB3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證券業務</w:t>
      </w:r>
    </w:p>
    <w:p w:rsidR="00702DB3" w:rsidRPr="00796DC6" w:rsidRDefault="00702DB3" w:rsidP="00702DB3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承銷業務</w:t>
      </w:r>
    </w:p>
    <w:p w:rsidR="00702DB3" w:rsidRPr="00796DC6" w:rsidRDefault="00702DB3" w:rsidP="00702DB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</w:p>
    <w:tbl>
      <w:tblPr>
        <w:tblStyle w:val="-2"/>
        <w:tblW w:w="5440" w:type="dxa"/>
        <w:tblInd w:w="1236" w:type="dxa"/>
        <w:tblLook w:val="04A0" w:firstRow="1" w:lastRow="0" w:firstColumn="1" w:lastColumn="0" w:noHBand="0" w:noVBand="1"/>
      </w:tblPr>
      <w:tblGrid>
        <w:gridCol w:w="909"/>
        <w:gridCol w:w="2268"/>
        <w:gridCol w:w="2263"/>
      </w:tblGrid>
      <w:tr w:rsidR="00702DB3" w:rsidRPr="00796DC6" w:rsidTr="0070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Pr="00796DC6" w:rsidRDefault="00702DB3" w:rsidP="00702DB3">
            <w:pPr>
              <w:spacing w:line="440" w:lineRule="exact"/>
              <w:rPr>
                <w:rFonts w:asciiTheme="minorHAnsi" w:eastAsia="微軟正黑體" w:hAnsiTheme="minorHAnsi" w:cstheme="minorHAnsi"/>
              </w:rPr>
            </w:pPr>
          </w:p>
        </w:tc>
        <w:tc>
          <w:tcPr>
            <w:tcW w:w="2268" w:type="dxa"/>
          </w:tcPr>
          <w:p w:rsidR="00702DB3" w:rsidRPr="00796DC6" w:rsidRDefault="00702DB3" w:rsidP="00702DB3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未賣完之有價證券</w:t>
            </w:r>
          </w:p>
        </w:tc>
        <w:tc>
          <w:tcPr>
            <w:tcW w:w="2263" w:type="dxa"/>
          </w:tcPr>
          <w:p w:rsidR="00702DB3" w:rsidRPr="00796DC6" w:rsidRDefault="00702DB3" w:rsidP="00702DB3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報酬</w:t>
            </w:r>
          </w:p>
        </w:tc>
      </w:tr>
      <w:tr w:rsidR="00702DB3" w:rsidRPr="00796DC6" w:rsidTr="0070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Pr="00796DC6" w:rsidRDefault="00702DB3" w:rsidP="00702DB3">
            <w:pPr>
              <w:spacing w:line="440" w:lineRule="exact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包銷</w:t>
            </w:r>
          </w:p>
        </w:tc>
        <w:tc>
          <w:tcPr>
            <w:tcW w:w="2268" w:type="dxa"/>
          </w:tcPr>
          <w:p w:rsidR="00702DB3" w:rsidRPr="00796DC6" w:rsidRDefault="00702DB3" w:rsidP="00702DB3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自行認購</w:t>
            </w:r>
          </w:p>
        </w:tc>
        <w:tc>
          <w:tcPr>
            <w:tcW w:w="2263" w:type="dxa"/>
          </w:tcPr>
          <w:p w:rsidR="00702DB3" w:rsidRPr="00796DC6" w:rsidRDefault="00702DB3" w:rsidP="00702DB3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總金額</w:t>
            </w:r>
            <w:r w:rsidRPr="00796DC6">
              <w:rPr>
                <w:rFonts w:eastAsia="微軟正黑體" w:cstheme="minorHAnsi"/>
              </w:rPr>
              <w:t>10%</w:t>
            </w:r>
            <w:r w:rsidRPr="00796DC6">
              <w:rPr>
                <w:rFonts w:eastAsia="微軟正黑體" w:cstheme="minorHAnsi"/>
              </w:rPr>
              <w:t>以下</w:t>
            </w:r>
          </w:p>
        </w:tc>
      </w:tr>
      <w:tr w:rsidR="00702DB3" w:rsidRPr="00796DC6" w:rsidTr="00702D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Pr="00796DC6" w:rsidRDefault="00702DB3" w:rsidP="00702DB3">
            <w:pPr>
              <w:spacing w:line="440" w:lineRule="exact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代銷</w:t>
            </w:r>
          </w:p>
        </w:tc>
        <w:tc>
          <w:tcPr>
            <w:tcW w:w="2268" w:type="dxa"/>
          </w:tcPr>
          <w:p w:rsidR="00702DB3" w:rsidRPr="00796DC6" w:rsidRDefault="00702DB3" w:rsidP="00702DB3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退還</w:t>
            </w:r>
          </w:p>
        </w:tc>
        <w:tc>
          <w:tcPr>
            <w:tcW w:w="2263" w:type="dxa"/>
          </w:tcPr>
          <w:p w:rsidR="00702DB3" w:rsidRPr="00796DC6" w:rsidRDefault="00702DB3" w:rsidP="00702DB3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proofErr w:type="gramStart"/>
            <w:r w:rsidRPr="00796DC6">
              <w:rPr>
                <w:rFonts w:eastAsia="微軟正黑體" w:cstheme="minorHAnsi"/>
              </w:rPr>
              <w:t>收續費</w:t>
            </w:r>
            <w:proofErr w:type="gramEnd"/>
            <w:r w:rsidRPr="00796DC6">
              <w:rPr>
                <w:rFonts w:eastAsia="微軟正黑體" w:cstheme="minorHAnsi"/>
              </w:rPr>
              <w:t>5%</w:t>
            </w:r>
            <w:r w:rsidRPr="00796DC6">
              <w:rPr>
                <w:rFonts w:eastAsia="微軟正黑體" w:cstheme="minorHAnsi"/>
              </w:rPr>
              <w:t>以下</w:t>
            </w:r>
          </w:p>
        </w:tc>
      </w:tr>
    </w:tbl>
    <w:p w:rsidR="002E27D0" w:rsidRPr="00796DC6" w:rsidRDefault="00702DB3" w:rsidP="00702DB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下列情形之</w:t>
      </w:r>
      <w:proofErr w:type="gramStart"/>
      <w:r w:rsidRPr="00796DC6">
        <w:rPr>
          <w:rFonts w:eastAsia="微軟正黑體" w:cstheme="minorHAnsi"/>
        </w:rPr>
        <w:t>一</w:t>
      </w:r>
      <w:proofErr w:type="gramEnd"/>
      <w:r w:rsidRPr="00796DC6">
        <w:rPr>
          <w:rFonts w:eastAsia="微軟正黑體" w:cstheme="minorHAnsi"/>
        </w:rPr>
        <w:t>者，不得為該公司發行有價證券之主辦承銷商</w:t>
      </w:r>
    </w:p>
    <w:p w:rsidR="00702DB3" w:rsidRPr="00796DC6" w:rsidRDefault="00702DB3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任何一方與其持股超過</w:t>
      </w:r>
      <w:r w:rsidRPr="00796DC6">
        <w:rPr>
          <w:rFonts w:eastAsia="微軟正黑體" w:cstheme="minorHAnsi"/>
        </w:rPr>
        <w:t>50%</w:t>
      </w:r>
      <w:r w:rsidRPr="00796DC6">
        <w:rPr>
          <w:rFonts w:eastAsia="微軟正黑體" w:cstheme="minorHAnsi"/>
        </w:rPr>
        <w:t>被投資公司，合計持有對方</w:t>
      </w:r>
      <w:r w:rsidR="004E47EE" w:rsidRPr="00796DC6">
        <w:rPr>
          <w:rFonts w:eastAsia="微軟正黑體" w:cstheme="minorHAnsi"/>
        </w:rPr>
        <w:t>股份</w:t>
      </w:r>
      <w:r w:rsidR="004E47EE" w:rsidRPr="00796DC6">
        <w:rPr>
          <w:rFonts w:eastAsia="微軟正黑體" w:cstheme="minorHAnsi"/>
        </w:rPr>
        <w:t>10%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任何一方與其持股超過</w:t>
      </w:r>
      <w:r w:rsidRPr="00796DC6">
        <w:rPr>
          <w:rFonts w:eastAsia="微軟正黑體" w:cstheme="minorHAnsi"/>
        </w:rPr>
        <w:t>50%</w:t>
      </w:r>
      <w:r w:rsidRPr="00796DC6">
        <w:rPr>
          <w:rFonts w:eastAsia="微軟正黑體" w:cstheme="minorHAnsi"/>
        </w:rPr>
        <w:t>被投資公司派任於對方之董事，超過對方董事席次數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任何一方董事長或總經理與對方之董事長或總經以為同一人，或有配偶、二等親關係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任何一方持股總額</w:t>
      </w:r>
      <w:r w:rsidRPr="00796DC6">
        <w:rPr>
          <w:rFonts w:eastAsia="微軟正黑體" w:cstheme="minorHAnsi"/>
        </w:rPr>
        <w:t>20%</w:t>
      </w:r>
      <w:r w:rsidRPr="00796DC6">
        <w:rPr>
          <w:rFonts w:eastAsia="微軟正黑體" w:cstheme="minorHAnsi"/>
        </w:rPr>
        <w:t>以上之股份為相同股東持有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任何一方董事或監察人與對方之董事或監察人半數以上相同，包含配偶、二等親關係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任何一方與其關係人總計持有他方已發行股份總額</w:t>
      </w:r>
      <w:r w:rsidRPr="00796DC6">
        <w:rPr>
          <w:rFonts w:eastAsia="微軟正黑體" w:cstheme="minorHAnsi"/>
        </w:rPr>
        <w:t>50%</w:t>
      </w:r>
      <w:r w:rsidRPr="00796DC6">
        <w:rPr>
          <w:rFonts w:eastAsia="微軟正黑體" w:cstheme="minorHAnsi"/>
        </w:rPr>
        <w:t>以上者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申請結合者或已經結合者</w:t>
      </w:r>
    </w:p>
    <w:p w:rsidR="004E47EE" w:rsidRPr="00796DC6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任何一方直接或間接控制他方之人事、財務、業務</w:t>
      </w:r>
    </w:p>
    <w:p w:rsidR="004E47EE" w:rsidRPr="00796DC6" w:rsidRDefault="004E47EE" w:rsidP="004E47E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自行買賣業務</w:t>
      </w:r>
    </w:p>
    <w:p w:rsidR="004E47EE" w:rsidRPr="00796DC6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證券商在集中交易市場經營自行買賣有價證券業務，至少負責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種上市股票未達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個成交單位之</w:t>
      </w:r>
      <w:proofErr w:type="gramStart"/>
      <w:r w:rsidRPr="00796DC6">
        <w:rPr>
          <w:rFonts w:eastAsia="微軟正黑體" w:cstheme="minorHAnsi"/>
        </w:rPr>
        <w:t>應買應賣</w:t>
      </w:r>
      <w:proofErr w:type="gramEnd"/>
    </w:p>
    <w:p w:rsidR="004E47EE" w:rsidRPr="00796DC6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證券商在營業處所經營自行買賣有價證券業務，至少負責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種有價證券</w:t>
      </w:r>
      <w:proofErr w:type="gramStart"/>
      <w:r w:rsidRPr="00796DC6">
        <w:rPr>
          <w:rFonts w:eastAsia="微軟正黑體" w:cstheme="minorHAnsi"/>
        </w:rPr>
        <w:t>支應買應賣</w:t>
      </w:r>
      <w:proofErr w:type="gramEnd"/>
    </w:p>
    <w:p w:rsidR="004E47EE" w:rsidRPr="00796DC6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自營買賣業務之記錄應保留</w:t>
      </w:r>
      <w:r w:rsidRPr="00796DC6">
        <w:rPr>
          <w:rFonts w:eastAsia="微軟正黑體" w:cstheme="minorHAnsi"/>
          <w:shd w:val="clear" w:color="auto" w:fill="FFFF00"/>
        </w:rPr>
        <w:t>至少</w:t>
      </w:r>
      <w:r w:rsidRPr="00796DC6">
        <w:rPr>
          <w:rFonts w:eastAsia="微軟正黑體" w:cstheme="minorHAnsi"/>
          <w:shd w:val="clear" w:color="auto" w:fill="FFFF00"/>
        </w:rPr>
        <w:t>5</w:t>
      </w:r>
      <w:r w:rsidRPr="00796DC6">
        <w:rPr>
          <w:rFonts w:eastAsia="微軟正黑體" w:cstheme="minorHAnsi"/>
          <w:shd w:val="clear" w:color="auto" w:fill="FFFF00"/>
        </w:rPr>
        <w:t>年</w:t>
      </w:r>
    </w:p>
    <w:p w:rsidR="004E47EE" w:rsidRPr="00796DC6" w:rsidRDefault="006D57A6" w:rsidP="006D57A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受託買賣業務</w:t>
      </w:r>
    </w:p>
    <w:p w:rsidR="006D57A6" w:rsidRPr="00796DC6" w:rsidRDefault="00FB7096" w:rsidP="00FB709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派專人做契約內容之說明及有價證券買賣之講解</w:t>
      </w:r>
    </w:p>
    <w:p w:rsidR="00FB7096" w:rsidRPr="00796DC6" w:rsidRDefault="00FB7096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需評估客戶之投資能力及具備合理之資訊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成交時應做成買賣報告書交付委託人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每月底編制對</w:t>
      </w:r>
      <w:proofErr w:type="gramStart"/>
      <w:r w:rsidRPr="00796DC6">
        <w:rPr>
          <w:rFonts w:eastAsia="微軟正黑體" w:cstheme="minorHAnsi"/>
        </w:rPr>
        <w:t>帳單</w:t>
      </w:r>
      <w:proofErr w:type="gramEnd"/>
      <w:r w:rsidRPr="00796DC6">
        <w:rPr>
          <w:rFonts w:eastAsia="微軟正黑體" w:cstheme="minorHAnsi"/>
        </w:rPr>
        <w:t>分送各委託人</w:t>
      </w:r>
    </w:p>
    <w:p w:rsidR="00FB7096" w:rsidRPr="00796DC6" w:rsidRDefault="00FB7096" w:rsidP="00FB709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客戶存放之有價證券，應於「每日」存放證券集中保管事業集中保管</w:t>
      </w:r>
    </w:p>
    <w:p w:rsidR="00FB7096" w:rsidRPr="00796DC6" w:rsidRDefault="00FB7096" w:rsidP="00FB709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但台北市、新北市以外之證券商得延至「次一營業日」送存</w:t>
      </w:r>
    </w:p>
    <w:p w:rsidR="00E47638" w:rsidRPr="00796DC6" w:rsidRDefault="00E47638" w:rsidP="00E4763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下列情況應拒絕接受開戶，以開戶者拒絕接受其買賣、委託等等：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未成年未經法定代理人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主管機關、台灣證券交易所及櫃檯買賣中心之職、雇員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lastRenderedPageBreak/>
        <w:t>受破產宣告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受監護或輔導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法人委託開戶未能提出法人授權開戶之證明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證券商未經主管機關許可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委託證券商之董事、監察人，代理在該證券商開戶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全權委託投資之同一委託人，開立超過一個以上全權委託投資帳戶</w:t>
      </w:r>
    </w:p>
    <w:p w:rsidR="00E47638" w:rsidRPr="00796DC6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境外外國機構投資人，開立超過一個以上投資交易帳戶</w:t>
      </w:r>
    </w:p>
    <w:p w:rsidR="00E47638" w:rsidRPr="00796DC6" w:rsidRDefault="00874604" w:rsidP="00E4763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客戶有下列情形，拒絕接受開戶，以開戶者拒絕接受其買賣、委託等等：</w:t>
      </w:r>
    </w:p>
    <w:p w:rsidR="00874604" w:rsidRPr="00796DC6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未滿</w:t>
      </w:r>
      <w:r w:rsidRPr="00796DC6">
        <w:rPr>
          <w:rFonts w:eastAsia="微軟正黑體" w:cstheme="minorHAnsi"/>
          <w:shd w:val="clear" w:color="auto" w:fill="FFFF00"/>
        </w:rPr>
        <w:t>5</w:t>
      </w:r>
      <w:r w:rsidRPr="00796DC6">
        <w:rPr>
          <w:rFonts w:eastAsia="微軟正黑體" w:cstheme="minorHAnsi"/>
          <w:shd w:val="clear" w:color="auto" w:fill="FFFF00"/>
        </w:rPr>
        <w:t>年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 w:rsidRPr="00796DC6">
        <w:rPr>
          <w:rFonts w:eastAsia="微軟正黑體" w:cstheme="minorHAnsi"/>
        </w:rPr>
        <w:t>不</w:t>
      </w:r>
      <w:proofErr w:type="gramEnd"/>
      <w:r w:rsidRPr="00796DC6">
        <w:rPr>
          <w:rFonts w:eastAsia="微軟正黑體" w:cstheme="minorHAnsi"/>
        </w:rPr>
        <w:t>如期旅行給付結算義務違反契約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違反證券交易法或偽造案件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違背期貨交易契約</w:t>
      </w:r>
    </w:p>
    <w:p w:rsidR="00874604" w:rsidRPr="00796DC6" w:rsidRDefault="00874604" w:rsidP="0087460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證券商負責人及業務人</w:t>
      </w:r>
    </w:p>
    <w:p w:rsidR="00874604" w:rsidRPr="00796DC6" w:rsidRDefault="00874604" w:rsidP="0087460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證券商之董事、監察人、經理人，不得兼任其他證券商之任何職務</w:t>
      </w:r>
    </w:p>
    <w:p w:rsidR="00874604" w:rsidRPr="00796DC6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因投資關係，不在此限</w:t>
      </w:r>
    </w:p>
    <w:p w:rsidR="00874604" w:rsidRPr="00796DC6" w:rsidRDefault="00874604" w:rsidP="0087460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業務人員需年滿</w:t>
      </w:r>
      <w:r w:rsidRPr="00796DC6">
        <w:rPr>
          <w:rFonts w:eastAsia="微軟正黑體" w:cstheme="minorHAnsi"/>
          <w:shd w:val="clear" w:color="auto" w:fill="FFFF00"/>
        </w:rPr>
        <w:t>20</w:t>
      </w:r>
      <w:r w:rsidRPr="00796DC6">
        <w:rPr>
          <w:rFonts w:eastAsia="微軟正黑體" w:cstheme="minorHAnsi"/>
          <w:shd w:val="clear" w:color="auto" w:fill="FFFF00"/>
        </w:rPr>
        <w:t>歲</w:t>
      </w:r>
      <w:r w:rsidRPr="00796DC6">
        <w:rPr>
          <w:rFonts w:eastAsia="微軟正黑體" w:cstheme="minorHAnsi"/>
        </w:rPr>
        <w:t>，且無下列情事之</w:t>
      </w:r>
      <w:proofErr w:type="gramStart"/>
      <w:r w:rsidRPr="00796DC6">
        <w:rPr>
          <w:rFonts w:eastAsia="微軟正黑體" w:cstheme="minorHAnsi"/>
        </w:rPr>
        <w:t>一</w:t>
      </w:r>
      <w:proofErr w:type="gramEnd"/>
      <w:r w:rsidRPr="00796DC6">
        <w:rPr>
          <w:rFonts w:eastAsia="微軟正黑體" w:cstheme="minorHAnsi"/>
        </w:rPr>
        <w:t>：</w:t>
      </w:r>
    </w:p>
    <w:p w:rsidR="00874604" w:rsidRPr="00796DC6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受破產宣告</w:t>
      </w:r>
    </w:p>
    <w:p w:rsidR="00874604" w:rsidRPr="00796DC6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兼任其他證券商之職務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因投資關係，不在此限</w:t>
      </w:r>
    </w:p>
    <w:p w:rsidR="00874604" w:rsidRPr="00796DC6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未滿</w:t>
      </w:r>
      <w:r w:rsidRPr="00796DC6">
        <w:rPr>
          <w:rFonts w:eastAsia="微軟正黑體" w:cstheme="minorHAnsi"/>
          <w:shd w:val="clear" w:color="auto" w:fill="FFFF00"/>
        </w:rPr>
        <w:t>3</w:t>
      </w:r>
      <w:r w:rsidRPr="00796DC6">
        <w:rPr>
          <w:rFonts w:eastAsia="微軟正黑體" w:cstheme="minorHAnsi"/>
          <w:shd w:val="clear" w:color="auto" w:fill="FFFF00"/>
        </w:rPr>
        <w:t>年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曾詐欺、背信罪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曾任法人宣告破產之董事、監察人、經理人</w:t>
      </w:r>
    </w:p>
    <w:p w:rsidR="00874604" w:rsidRPr="00796DC6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受證券交易法解除職位</w:t>
      </w:r>
    </w:p>
    <w:p w:rsidR="00EC2AB5" w:rsidRPr="00796DC6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最近三年內在金融機構有拒絕往來戶喪失債信紀錄</w:t>
      </w:r>
    </w:p>
    <w:p w:rsidR="00874604" w:rsidRPr="00796DC6" w:rsidRDefault="00EC2AB5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違反主管機關依證券交易法所發布之命令者</w:t>
      </w:r>
    </w:p>
    <w:p w:rsidR="00EC2AB5" w:rsidRPr="00796DC6" w:rsidRDefault="00EC2AB5" w:rsidP="00EC2AB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證券商業務人員</w:t>
      </w:r>
    </w:p>
    <w:p w:rsidR="00EC2AB5" w:rsidRPr="00796DC6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有價證券之</w:t>
      </w:r>
    </w:p>
    <w:p w:rsidR="00EC2AB5" w:rsidRPr="00796DC6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投資分析、內部稽核或主辦會計</w:t>
      </w:r>
    </w:p>
    <w:p w:rsidR="00EC2AB5" w:rsidRPr="00796DC6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承銷、買賣之接洽或執行</w:t>
      </w:r>
    </w:p>
    <w:p w:rsidR="00EC2AB5" w:rsidRPr="00796DC6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自行買買、結算交割或代辦股</w:t>
      </w:r>
      <w:proofErr w:type="gramStart"/>
      <w:r w:rsidRPr="00796DC6">
        <w:rPr>
          <w:rFonts w:eastAsia="微軟正黑體" w:cstheme="minorHAnsi"/>
        </w:rPr>
        <w:t>務</w:t>
      </w:r>
      <w:proofErr w:type="gramEnd"/>
    </w:p>
    <w:p w:rsidR="00EC2AB5" w:rsidRPr="00796DC6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買賣之</w:t>
      </w:r>
    </w:p>
    <w:p w:rsidR="00EC2AB5" w:rsidRPr="00796DC6" w:rsidRDefault="00EC2AB5" w:rsidP="00EC2AB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開戶、徵信、招攬、推</w:t>
      </w:r>
      <w:proofErr w:type="gramStart"/>
      <w:r w:rsidRPr="00796DC6">
        <w:rPr>
          <w:rFonts w:eastAsia="微軟正黑體" w:cstheme="minorHAnsi"/>
        </w:rPr>
        <w:t>介</w:t>
      </w:r>
      <w:proofErr w:type="gramEnd"/>
      <w:r w:rsidRPr="00796DC6">
        <w:rPr>
          <w:rFonts w:eastAsia="微軟正黑體" w:cstheme="minorHAnsi"/>
        </w:rPr>
        <w:t>、受託、申報、結算、交割或為款</w:t>
      </w:r>
      <w:proofErr w:type="gramStart"/>
      <w:r w:rsidRPr="00796DC6">
        <w:rPr>
          <w:rFonts w:eastAsia="微軟正黑體" w:cstheme="minorHAnsi"/>
        </w:rPr>
        <w:t>券</w:t>
      </w:r>
      <w:proofErr w:type="gramEnd"/>
      <w:r w:rsidRPr="00796DC6">
        <w:rPr>
          <w:rFonts w:eastAsia="微軟正黑體" w:cstheme="minorHAnsi"/>
        </w:rPr>
        <w:t>收付、保管</w:t>
      </w:r>
    </w:p>
    <w:p w:rsidR="00EC2AB5" w:rsidRPr="00796DC6" w:rsidRDefault="00EC2AB5" w:rsidP="00EC2AB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融資融券</w:t>
      </w:r>
    </w:p>
    <w:p w:rsidR="00EC2AB5" w:rsidRPr="00796DC6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衍生金融商品之風險管理或操作</w:t>
      </w:r>
    </w:p>
    <w:p w:rsidR="00EC2AB5" w:rsidRPr="00796DC6" w:rsidRDefault="00EC2AB5" w:rsidP="00EC2AB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lastRenderedPageBreak/>
        <w:t>證券商業務人員分為兩種</w:t>
      </w:r>
    </w:p>
    <w:tbl>
      <w:tblPr>
        <w:tblStyle w:val="-6"/>
        <w:tblW w:w="0" w:type="auto"/>
        <w:tblInd w:w="1548" w:type="dxa"/>
        <w:tblLook w:val="04A0" w:firstRow="1" w:lastRow="0" w:firstColumn="1" w:lastColumn="0" w:noHBand="0" w:noVBand="1"/>
      </w:tblPr>
      <w:tblGrid>
        <w:gridCol w:w="1962"/>
        <w:gridCol w:w="3119"/>
        <w:gridCol w:w="2690"/>
      </w:tblGrid>
      <w:tr w:rsidR="00EC2AB5" w:rsidRPr="00796DC6" w:rsidTr="0065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rPr>
                <w:rFonts w:asciiTheme="minorHAnsi" w:eastAsia="微軟正黑體" w:hAnsiTheme="minorHAnsi" w:cstheme="minorHAnsi"/>
              </w:rPr>
            </w:pPr>
          </w:p>
        </w:tc>
        <w:tc>
          <w:tcPr>
            <w:tcW w:w="3119" w:type="dxa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相同業務</w:t>
            </w:r>
          </w:p>
        </w:tc>
        <w:tc>
          <w:tcPr>
            <w:tcW w:w="2690" w:type="dxa"/>
          </w:tcPr>
          <w:p w:rsidR="00EC2AB5" w:rsidRPr="00796DC6" w:rsidRDefault="00652286" w:rsidP="00EC2AB5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不同業務</w:t>
            </w:r>
          </w:p>
        </w:tc>
      </w:tr>
      <w:tr w:rsidR="00EC2AB5" w:rsidRPr="00796DC6" w:rsidTr="0065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jc w:val="both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高級業務員</w:t>
            </w:r>
          </w:p>
        </w:tc>
        <w:tc>
          <w:tcPr>
            <w:tcW w:w="3119" w:type="dxa"/>
            <w:vMerge w:val="restart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證券承銷、自行買賣、</w:t>
            </w:r>
          </w:p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受託買賣、內部稽核</w:t>
            </w:r>
          </w:p>
        </w:tc>
        <w:tc>
          <w:tcPr>
            <w:tcW w:w="2690" w:type="dxa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結算、交割、投資分析</w:t>
            </w:r>
          </w:p>
        </w:tc>
      </w:tr>
      <w:tr w:rsidR="00EC2AB5" w:rsidRPr="00796DC6" w:rsidTr="006522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jc w:val="both"/>
              <w:rPr>
                <w:rFonts w:asciiTheme="minorHAnsi" w:eastAsia="微軟正黑體" w:hAnsiTheme="minorHAnsi" w:cstheme="minorHAnsi"/>
              </w:rPr>
            </w:pPr>
            <w:r w:rsidRPr="00796DC6">
              <w:rPr>
                <w:rFonts w:asciiTheme="minorHAnsi" w:eastAsia="微軟正黑體" w:hAnsiTheme="minorHAnsi" w:cstheme="minorHAnsi"/>
              </w:rPr>
              <w:t>業務員</w:t>
            </w:r>
          </w:p>
        </w:tc>
        <w:tc>
          <w:tcPr>
            <w:tcW w:w="3119" w:type="dxa"/>
            <w:vMerge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690" w:type="dxa"/>
          </w:tcPr>
          <w:p w:rsidR="00EC2AB5" w:rsidRPr="00796DC6" w:rsidRDefault="00EC2AB5" w:rsidP="00EC2AB5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96DC6">
              <w:rPr>
                <w:rFonts w:eastAsia="微軟正黑體" w:cstheme="minorHAnsi"/>
              </w:rPr>
              <w:t>主辦會計</w:t>
            </w:r>
          </w:p>
        </w:tc>
      </w:tr>
    </w:tbl>
    <w:p w:rsidR="00EC2AB5" w:rsidRPr="00796DC6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證券商業務人員應為專任</w:t>
      </w:r>
    </w:p>
    <w:p w:rsidR="00DE389D" w:rsidRPr="00796DC6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證券商之下列業務人員不得辦理業務之外或由其他業務人員兼辦</w:t>
      </w:r>
    </w:p>
    <w:p w:rsidR="00DE389D" w:rsidRPr="00796DC6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受託買賣有價證券業務</w:t>
      </w:r>
    </w:p>
    <w:p w:rsidR="00DE389D" w:rsidRPr="00796DC6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有價證券自行買賣業務</w:t>
      </w:r>
    </w:p>
    <w:p w:rsidR="00DE389D" w:rsidRPr="00796DC6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內部稽核人員</w:t>
      </w:r>
    </w:p>
    <w:p w:rsidR="00DE389D" w:rsidRPr="00796DC6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證券商之業務員不得執行或兼為高級業務員之業務</w:t>
      </w:r>
    </w:p>
    <w:p w:rsidR="00DE389D" w:rsidRPr="00796DC6" w:rsidRDefault="00DE389D" w:rsidP="00DE389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禁止事項</w:t>
      </w:r>
    </w:p>
    <w:p w:rsidR="00DE389D" w:rsidRPr="00796DC6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操控行為之禁止</w:t>
      </w:r>
    </w:p>
    <w:p w:rsidR="006550DD" w:rsidRPr="00796DC6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於集中交易市場或櫃檯買賣市場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經成交而不履行交割，足以影響市場秩序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意圖抬高或壓低某種有價證券之交易價格</w:t>
      </w:r>
    </w:p>
    <w:p w:rsidR="006550DD" w:rsidRPr="00796DC6" w:rsidRDefault="006550DD" w:rsidP="006550DD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約定人同時買入或賣出</w:t>
      </w:r>
    </w:p>
    <w:p w:rsidR="006550DD" w:rsidRPr="00796DC6" w:rsidRDefault="006550DD" w:rsidP="006550DD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連續</w:t>
      </w:r>
      <w:r w:rsidR="003612D5">
        <w:rPr>
          <w:rFonts w:eastAsia="微軟正黑體" w:cstheme="minorHAnsi" w:hint="eastAsia"/>
        </w:rPr>
        <w:t>以</w:t>
      </w:r>
      <w:r w:rsidRPr="00796DC6">
        <w:rPr>
          <w:rFonts w:eastAsia="微軟正黑體" w:cstheme="minorHAnsi"/>
        </w:rPr>
        <w:t>高價買入或以低價賣出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意圖造成交易活絡之表象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散布流言或不實資料者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直接或間接操控交易價格</w:t>
      </w:r>
    </w:p>
    <w:p w:rsidR="006550DD" w:rsidRPr="00796DC6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賠償責任</w:t>
      </w:r>
    </w:p>
    <w:p w:rsidR="006550DD" w:rsidRPr="00796DC6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刑事責任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3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10</w:t>
      </w:r>
      <w:r w:rsidRPr="00796DC6">
        <w:rPr>
          <w:rFonts w:eastAsia="微軟正黑體" w:cstheme="minorHAnsi"/>
        </w:rPr>
        <w:t>年以下</w:t>
      </w:r>
      <w:r w:rsidR="00E62AF1" w:rsidRPr="00796DC6">
        <w:rPr>
          <w:rFonts w:eastAsia="微軟正黑體" w:cstheme="minorHAnsi"/>
        </w:rPr>
        <w:t>有期徒刑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1000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2</w:t>
      </w:r>
      <w:r w:rsidRPr="00796DC6">
        <w:rPr>
          <w:rFonts w:eastAsia="微軟正黑體" w:cstheme="minorHAnsi"/>
        </w:rPr>
        <w:t>億元以下</w:t>
      </w:r>
      <w:r w:rsidR="00E62AF1" w:rsidRPr="00796DC6">
        <w:rPr>
          <w:rFonts w:eastAsia="微軟正黑體" w:cstheme="minorHAnsi"/>
        </w:rPr>
        <w:t>罰金</w:t>
      </w:r>
    </w:p>
    <w:p w:rsidR="006550DD" w:rsidRPr="00796DC6" w:rsidRDefault="006550DD" w:rsidP="006550D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內線交易之禁止</w:t>
      </w:r>
    </w:p>
    <w:p w:rsidR="006550DD" w:rsidRPr="00796DC6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消息未公開前或公開後</w:t>
      </w:r>
      <w:r w:rsidRPr="00796DC6">
        <w:rPr>
          <w:rFonts w:eastAsia="微軟正黑體" w:cstheme="minorHAnsi"/>
          <w:shd w:val="clear" w:color="auto" w:fill="FFFF00"/>
        </w:rPr>
        <w:t>18</w:t>
      </w:r>
      <w:r w:rsidRPr="00796DC6">
        <w:rPr>
          <w:rFonts w:eastAsia="微軟正黑體" w:cstheme="minorHAnsi"/>
          <w:shd w:val="clear" w:color="auto" w:fill="FFFF00"/>
        </w:rPr>
        <w:t>小時</w:t>
      </w:r>
      <w:r w:rsidRPr="00796DC6">
        <w:rPr>
          <w:rFonts w:eastAsia="微軟正黑體" w:cstheme="minorHAnsi"/>
        </w:rPr>
        <w:t>，下列各款人，不得自行或以他人名義買入或賣出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該公司之董事、監察人、經理、公司法規定指定代表行使職務之自然人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持股超過</w:t>
      </w:r>
      <w:r w:rsidRPr="00796DC6">
        <w:rPr>
          <w:rFonts w:eastAsia="微軟正黑體" w:cstheme="minorHAnsi"/>
          <w:shd w:val="clear" w:color="auto" w:fill="FFFF00"/>
        </w:rPr>
        <w:t>10%</w:t>
      </w:r>
      <w:r w:rsidRPr="00796DC6">
        <w:rPr>
          <w:rFonts w:eastAsia="微軟正黑體" w:cstheme="minorHAnsi"/>
        </w:rPr>
        <w:t>之股東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基於職業或控制關係獲悉消息之人</w:t>
      </w:r>
    </w:p>
    <w:p w:rsidR="00422767" w:rsidRPr="00796DC6" w:rsidRDefault="00422767" w:rsidP="00422767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包含律師、會計師</w:t>
      </w:r>
    </w:p>
    <w:p w:rsidR="006550DD" w:rsidRPr="00796DC6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喪失</w:t>
      </w:r>
      <w:proofErr w:type="spellStart"/>
      <w:r w:rsidRPr="00796DC6">
        <w:rPr>
          <w:rFonts w:eastAsia="微軟正黑體" w:cstheme="minorHAnsi"/>
        </w:rPr>
        <w:t>a,b,c</w:t>
      </w:r>
      <w:proofErr w:type="spellEnd"/>
      <w:r w:rsidRPr="00796DC6">
        <w:rPr>
          <w:rFonts w:eastAsia="微軟正黑體" w:cstheme="minorHAnsi"/>
        </w:rPr>
        <w:t>資格未滿</w:t>
      </w:r>
      <w:r w:rsidRPr="00796DC6">
        <w:rPr>
          <w:rFonts w:eastAsia="微軟正黑體" w:cstheme="minorHAnsi"/>
          <w:shd w:val="clear" w:color="auto" w:fill="FFFF00"/>
        </w:rPr>
        <w:t>6</w:t>
      </w:r>
      <w:r w:rsidRPr="00796DC6">
        <w:rPr>
          <w:rFonts w:eastAsia="微軟正黑體" w:cstheme="minorHAnsi"/>
          <w:shd w:val="clear" w:color="auto" w:fill="FFFF00"/>
        </w:rPr>
        <w:t>個月</w:t>
      </w:r>
    </w:p>
    <w:p w:rsidR="0047590A" w:rsidRPr="00796DC6" w:rsidRDefault="0047590A" w:rsidP="0047590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賠償責任</w:t>
      </w:r>
    </w:p>
    <w:p w:rsidR="0047590A" w:rsidRPr="00796DC6" w:rsidRDefault="0047590A" w:rsidP="0047590A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消息公告後「</w:t>
      </w:r>
      <w:r w:rsidRPr="003612D5">
        <w:rPr>
          <w:rFonts w:eastAsia="微軟正黑體" w:cstheme="minorHAnsi"/>
          <w:shd w:val="clear" w:color="auto" w:fill="FFFF00"/>
        </w:rPr>
        <w:t>10</w:t>
      </w:r>
      <w:r w:rsidRPr="003612D5">
        <w:rPr>
          <w:rFonts w:eastAsia="微軟正黑體" w:cstheme="minorHAnsi"/>
          <w:shd w:val="clear" w:color="auto" w:fill="FFFF00"/>
        </w:rPr>
        <w:t>個營業日</w:t>
      </w:r>
      <w:r w:rsidRPr="00796DC6">
        <w:rPr>
          <w:rFonts w:eastAsia="微軟正黑體" w:cstheme="minorHAnsi"/>
        </w:rPr>
        <w:t>」收盤平均價格之差額限度內，對善意相反買賣之人負損害賠償責任</w:t>
      </w:r>
    </w:p>
    <w:p w:rsidR="0047590A" w:rsidRPr="00796DC6" w:rsidRDefault="0047590A" w:rsidP="0047590A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lastRenderedPageBreak/>
        <w:t>情節重大者，責任限額提高至</w:t>
      </w:r>
      <w:r w:rsidRPr="00796DC6">
        <w:rPr>
          <w:rFonts w:eastAsia="微軟正黑體" w:cstheme="minorHAnsi"/>
          <w:shd w:val="clear" w:color="auto" w:fill="FFFF00"/>
        </w:rPr>
        <w:t>3</w:t>
      </w:r>
      <w:r w:rsidRPr="00796DC6">
        <w:rPr>
          <w:rFonts w:eastAsia="微軟正黑體" w:cstheme="minorHAnsi"/>
          <w:shd w:val="clear" w:color="auto" w:fill="FFFF00"/>
        </w:rPr>
        <w:t>倍</w:t>
      </w:r>
    </w:p>
    <w:p w:rsidR="0047590A" w:rsidRPr="00796DC6" w:rsidRDefault="00E62AF1" w:rsidP="00E62A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賠償義務人</w:t>
      </w:r>
    </w:p>
    <w:p w:rsidR="00E62AF1" w:rsidRPr="00796DC6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從事內線交易的內部人</w:t>
      </w:r>
    </w:p>
    <w:p w:rsidR="00E62AF1" w:rsidRPr="00796DC6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提供消息之應負連帶責任</w:t>
      </w:r>
    </w:p>
    <w:p w:rsidR="00E62AF1" w:rsidRPr="00796DC6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但有正當理由相信消息已公開者，不負賠償責任</w:t>
      </w:r>
    </w:p>
    <w:p w:rsidR="00E62AF1" w:rsidRPr="00796DC6" w:rsidRDefault="00E62AF1" w:rsidP="00E62A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刑事責任</w:t>
      </w:r>
    </w:p>
    <w:p w:rsidR="00E62AF1" w:rsidRPr="00796DC6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3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10</w:t>
      </w:r>
      <w:r w:rsidRPr="00796DC6">
        <w:rPr>
          <w:rFonts w:eastAsia="微軟正黑體" w:cstheme="minorHAnsi"/>
        </w:rPr>
        <w:t>年以下有期徒刑</w:t>
      </w:r>
    </w:p>
    <w:p w:rsidR="00E62AF1" w:rsidRPr="00796DC6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1000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2</w:t>
      </w:r>
      <w:r w:rsidRPr="00796DC6">
        <w:rPr>
          <w:rFonts w:eastAsia="微軟正黑體" w:cstheme="minorHAnsi"/>
        </w:rPr>
        <w:t>億元以下罰金</w:t>
      </w:r>
    </w:p>
    <w:p w:rsidR="00954CA8" w:rsidRPr="00796DC6" w:rsidRDefault="00954CA8" w:rsidP="00954CA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詐欺行為之禁止</w:t>
      </w:r>
    </w:p>
    <w:p w:rsidR="00954CA8" w:rsidRPr="00796DC6" w:rsidRDefault="00954CA8" w:rsidP="00954CA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民事責任</w:t>
      </w:r>
    </w:p>
    <w:p w:rsidR="00954CA8" w:rsidRPr="00796DC6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善意取得人或出賣人因而所受之損害</w:t>
      </w:r>
    </w:p>
    <w:p w:rsidR="00954CA8" w:rsidRPr="00796DC6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取得包含買入、繼承、贈與</w:t>
      </w:r>
    </w:p>
    <w:p w:rsidR="00954CA8" w:rsidRPr="00796DC6" w:rsidRDefault="00954CA8" w:rsidP="00954CA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刑事責任</w:t>
      </w:r>
    </w:p>
    <w:p w:rsidR="00954CA8" w:rsidRPr="00796DC6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3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10</w:t>
      </w:r>
      <w:r w:rsidRPr="00796DC6">
        <w:rPr>
          <w:rFonts w:eastAsia="微軟正黑體" w:cstheme="minorHAnsi"/>
        </w:rPr>
        <w:t>年以下有期徒刑</w:t>
      </w:r>
    </w:p>
    <w:p w:rsidR="00954CA8" w:rsidRPr="00796DC6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1000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2</w:t>
      </w:r>
      <w:r w:rsidRPr="00796DC6">
        <w:rPr>
          <w:rFonts w:eastAsia="微軟正黑體" w:cstheme="minorHAnsi"/>
        </w:rPr>
        <w:t>億元以下罰金</w:t>
      </w:r>
    </w:p>
    <w:p w:rsidR="00954CA8" w:rsidRPr="00796DC6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犯罪所得超過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億元以上</w:t>
      </w:r>
    </w:p>
    <w:p w:rsidR="00954CA8" w:rsidRPr="00796DC6" w:rsidRDefault="00954CA8" w:rsidP="00954CA8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7</w:t>
      </w:r>
      <w:r w:rsidR="007A6867">
        <w:rPr>
          <w:rFonts w:eastAsia="微軟正黑體" w:cstheme="minorHAnsi"/>
        </w:rPr>
        <w:t>年以</w:t>
      </w:r>
      <w:r w:rsidR="007A6867">
        <w:rPr>
          <w:rFonts w:eastAsia="微軟正黑體" w:cstheme="minorHAnsi" w:hint="eastAsia"/>
        </w:rPr>
        <w:t>上</w:t>
      </w:r>
      <w:bookmarkStart w:id="0" w:name="_GoBack"/>
      <w:bookmarkEnd w:id="0"/>
      <w:r w:rsidRPr="00796DC6">
        <w:rPr>
          <w:rFonts w:eastAsia="微軟正黑體" w:cstheme="minorHAnsi"/>
        </w:rPr>
        <w:t>有期徒刑</w:t>
      </w:r>
    </w:p>
    <w:p w:rsidR="00954CA8" w:rsidRPr="00796DC6" w:rsidRDefault="00954CA8" w:rsidP="00954CA8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2500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5</w:t>
      </w:r>
      <w:r w:rsidRPr="00796DC6">
        <w:rPr>
          <w:rFonts w:eastAsia="微軟正黑體" w:cstheme="minorHAnsi"/>
        </w:rPr>
        <w:t>億元以下罰金</w:t>
      </w:r>
    </w:p>
    <w:p w:rsidR="00FE5432" w:rsidRPr="00796DC6" w:rsidRDefault="00FE5432" w:rsidP="00FE5432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罰則</w:t>
      </w:r>
    </w:p>
    <w:p w:rsidR="00C70A9E" w:rsidRPr="00796DC6" w:rsidRDefault="00C70A9E" w:rsidP="00C70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下列情況，</w:t>
      </w:r>
      <w:r w:rsidRPr="00796DC6">
        <w:rPr>
          <w:rFonts w:eastAsia="微軟正黑體" w:cstheme="minorHAnsi"/>
        </w:rPr>
        <w:t>3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10</w:t>
      </w:r>
      <w:r w:rsidRPr="00796DC6">
        <w:rPr>
          <w:rFonts w:eastAsia="微軟正黑體" w:cstheme="minorHAnsi"/>
        </w:rPr>
        <w:t>年以下有期徒刑，</w:t>
      </w:r>
      <w:r w:rsidRPr="00796DC6">
        <w:rPr>
          <w:rFonts w:eastAsia="微軟正黑體" w:cstheme="minorHAnsi"/>
        </w:rPr>
        <w:t>1000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2</w:t>
      </w:r>
      <w:r w:rsidRPr="00796DC6">
        <w:rPr>
          <w:rFonts w:eastAsia="微軟正黑體" w:cstheme="minorHAnsi"/>
        </w:rPr>
        <w:t>億元以下罰金</w:t>
      </w:r>
    </w:p>
    <w:p w:rsidR="001B4BEC" w:rsidRPr="00796DC6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有價證券之募集、發行、私募、買賣，有虛偽、詐欺</w:t>
      </w:r>
    </w:p>
    <w:p w:rsidR="001B4BEC" w:rsidRPr="00796DC6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發行人申報或公告之財務報告，有虛偽或隱匿</w:t>
      </w:r>
    </w:p>
    <w:p w:rsidR="001B4BEC" w:rsidRPr="00796DC6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操控股價</w:t>
      </w:r>
    </w:p>
    <w:p w:rsidR="001B4BEC" w:rsidRPr="00796DC6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發行公司之董事、監察人、經理及持股超過</w:t>
      </w:r>
      <w:r w:rsidRPr="00796DC6">
        <w:rPr>
          <w:rFonts w:eastAsia="微軟正黑體" w:cstheme="minorHAnsi"/>
        </w:rPr>
        <w:t>10%</w:t>
      </w:r>
      <w:r w:rsidRPr="00796DC6">
        <w:rPr>
          <w:rFonts w:eastAsia="微軟正黑體" w:cstheme="minorHAnsi"/>
        </w:rPr>
        <w:t>之大股東</w:t>
      </w:r>
      <w:r w:rsidR="001B4BEC" w:rsidRPr="00796DC6">
        <w:rPr>
          <w:rFonts w:eastAsia="微軟正黑體" w:cstheme="minorHAnsi"/>
        </w:rPr>
        <w:t>從事內線交易</w:t>
      </w:r>
    </w:p>
    <w:p w:rsidR="00115C5B" w:rsidRPr="00796DC6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使公司為不利之交易，至公司遭受重大損害者</w:t>
      </w:r>
    </w:p>
    <w:p w:rsidR="00115C5B" w:rsidRPr="00796DC6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意圖為自己或第三人之利益，違背其職務之行為或侵占公司資產</w:t>
      </w:r>
    </w:p>
    <w:p w:rsidR="00A8286E" w:rsidRPr="00796DC6" w:rsidRDefault="00115C5B" w:rsidP="00115C5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前述之罪，犯罪所得金額達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億元以上者</w:t>
      </w:r>
    </w:p>
    <w:p w:rsidR="00115C5B" w:rsidRPr="00796DC6" w:rsidRDefault="00115C5B" w:rsidP="00A8286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7</w:t>
      </w:r>
      <w:r w:rsidRPr="00796DC6">
        <w:rPr>
          <w:rFonts w:eastAsia="微軟正黑體" w:cstheme="minorHAnsi"/>
        </w:rPr>
        <w:t>年以上有期徒刑，</w:t>
      </w:r>
      <w:r w:rsidRPr="00796DC6">
        <w:rPr>
          <w:rFonts w:eastAsia="微軟正黑體" w:cstheme="minorHAnsi"/>
        </w:rPr>
        <w:t>2500</w:t>
      </w:r>
      <w:r w:rsidRPr="00796DC6">
        <w:rPr>
          <w:rFonts w:eastAsia="微軟正黑體" w:cstheme="minorHAnsi"/>
        </w:rPr>
        <w:t>萬元以上，</w:t>
      </w:r>
      <w:r w:rsidRPr="00796DC6">
        <w:rPr>
          <w:rFonts w:eastAsia="微軟正黑體" w:cstheme="minorHAnsi"/>
        </w:rPr>
        <w:t>5</w:t>
      </w:r>
      <w:r w:rsidRPr="00796DC6">
        <w:rPr>
          <w:rFonts w:eastAsia="微軟正黑體" w:cstheme="minorHAnsi"/>
        </w:rPr>
        <w:t>億元以下罰金</w:t>
      </w:r>
    </w:p>
    <w:p w:rsidR="00A8286E" w:rsidRPr="00796DC6" w:rsidRDefault="00A8286E" w:rsidP="00A8286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下列情況，</w:t>
      </w:r>
      <w:r w:rsidRPr="00796DC6">
        <w:rPr>
          <w:rFonts w:eastAsia="微軟正黑體" w:cstheme="minorHAnsi"/>
        </w:rPr>
        <w:t>1</w:t>
      </w:r>
      <w:r w:rsidRPr="00796DC6">
        <w:rPr>
          <w:rFonts w:eastAsia="微軟正黑體" w:cstheme="minorHAnsi"/>
        </w:rPr>
        <w:t>年以上，</w:t>
      </w:r>
      <w:r w:rsidRPr="00796DC6">
        <w:rPr>
          <w:rFonts w:eastAsia="微軟正黑體" w:cstheme="minorHAnsi"/>
        </w:rPr>
        <w:t>7</w:t>
      </w:r>
      <w:r w:rsidRPr="00796DC6">
        <w:rPr>
          <w:rFonts w:eastAsia="微軟正黑體" w:cstheme="minorHAnsi"/>
        </w:rPr>
        <w:t>年以下有期徒刑，</w:t>
      </w:r>
      <w:r w:rsidR="003B43C3" w:rsidRPr="00796DC6">
        <w:rPr>
          <w:rFonts w:eastAsia="微軟正黑體" w:cstheme="minorHAnsi"/>
        </w:rPr>
        <w:t>20</w:t>
      </w:r>
      <w:r w:rsidRPr="00796DC6">
        <w:rPr>
          <w:rFonts w:eastAsia="微軟正黑體" w:cstheme="minorHAnsi"/>
        </w:rPr>
        <w:t>00</w:t>
      </w:r>
      <w:r w:rsidRPr="00796DC6">
        <w:rPr>
          <w:rFonts w:eastAsia="微軟正黑體" w:cstheme="minorHAnsi"/>
        </w:rPr>
        <w:t>萬元以下罰金</w:t>
      </w:r>
    </w:p>
    <w:p w:rsidR="003B43C3" w:rsidRPr="00796DC6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公司申請募集發行有價證券、有價證券上市等等，有</w:t>
      </w:r>
      <w:proofErr w:type="gramStart"/>
      <w:r w:rsidRPr="00796DC6">
        <w:rPr>
          <w:rFonts w:eastAsia="微軟正黑體" w:cstheme="minorHAnsi"/>
        </w:rPr>
        <w:t>虛偽紀載者</w:t>
      </w:r>
      <w:proofErr w:type="gramEnd"/>
    </w:p>
    <w:p w:rsidR="003B43C3" w:rsidRPr="00796DC6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對有價證券之行情或認募核准之重要事項有虛偽之記載而散播者</w:t>
      </w:r>
    </w:p>
    <w:p w:rsidR="003B43C3" w:rsidRPr="00796DC6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公開說明書上虛偽記載或隱匿者</w:t>
      </w:r>
    </w:p>
    <w:p w:rsidR="003B43C3" w:rsidRPr="00796DC6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主管機關命令提出或主管機關基於法律所發布命令規定之資料、文件有虛偽記載者</w:t>
      </w:r>
    </w:p>
    <w:p w:rsidR="003B43C3" w:rsidRPr="00796DC6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依據不實之資料、作為投資上之判斷</w:t>
      </w:r>
      <w:r w:rsidR="0080392D" w:rsidRPr="00796DC6">
        <w:rPr>
          <w:rFonts w:eastAsia="微軟正黑體" w:cstheme="minorHAnsi"/>
        </w:rPr>
        <w:t>，以報刊、文書、廣播等等方式表示者</w:t>
      </w:r>
    </w:p>
    <w:p w:rsidR="003B43C3" w:rsidRPr="00796DC6" w:rsidRDefault="0080392D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lastRenderedPageBreak/>
        <w:t>發行人之董事、經理人、受</w:t>
      </w:r>
      <w:proofErr w:type="gramStart"/>
      <w:r w:rsidRPr="00796DC6">
        <w:rPr>
          <w:rFonts w:eastAsia="微軟正黑體" w:cstheme="minorHAnsi"/>
        </w:rPr>
        <w:t>僱</w:t>
      </w:r>
      <w:proofErr w:type="gramEnd"/>
      <w:r w:rsidRPr="00796DC6">
        <w:rPr>
          <w:rFonts w:eastAsia="微軟正黑體" w:cstheme="minorHAnsi"/>
        </w:rPr>
        <w:t>人違反法令、章程或逾越董事會授權之範圍，至公司遭受重大損失</w:t>
      </w:r>
    </w:p>
    <w:p w:rsidR="004B6A4F" w:rsidRPr="00796DC6" w:rsidRDefault="0080392D" w:rsidP="00C9720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96DC6">
        <w:rPr>
          <w:rFonts w:eastAsia="微軟正黑體" w:cstheme="minorHAnsi"/>
        </w:rPr>
        <w:t>妨礙主管機關檢查或司法機關調查</w:t>
      </w:r>
    </w:p>
    <w:sectPr w:rsidR="004B6A4F" w:rsidRPr="00796DC6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3A" w:rsidRDefault="00E0743A" w:rsidP="00796DC6">
      <w:r>
        <w:separator/>
      </w:r>
    </w:p>
  </w:endnote>
  <w:endnote w:type="continuationSeparator" w:id="0">
    <w:p w:rsidR="00E0743A" w:rsidRDefault="00E0743A" w:rsidP="0079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3A" w:rsidRDefault="00E0743A" w:rsidP="00796DC6">
      <w:r>
        <w:separator/>
      </w:r>
    </w:p>
  </w:footnote>
  <w:footnote w:type="continuationSeparator" w:id="0">
    <w:p w:rsidR="00E0743A" w:rsidRDefault="00E0743A" w:rsidP="00796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4BEC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279F1"/>
    <w:rsid w:val="00344A99"/>
    <w:rsid w:val="00351A0E"/>
    <w:rsid w:val="003565F6"/>
    <w:rsid w:val="003612D5"/>
    <w:rsid w:val="00361F5D"/>
    <w:rsid w:val="00393D27"/>
    <w:rsid w:val="00396E8C"/>
    <w:rsid w:val="003A06C0"/>
    <w:rsid w:val="003B43C3"/>
    <w:rsid w:val="003C48DE"/>
    <w:rsid w:val="003C5326"/>
    <w:rsid w:val="003D4ACF"/>
    <w:rsid w:val="003F31A0"/>
    <w:rsid w:val="003F5965"/>
    <w:rsid w:val="00401C82"/>
    <w:rsid w:val="0040578F"/>
    <w:rsid w:val="00422767"/>
    <w:rsid w:val="00431686"/>
    <w:rsid w:val="0044153E"/>
    <w:rsid w:val="00472DAF"/>
    <w:rsid w:val="0047590A"/>
    <w:rsid w:val="004812B9"/>
    <w:rsid w:val="0048546B"/>
    <w:rsid w:val="00491F83"/>
    <w:rsid w:val="004A78DB"/>
    <w:rsid w:val="004B6A4F"/>
    <w:rsid w:val="004C7B2D"/>
    <w:rsid w:val="004D0B46"/>
    <w:rsid w:val="004E47EE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73368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3295E"/>
    <w:rsid w:val="00754C6C"/>
    <w:rsid w:val="00762264"/>
    <w:rsid w:val="0077507F"/>
    <w:rsid w:val="0078537A"/>
    <w:rsid w:val="00790E50"/>
    <w:rsid w:val="00794D5E"/>
    <w:rsid w:val="00796DC6"/>
    <w:rsid w:val="007A6867"/>
    <w:rsid w:val="007B2E32"/>
    <w:rsid w:val="007C1075"/>
    <w:rsid w:val="007E2656"/>
    <w:rsid w:val="007E399C"/>
    <w:rsid w:val="007E4834"/>
    <w:rsid w:val="007E570D"/>
    <w:rsid w:val="007E7F95"/>
    <w:rsid w:val="0080392D"/>
    <w:rsid w:val="0085002D"/>
    <w:rsid w:val="00874604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6AF6"/>
    <w:rsid w:val="00BC2568"/>
    <w:rsid w:val="00BC274C"/>
    <w:rsid w:val="00BC408E"/>
    <w:rsid w:val="00BD3C35"/>
    <w:rsid w:val="00BD5F3C"/>
    <w:rsid w:val="00BF0D6F"/>
    <w:rsid w:val="00BF6E2A"/>
    <w:rsid w:val="00C30AEC"/>
    <w:rsid w:val="00C33C03"/>
    <w:rsid w:val="00C35AE9"/>
    <w:rsid w:val="00C35DAE"/>
    <w:rsid w:val="00C44101"/>
    <w:rsid w:val="00C53931"/>
    <w:rsid w:val="00C54CD4"/>
    <w:rsid w:val="00C70A9E"/>
    <w:rsid w:val="00C76E34"/>
    <w:rsid w:val="00C9406F"/>
    <w:rsid w:val="00C9720A"/>
    <w:rsid w:val="00CC37BA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0743A"/>
    <w:rsid w:val="00E269E8"/>
    <w:rsid w:val="00E30C65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B7096"/>
    <w:rsid w:val="00FD432F"/>
    <w:rsid w:val="00FD6E2A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96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6D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6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6D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96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6D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6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6D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A1B91-FA1D-4011-A7BB-1F7B4A33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40</cp:revision>
  <dcterms:created xsi:type="dcterms:W3CDTF">2016-07-06T01:41:00Z</dcterms:created>
  <dcterms:modified xsi:type="dcterms:W3CDTF">2016-07-09T14:19:00Z</dcterms:modified>
</cp:coreProperties>
</file>