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7B1" w:rsidRDefault="00AF1E5D" w:rsidP="00AF1E5D">
      <w:pPr>
        <w:spacing w:line="440" w:lineRule="exact"/>
        <w:rPr>
          <w:rFonts w:eastAsia="微軟正黑體" w:cstheme="minorHAnsi" w:hint="eastAsia"/>
          <w:sz w:val="40"/>
          <w:szCs w:val="40"/>
        </w:rPr>
      </w:pPr>
      <w:r w:rsidRPr="00AF1E5D">
        <w:rPr>
          <w:rFonts w:eastAsia="微軟正黑體" w:cstheme="minorHAnsi"/>
          <w:sz w:val="40"/>
          <w:szCs w:val="40"/>
        </w:rPr>
        <w:t>第</w:t>
      </w:r>
      <w:r w:rsidR="00ED5048">
        <w:rPr>
          <w:rFonts w:eastAsia="微軟正黑體" w:cstheme="minorHAnsi" w:hint="eastAsia"/>
          <w:sz w:val="40"/>
          <w:szCs w:val="40"/>
        </w:rPr>
        <w:t>五</w:t>
      </w:r>
      <w:r w:rsidRPr="00AF1E5D">
        <w:rPr>
          <w:rFonts w:eastAsia="微軟正黑體" w:cstheme="minorHAnsi"/>
          <w:sz w:val="40"/>
          <w:szCs w:val="40"/>
        </w:rPr>
        <w:t>章</w:t>
      </w:r>
      <w:r w:rsidRPr="00AF1E5D">
        <w:rPr>
          <w:rFonts w:eastAsia="微軟正黑體" w:cstheme="minorHAnsi"/>
          <w:sz w:val="40"/>
          <w:szCs w:val="40"/>
        </w:rPr>
        <w:t xml:space="preserve"> </w:t>
      </w:r>
      <w:r w:rsidR="00ED5048">
        <w:rPr>
          <w:rFonts w:eastAsia="微軟正黑體" w:cstheme="minorHAnsi" w:hint="eastAsia"/>
          <w:sz w:val="40"/>
          <w:szCs w:val="40"/>
        </w:rPr>
        <w:t>國際清算銀行巴</w:t>
      </w:r>
      <w:proofErr w:type="gramStart"/>
      <w:r w:rsidR="00ED5048">
        <w:rPr>
          <w:rFonts w:eastAsia="微軟正黑體" w:cstheme="minorHAnsi" w:hint="eastAsia"/>
          <w:sz w:val="40"/>
          <w:szCs w:val="40"/>
        </w:rPr>
        <w:t>塞爾監理</w:t>
      </w:r>
      <w:proofErr w:type="gramEnd"/>
      <w:r w:rsidR="00ED5048">
        <w:rPr>
          <w:rFonts w:eastAsia="微軟正黑體" w:cstheme="minorHAnsi" w:hint="eastAsia"/>
          <w:sz w:val="40"/>
          <w:szCs w:val="40"/>
        </w:rPr>
        <w:t>委員會</w:t>
      </w:r>
    </w:p>
    <w:p w:rsidR="00AF1E5D" w:rsidRPr="00AF1E5D" w:rsidRDefault="00AF1E5D" w:rsidP="00AF1E5D">
      <w:pPr>
        <w:spacing w:line="440" w:lineRule="exact"/>
        <w:rPr>
          <w:rFonts w:eastAsia="微軟正黑體" w:cstheme="minorHAnsi"/>
          <w:sz w:val="40"/>
          <w:szCs w:val="40"/>
        </w:rPr>
      </w:pPr>
    </w:p>
    <w:p w:rsidR="00AF1E5D" w:rsidRDefault="00ED5048" w:rsidP="00AF1E5D">
      <w:pPr>
        <w:pStyle w:val="a3"/>
        <w:numPr>
          <w:ilvl w:val="0"/>
          <w:numId w:val="2"/>
        </w:numPr>
        <w:spacing w:line="440" w:lineRule="exact"/>
        <w:ind w:leftChars="0"/>
        <w:rPr>
          <w:rFonts w:eastAsia="微軟正黑體" w:cstheme="minorHAnsi" w:hint="eastAsia"/>
        </w:rPr>
      </w:pPr>
      <w:r w:rsidRPr="00ED5048">
        <w:rPr>
          <w:rFonts w:eastAsia="微軟正黑體" w:cstheme="minorHAnsi" w:hint="eastAsia"/>
        </w:rPr>
        <w:t>巴</w:t>
      </w:r>
      <w:proofErr w:type="gramStart"/>
      <w:r w:rsidRPr="00ED5048">
        <w:rPr>
          <w:rFonts w:eastAsia="微軟正黑體" w:cstheme="minorHAnsi" w:hint="eastAsia"/>
        </w:rPr>
        <w:t>塞爾監理</w:t>
      </w:r>
      <w:proofErr w:type="gramEnd"/>
      <w:r w:rsidRPr="00ED5048">
        <w:rPr>
          <w:rFonts w:eastAsia="微軟正黑體" w:cstheme="minorHAnsi" w:hint="eastAsia"/>
        </w:rPr>
        <w:t>委員會</w:t>
      </w:r>
      <w:r w:rsidRPr="00ED5048">
        <w:rPr>
          <w:rFonts w:eastAsia="微軟正黑體" w:cstheme="minorHAnsi" w:hint="eastAsia"/>
        </w:rPr>
        <w:t>制定之</w:t>
      </w:r>
      <w:r>
        <w:rPr>
          <w:rFonts w:eastAsia="微軟正黑體" w:cstheme="minorHAnsi" w:hint="eastAsia"/>
        </w:rPr>
        <w:t>內部控制的</w:t>
      </w:r>
      <w:r>
        <w:rPr>
          <w:rFonts w:eastAsia="微軟正黑體" w:cstheme="minorHAnsi" w:hint="eastAsia"/>
        </w:rPr>
        <w:t>13</w:t>
      </w:r>
      <w:r>
        <w:rPr>
          <w:rFonts w:eastAsia="微軟正黑體" w:cstheme="minorHAnsi" w:hint="eastAsia"/>
        </w:rPr>
        <w:t>項原則</w:t>
      </w:r>
    </w:p>
    <w:p w:rsidR="00557B2C" w:rsidRPr="00557B2C" w:rsidRDefault="00557B2C" w:rsidP="00557B2C">
      <w:pPr>
        <w:pStyle w:val="a3"/>
        <w:spacing w:line="440" w:lineRule="exact"/>
        <w:ind w:leftChars="0"/>
        <w:rPr>
          <w:rFonts w:eastAsia="微軟正黑體" w:cstheme="minorHAnsi" w:hint="eastAsia"/>
          <w:color w:val="FF0000"/>
        </w:rPr>
      </w:pPr>
      <w:r w:rsidRPr="00557B2C">
        <w:rPr>
          <w:rFonts w:eastAsia="微軟正黑體" w:cstheme="minorHAnsi" w:hint="eastAsia"/>
          <w:color w:val="FF0000"/>
        </w:rPr>
        <w:t>(</w:t>
      </w:r>
      <w:r w:rsidRPr="00557B2C">
        <w:rPr>
          <w:rFonts w:eastAsia="微軟正黑體" w:cstheme="minorHAnsi" w:hint="eastAsia"/>
          <w:color w:val="FF0000"/>
        </w:rPr>
        <w:t>管理階層之監督與管控文化</w:t>
      </w:r>
      <w:r w:rsidRPr="00557B2C">
        <w:rPr>
          <w:rFonts w:eastAsia="微軟正黑體" w:cstheme="minorHAnsi" w:hint="eastAsia"/>
          <w:color w:val="FF0000"/>
        </w:rPr>
        <w:t>)</w:t>
      </w:r>
    </w:p>
    <w:p w:rsidR="00AF1E5D" w:rsidRDefault="00557B2C" w:rsidP="00AF1E5D">
      <w:pPr>
        <w:pStyle w:val="a3"/>
        <w:numPr>
          <w:ilvl w:val="0"/>
          <w:numId w:val="3"/>
        </w:numPr>
        <w:spacing w:line="440" w:lineRule="exact"/>
        <w:ind w:leftChars="0"/>
        <w:rPr>
          <w:rFonts w:eastAsia="微軟正黑體" w:cstheme="minorHAnsi" w:hint="eastAsia"/>
        </w:rPr>
      </w:pPr>
      <w:r>
        <w:rPr>
          <w:rFonts w:eastAsia="微軟正黑體" w:cstheme="minorHAnsi" w:hint="eastAsia"/>
        </w:rPr>
        <w:t>原則</w:t>
      </w:r>
      <w:r>
        <w:rPr>
          <w:rFonts w:eastAsia="微軟正黑體" w:cstheme="minorHAnsi" w:hint="eastAsia"/>
        </w:rPr>
        <w:t>1</w:t>
      </w:r>
    </w:p>
    <w:p w:rsidR="00AF1E5D" w:rsidRDefault="00557B2C" w:rsidP="00557B2C">
      <w:pPr>
        <w:pStyle w:val="a3"/>
        <w:numPr>
          <w:ilvl w:val="1"/>
          <w:numId w:val="3"/>
        </w:numPr>
        <w:spacing w:line="440" w:lineRule="exact"/>
        <w:ind w:leftChars="0"/>
        <w:rPr>
          <w:rFonts w:eastAsia="微軟正黑體" w:cstheme="minorHAnsi" w:hint="eastAsia"/>
        </w:rPr>
      </w:pPr>
      <w:r>
        <w:rPr>
          <w:rFonts w:eastAsia="微軟正黑體" w:cstheme="minorHAnsi" w:hint="eastAsia"/>
        </w:rPr>
        <w:t>董事會</w:t>
      </w:r>
    </w:p>
    <w:p w:rsidR="00557B2C" w:rsidRDefault="00557B2C" w:rsidP="00557B2C">
      <w:pPr>
        <w:pStyle w:val="a3"/>
        <w:numPr>
          <w:ilvl w:val="2"/>
          <w:numId w:val="3"/>
        </w:numPr>
        <w:spacing w:line="440" w:lineRule="exact"/>
        <w:ind w:leftChars="0"/>
        <w:rPr>
          <w:rFonts w:eastAsia="微軟正黑體" w:cstheme="minorHAnsi" w:hint="eastAsia"/>
        </w:rPr>
      </w:pPr>
      <w:r>
        <w:rPr>
          <w:rFonts w:eastAsia="微軟正黑體" w:cstheme="minorHAnsi" w:hint="eastAsia"/>
        </w:rPr>
        <w:t>核准並定期評估整體營運策略及重要政策，訂定銀行可承擔的風險限額</w:t>
      </w:r>
    </w:p>
    <w:p w:rsidR="00557B2C" w:rsidRDefault="00557B2C" w:rsidP="00557B2C">
      <w:pPr>
        <w:pStyle w:val="a3"/>
        <w:numPr>
          <w:ilvl w:val="2"/>
          <w:numId w:val="3"/>
        </w:numPr>
        <w:spacing w:line="440" w:lineRule="exact"/>
        <w:ind w:leftChars="0"/>
        <w:rPr>
          <w:rFonts w:eastAsia="微軟正黑體" w:cstheme="minorHAnsi" w:hint="eastAsia"/>
        </w:rPr>
      </w:pPr>
      <w:r>
        <w:rPr>
          <w:rFonts w:eastAsia="微軟正黑體" w:cstheme="minorHAnsi" w:hint="eastAsia"/>
        </w:rPr>
        <w:t>監督高階管理階層，核定銀行組織架構</w:t>
      </w:r>
    </w:p>
    <w:p w:rsidR="00557B2C" w:rsidRDefault="00557B2C" w:rsidP="00557B2C">
      <w:pPr>
        <w:pStyle w:val="a3"/>
        <w:numPr>
          <w:ilvl w:val="2"/>
          <w:numId w:val="3"/>
        </w:numPr>
        <w:spacing w:line="440" w:lineRule="exact"/>
        <w:ind w:leftChars="0"/>
        <w:rPr>
          <w:rFonts w:eastAsia="微軟正黑體" w:cstheme="minorHAnsi" w:hint="eastAsia"/>
        </w:rPr>
      </w:pPr>
      <w:r>
        <w:rPr>
          <w:rFonts w:eastAsia="微軟正黑體" w:cstheme="minorHAnsi" w:hint="eastAsia"/>
        </w:rPr>
        <w:t>建立並維持妥適有效的內部控制制度，負最後之責</w:t>
      </w:r>
    </w:p>
    <w:p w:rsidR="00557B2C" w:rsidRDefault="00557B2C" w:rsidP="00557B2C">
      <w:pPr>
        <w:pStyle w:val="a3"/>
        <w:numPr>
          <w:ilvl w:val="0"/>
          <w:numId w:val="3"/>
        </w:numPr>
        <w:spacing w:line="440" w:lineRule="exact"/>
        <w:ind w:leftChars="0"/>
        <w:rPr>
          <w:rFonts w:eastAsia="微軟正黑體" w:cstheme="minorHAnsi" w:hint="eastAsia"/>
        </w:rPr>
      </w:pPr>
      <w:r>
        <w:rPr>
          <w:rFonts w:eastAsia="微軟正黑體" w:cstheme="minorHAnsi" w:hint="eastAsia"/>
        </w:rPr>
        <w:t>原則</w:t>
      </w:r>
      <w:r>
        <w:rPr>
          <w:rFonts w:eastAsia="微軟正黑體" w:cstheme="minorHAnsi" w:hint="eastAsia"/>
        </w:rPr>
        <w:t>2</w:t>
      </w:r>
    </w:p>
    <w:p w:rsidR="00557B2C" w:rsidRDefault="00557B2C" w:rsidP="00557B2C">
      <w:pPr>
        <w:pStyle w:val="a3"/>
        <w:numPr>
          <w:ilvl w:val="1"/>
          <w:numId w:val="3"/>
        </w:numPr>
        <w:spacing w:line="440" w:lineRule="exact"/>
        <w:ind w:leftChars="0"/>
        <w:rPr>
          <w:rFonts w:eastAsia="微軟正黑體" w:cstheme="minorHAnsi" w:hint="eastAsia"/>
        </w:rPr>
      </w:pPr>
      <w:r>
        <w:rPr>
          <w:rFonts w:eastAsia="微軟正黑體" w:cstheme="minorHAnsi" w:hint="eastAsia"/>
        </w:rPr>
        <w:t>高階管理階層</w:t>
      </w:r>
    </w:p>
    <w:p w:rsidR="00557B2C" w:rsidRDefault="00557B2C" w:rsidP="00557B2C">
      <w:pPr>
        <w:pStyle w:val="a3"/>
        <w:numPr>
          <w:ilvl w:val="2"/>
          <w:numId w:val="3"/>
        </w:numPr>
        <w:spacing w:line="440" w:lineRule="exact"/>
        <w:ind w:leftChars="0"/>
        <w:rPr>
          <w:rFonts w:eastAsia="微軟正黑體" w:cstheme="minorHAnsi" w:hint="eastAsia"/>
        </w:rPr>
      </w:pPr>
      <w:r>
        <w:rPr>
          <w:rFonts w:eastAsia="微軟正黑體" w:cstheme="minorHAnsi" w:hint="eastAsia"/>
        </w:rPr>
        <w:t>執行董事會核准之營運策略及政策</w:t>
      </w:r>
    </w:p>
    <w:p w:rsidR="00557B2C" w:rsidRDefault="00557B2C" w:rsidP="00557B2C">
      <w:pPr>
        <w:pStyle w:val="a3"/>
        <w:numPr>
          <w:ilvl w:val="2"/>
          <w:numId w:val="3"/>
        </w:numPr>
        <w:spacing w:line="440" w:lineRule="exact"/>
        <w:ind w:leftChars="0"/>
        <w:rPr>
          <w:rFonts w:eastAsia="微軟正黑體" w:cstheme="minorHAnsi" w:hint="eastAsia"/>
        </w:rPr>
      </w:pPr>
      <w:r>
        <w:rPr>
          <w:rFonts w:eastAsia="微軟正黑體" w:cstheme="minorHAnsi" w:hint="eastAsia"/>
        </w:rPr>
        <w:t>維持權責劃分及報告系統明確之組織架構，確保授權辦法得以有效執行</w:t>
      </w:r>
    </w:p>
    <w:p w:rsidR="00557B2C" w:rsidRDefault="00557B2C" w:rsidP="00557B2C">
      <w:pPr>
        <w:pStyle w:val="a3"/>
        <w:numPr>
          <w:ilvl w:val="2"/>
          <w:numId w:val="3"/>
        </w:numPr>
        <w:spacing w:line="440" w:lineRule="exact"/>
        <w:ind w:leftChars="0"/>
        <w:rPr>
          <w:rFonts w:eastAsia="微軟正黑體" w:cstheme="minorHAnsi" w:hint="eastAsia"/>
        </w:rPr>
      </w:pPr>
      <w:r>
        <w:rPr>
          <w:rFonts w:eastAsia="微軟正黑體" w:cstheme="minorHAnsi" w:hint="eastAsia"/>
        </w:rPr>
        <w:t>制定妥善之內部控制策略，監控內部控制制度之適足性及有效運作</w:t>
      </w:r>
    </w:p>
    <w:p w:rsidR="00557B2C" w:rsidRDefault="00557B2C" w:rsidP="00557B2C">
      <w:pPr>
        <w:pStyle w:val="a3"/>
        <w:numPr>
          <w:ilvl w:val="2"/>
          <w:numId w:val="3"/>
        </w:numPr>
        <w:spacing w:line="440" w:lineRule="exact"/>
        <w:ind w:leftChars="0"/>
        <w:rPr>
          <w:rFonts w:eastAsia="微軟正黑體" w:cstheme="minorHAnsi" w:hint="eastAsia"/>
        </w:rPr>
      </w:pPr>
      <w:r>
        <w:rPr>
          <w:rFonts w:eastAsia="微軟正黑體" w:cstheme="minorHAnsi" w:hint="eastAsia"/>
        </w:rPr>
        <w:t>負責定作業程序以辨識、衡量、監視、管控風險</w:t>
      </w:r>
    </w:p>
    <w:p w:rsidR="00557B2C" w:rsidRDefault="00557B2C" w:rsidP="00557B2C">
      <w:pPr>
        <w:pStyle w:val="a3"/>
        <w:numPr>
          <w:ilvl w:val="0"/>
          <w:numId w:val="3"/>
        </w:numPr>
        <w:spacing w:line="440" w:lineRule="exact"/>
        <w:ind w:leftChars="0"/>
        <w:rPr>
          <w:rFonts w:eastAsia="微軟正黑體" w:cstheme="minorHAnsi" w:hint="eastAsia"/>
        </w:rPr>
      </w:pPr>
      <w:r>
        <w:rPr>
          <w:rFonts w:eastAsia="微軟正黑體" w:cstheme="minorHAnsi" w:hint="eastAsia"/>
        </w:rPr>
        <w:t>原則</w:t>
      </w:r>
      <w:r>
        <w:rPr>
          <w:rFonts w:eastAsia="微軟正黑體" w:cstheme="minorHAnsi" w:hint="eastAsia"/>
        </w:rPr>
        <w:t>3</w:t>
      </w:r>
    </w:p>
    <w:p w:rsidR="00557B2C" w:rsidRDefault="00557B2C" w:rsidP="00557B2C">
      <w:pPr>
        <w:spacing w:line="440" w:lineRule="exact"/>
        <w:ind w:left="480" w:firstLine="480"/>
        <w:rPr>
          <w:rFonts w:eastAsia="微軟正黑體" w:cstheme="minorHAnsi" w:hint="eastAsia"/>
        </w:rPr>
      </w:pPr>
      <w:r w:rsidRPr="00557B2C">
        <w:rPr>
          <w:rFonts w:eastAsia="微軟正黑體" w:cstheme="minorHAnsi" w:hint="eastAsia"/>
        </w:rPr>
        <w:t>董事會及高些管理階層應提升全體員工之道德水準並身體力行</w:t>
      </w:r>
    </w:p>
    <w:p w:rsidR="00557B2C" w:rsidRPr="00557B2C" w:rsidRDefault="00557B2C" w:rsidP="00557B2C">
      <w:pPr>
        <w:spacing w:line="440" w:lineRule="exact"/>
        <w:ind w:firstLine="480"/>
        <w:rPr>
          <w:rFonts w:eastAsia="微軟正黑體" w:cstheme="minorHAnsi" w:hint="eastAsia"/>
          <w:color w:val="FF0000"/>
        </w:rPr>
      </w:pPr>
      <w:r w:rsidRPr="00557B2C">
        <w:rPr>
          <w:rFonts w:eastAsia="微軟正黑體" w:cstheme="minorHAnsi" w:hint="eastAsia"/>
          <w:color w:val="FF0000"/>
        </w:rPr>
        <w:t>(</w:t>
      </w:r>
      <w:r w:rsidRPr="00557B2C">
        <w:rPr>
          <w:rFonts w:eastAsia="微軟正黑體" w:cstheme="minorHAnsi" w:hint="eastAsia"/>
          <w:color w:val="FF0000"/>
        </w:rPr>
        <w:t>風險認知與評估</w:t>
      </w:r>
      <w:r w:rsidRPr="00557B2C">
        <w:rPr>
          <w:rFonts w:eastAsia="微軟正黑體" w:cstheme="minorHAnsi" w:hint="eastAsia"/>
          <w:color w:val="FF0000"/>
        </w:rPr>
        <w:t>)</w:t>
      </w:r>
    </w:p>
    <w:p w:rsidR="00557B2C" w:rsidRDefault="00557B2C" w:rsidP="00557B2C">
      <w:pPr>
        <w:pStyle w:val="a3"/>
        <w:numPr>
          <w:ilvl w:val="0"/>
          <w:numId w:val="3"/>
        </w:numPr>
        <w:spacing w:line="440" w:lineRule="exact"/>
        <w:ind w:leftChars="0"/>
        <w:rPr>
          <w:rFonts w:eastAsia="微軟正黑體" w:cstheme="minorHAnsi" w:hint="eastAsia"/>
        </w:rPr>
      </w:pPr>
      <w:r>
        <w:rPr>
          <w:rFonts w:eastAsia="微軟正黑體" w:cstheme="minorHAnsi" w:hint="eastAsia"/>
        </w:rPr>
        <w:t>原則</w:t>
      </w:r>
      <w:r>
        <w:rPr>
          <w:rFonts w:eastAsia="微軟正黑體" w:cstheme="minorHAnsi" w:hint="eastAsia"/>
        </w:rPr>
        <w:t>4</w:t>
      </w:r>
    </w:p>
    <w:p w:rsidR="00557B2C" w:rsidRDefault="00557B2C" w:rsidP="00557B2C">
      <w:pPr>
        <w:spacing w:line="440" w:lineRule="exact"/>
        <w:ind w:left="960"/>
        <w:rPr>
          <w:rFonts w:eastAsia="微軟正黑體" w:cstheme="minorHAnsi" w:hint="eastAsia"/>
        </w:rPr>
      </w:pPr>
      <w:r>
        <w:rPr>
          <w:rFonts w:eastAsia="微軟正黑體" w:cstheme="minorHAnsi" w:hint="eastAsia"/>
        </w:rPr>
        <w:t>有效的內部控制能辨識並評估友愛銀行目標達成之主要風險</w:t>
      </w:r>
    </w:p>
    <w:p w:rsidR="00557B2C" w:rsidRPr="00557B2C" w:rsidRDefault="00557B2C" w:rsidP="00557B2C">
      <w:pPr>
        <w:spacing w:line="440" w:lineRule="exact"/>
        <w:ind w:firstLine="480"/>
        <w:rPr>
          <w:rFonts w:eastAsia="微軟正黑體" w:cstheme="minorHAnsi" w:hint="eastAsia"/>
          <w:color w:val="FF0000"/>
        </w:rPr>
      </w:pPr>
      <w:r w:rsidRPr="00557B2C">
        <w:rPr>
          <w:rFonts w:eastAsia="微軟正黑體" w:cstheme="minorHAnsi" w:hint="eastAsia"/>
          <w:color w:val="FF0000"/>
        </w:rPr>
        <w:t>(</w:t>
      </w:r>
      <w:r w:rsidRPr="00557B2C">
        <w:rPr>
          <w:rFonts w:eastAsia="微軟正黑體" w:cstheme="minorHAnsi" w:hint="eastAsia"/>
          <w:color w:val="FF0000"/>
        </w:rPr>
        <w:t>牽制與分工</w:t>
      </w:r>
      <w:r w:rsidRPr="00557B2C">
        <w:rPr>
          <w:rFonts w:eastAsia="微軟正黑體" w:cstheme="minorHAnsi" w:hint="eastAsia"/>
          <w:color w:val="FF0000"/>
        </w:rPr>
        <w:t>)</w:t>
      </w:r>
    </w:p>
    <w:p w:rsidR="00557B2C" w:rsidRDefault="00557B2C" w:rsidP="00557B2C">
      <w:pPr>
        <w:pStyle w:val="a3"/>
        <w:numPr>
          <w:ilvl w:val="0"/>
          <w:numId w:val="3"/>
        </w:numPr>
        <w:spacing w:line="440" w:lineRule="exact"/>
        <w:ind w:leftChars="0"/>
        <w:rPr>
          <w:rFonts w:eastAsia="微軟正黑體" w:cstheme="minorHAnsi" w:hint="eastAsia"/>
        </w:rPr>
      </w:pPr>
      <w:r>
        <w:rPr>
          <w:rFonts w:eastAsia="微軟正黑體" w:cstheme="minorHAnsi" w:hint="eastAsia"/>
        </w:rPr>
        <w:t>原則</w:t>
      </w:r>
      <w:r>
        <w:rPr>
          <w:rFonts w:eastAsia="微軟正黑體" w:cstheme="minorHAnsi" w:hint="eastAsia"/>
        </w:rPr>
        <w:t>5</w:t>
      </w:r>
    </w:p>
    <w:p w:rsidR="00E449F2" w:rsidRPr="00E449F2" w:rsidRDefault="00E449F2" w:rsidP="00E449F2">
      <w:pPr>
        <w:spacing w:line="440" w:lineRule="exact"/>
        <w:ind w:left="480" w:firstLine="480"/>
        <w:rPr>
          <w:rFonts w:eastAsia="微軟正黑體" w:cstheme="minorHAnsi" w:hint="eastAsia"/>
        </w:rPr>
      </w:pPr>
      <w:r w:rsidRPr="00E449F2">
        <w:rPr>
          <w:rFonts w:eastAsia="微軟正黑體" w:cstheme="minorHAnsi" w:hint="eastAsia"/>
        </w:rPr>
        <w:t>建立一套適切得控制架構</w:t>
      </w:r>
      <w:r>
        <w:rPr>
          <w:rFonts w:eastAsia="微軟正黑體" w:cstheme="minorHAnsi" w:hint="eastAsia"/>
        </w:rPr>
        <w:t>，</w:t>
      </w:r>
      <w:r w:rsidRPr="00E449F2">
        <w:rPr>
          <w:rFonts w:eastAsia="微軟正黑體" w:cstheme="minorHAnsi" w:hint="eastAsia"/>
        </w:rPr>
        <w:t>權責劃分制度</w:t>
      </w:r>
    </w:p>
    <w:p w:rsidR="00557B2C" w:rsidRDefault="00E449F2" w:rsidP="00E449F2">
      <w:pPr>
        <w:pStyle w:val="a3"/>
        <w:numPr>
          <w:ilvl w:val="0"/>
          <w:numId w:val="3"/>
        </w:numPr>
        <w:spacing w:line="440" w:lineRule="exact"/>
        <w:ind w:leftChars="0"/>
        <w:rPr>
          <w:rFonts w:eastAsia="微軟正黑體" w:cstheme="minorHAnsi" w:hint="eastAsia"/>
        </w:rPr>
      </w:pPr>
      <w:r>
        <w:rPr>
          <w:rFonts w:eastAsia="微軟正黑體" w:cstheme="minorHAnsi" w:hint="eastAsia"/>
        </w:rPr>
        <w:t>原則</w:t>
      </w:r>
      <w:r>
        <w:rPr>
          <w:rFonts w:eastAsia="微軟正黑體" w:cstheme="minorHAnsi" w:hint="eastAsia"/>
        </w:rPr>
        <w:t>6</w:t>
      </w:r>
    </w:p>
    <w:p w:rsidR="00557B2C" w:rsidRDefault="00E449F2" w:rsidP="00557B2C">
      <w:pPr>
        <w:spacing w:line="440" w:lineRule="exact"/>
        <w:ind w:left="960"/>
        <w:rPr>
          <w:rFonts w:eastAsia="微軟正黑體" w:cstheme="minorHAnsi" w:hint="eastAsia"/>
        </w:rPr>
      </w:pPr>
      <w:r>
        <w:rPr>
          <w:rFonts w:eastAsia="微軟正黑體" w:cstheme="minorHAnsi" w:hint="eastAsia"/>
        </w:rPr>
        <w:t>適當的分工牽制</w:t>
      </w:r>
    </w:p>
    <w:p w:rsidR="00E449F2" w:rsidRPr="00E449F2" w:rsidRDefault="00E449F2" w:rsidP="00E449F2">
      <w:pPr>
        <w:spacing w:line="440" w:lineRule="exact"/>
        <w:ind w:firstLine="480"/>
        <w:rPr>
          <w:rFonts w:eastAsia="微軟正黑體" w:cstheme="minorHAnsi" w:hint="eastAsia"/>
          <w:color w:val="FF0000"/>
        </w:rPr>
      </w:pPr>
      <w:r w:rsidRPr="00E449F2">
        <w:rPr>
          <w:rFonts w:eastAsia="微軟正黑體" w:cstheme="minorHAnsi" w:hint="eastAsia"/>
          <w:color w:val="FF0000"/>
        </w:rPr>
        <w:t>(</w:t>
      </w:r>
      <w:r w:rsidRPr="00E449F2">
        <w:rPr>
          <w:rFonts w:eastAsia="微軟正黑體" w:cstheme="minorHAnsi" w:hint="eastAsia"/>
          <w:color w:val="FF0000"/>
        </w:rPr>
        <w:t>資訊與溝通</w:t>
      </w:r>
      <w:r w:rsidRPr="00E449F2">
        <w:rPr>
          <w:rFonts w:eastAsia="微軟正黑體" w:cstheme="minorHAnsi" w:hint="eastAsia"/>
          <w:color w:val="FF0000"/>
        </w:rPr>
        <w:t>)</w:t>
      </w:r>
    </w:p>
    <w:p w:rsidR="00E449F2" w:rsidRDefault="00E449F2" w:rsidP="00E449F2">
      <w:pPr>
        <w:pStyle w:val="a3"/>
        <w:numPr>
          <w:ilvl w:val="0"/>
          <w:numId w:val="3"/>
        </w:numPr>
        <w:spacing w:line="440" w:lineRule="exact"/>
        <w:ind w:leftChars="0"/>
        <w:rPr>
          <w:rFonts w:eastAsia="微軟正黑體" w:cstheme="minorHAnsi" w:hint="eastAsia"/>
        </w:rPr>
      </w:pPr>
      <w:r>
        <w:rPr>
          <w:rFonts w:eastAsia="微軟正黑體" w:cstheme="minorHAnsi" w:hint="eastAsia"/>
        </w:rPr>
        <w:t>原則</w:t>
      </w:r>
      <w:r>
        <w:rPr>
          <w:rFonts w:eastAsia="微軟正黑體" w:cstheme="minorHAnsi" w:hint="eastAsia"/>
        </w:rPr>
        <w:t>7</w:t>
      </w:r>
    </w:p>
    <w:p w:rsidR="00E449F2" w:rsidRPr="00E449F2" w:rsidRDefault="00E449F2" w:rsidP="00E449F2">
      <w:pPr>
        <w:spacing w:line="440" w:lineRule="exact"/>
        <w:ind w:left="960"/>
        <w:rPr>
          <w:rFonts w:eastAsia="微軟正黑體" w:cstheme="minorHAnsi" w:hint="eastAsia"/>
        </w:rPr>
      </w:pPr>
      <w:r w:rsidRPr="00E449F2">
        <w:rPr>
          <w:rFonts w:eastAsia="微軟正黑體" w:cstheme="minorHAnsi" w:hint="eastAsia"/>
        </w:rPr>
        <w:t>有校的內部控制必須充分提供廣泛的</w:t>
      </w:r>
      <w:proofErr w:type="gramStart"/>
      <w:r w:rsidRPr="00E449F2">
        <w:rPr>
          <w:rFonts w:eastAsia="微軟正黑體" w:cstheme="minorHAnsi" w:hint="eastAsia"/>
        </w:rPr>
        <w:t>內部、外部</w:t>
      </w:r>
      <w:proofErr w:type="gramEnd"/>
      <w:r w:rsidRPr="00E449F2">
        <w:rPr>
          <w:rFonts w:eastAsia="微軟正黑體" w:cstheme="minorHAnsi" w:hint="eastAsia"/>
        </w:rPr>
        <w:t>資訊，資訊必須可靠、具時效性、易於取得，並統一格式</w:t>
      </w:r>
    </w:p>
    <w:p w:rsidR="00E449F2" w:rsidRDefault="00E449F2" w:rsidP="00E449F2">
      <w:pPr>
        <w:pStyle w:val="a3"/>
        <w:numPr>
          <w:ilvl w:val="0"/>
          <w:numId w:val="3"/>
        </w:numPr>
        <w:spacing w:line="440" w:lineRule="exact"/>
        <w:ind w:leftChars="0"/>
        <w:rPr>
          <w:rFonts w:eastAsia="微軟正黑體" w:cstheme="minorHAnsi" w:hint="eastAsia"/>
        </w:rPr>
      </w:pPr>
      <w:r>
        <w:rPr>
          <w:rFonts w:eastAsia="微軟正黑體" w:cstheme="minorHAnsi" w:hint="eastAsia"/>
        </w:rPr>
        <w:t>原則</w:t>
      </w:r>
      <w:r>
        <w:rPr>
          <w:rFonts w:eastAsia="微軟正黑體" w:cstheme="minorHAnsi" w:hint="eastAsia"/>
        </w:rPr>
        <w:t>8</w:t>
      </w:r>
    </w:p>
    <w:p w:rsidR="00E449F2" w:rsidRPr="00E449F2" w:rsidRDefault="00E449F2" w:rsidP="00E449F2">
      <w:pPr>
        <w:spacing w:line="440" w:lineRule="exact"/>
        <w:ind w:left="480" w:firstLine="480"/>
        <w:rPr>
          <w:rFonts w:eastAsia="微軟正黑體" w:cstheme="minorHAnsi" w:hint="eastAsia"/>
        </w:rPr>
      </w:pPr>
      <w:r w:rsidRPr="00E449F2">
        <w:rPr>
          <w:rFonts w:eastAsia="微軟正黑體" w:cstheme="minorHAnsi" w:hint="eastAsia"/>
        </w:rPr>
        <w:t>有涵蓋全行的管理資訊系統，且必須安全穩定，由專責單位獨立監控管理</w:t>
      </w:r>
    </w:p>
    <w:p w:rsidR="00E449F2" w:rsidRDefault="00E449F2" w:rsidP="00E449F2">
      <w:pPr>
        <w:pStyle w:val="a3"/>
        <w:numPr>
          <w:ilvl w:val="0"/>
          <w:numId w:val="3"/>
        </w:numPr>
        <w:spacing w:line="440" w:lineRule="exact"/>
        <w:ind w:leftChars="0"/>
        <w:rPr>
          <w:rFonts w:eastAsia="微軟正黑體" w:cstheme="minorHAnsi" w:hint="eastAsia"/>
        </w:rPr>
      </w:pPr>
      <w:r>
        <w:rPr>
          <w:rFonts w:eastAsia="微軟正黑體" w:cstheme="minorHAnsi" w:hint="eastAsia"/>
        </w:rPr>
        <w:t>原則</w:t>
      </w:r>
      <w:r>
        <w:rPr>
          <w:rFonts w:eastAsia="微軟正黑體" w:cstheme="minorHAnsi" w:hint="eastAsia"/>
        </w:rPr>
        <w:t>9</w:t>
      </w:r>
    </w:p>
    <w:p w:rsidR="00E449F2" w:rsidRPr="00E449F2" w:rsidRDefault="00E449F2" w:rsidP="00E449F2">
      <w:pPr>
        <w:spacing w:line="440" w:lineRule="exact"/>
        <w:ind w:left="480" w:firstLine="480"/>
        <w:rPr>
          <w:rFonts w:eastAsia="微軟正黑體" w:cstheme="minorHAnsi" w:hint="eastAsia"/>
        </w:rPr>
      </w:pPr>
      <w:r w:rsidRPr="00E449F2">
        <w:rPr>
          <w:rFonts w:eastAsia="微軟正黑體" w:cstheme="minorHAnsi" w:hint="eastAsia"/>
        </w:rPr>
        <w:t>建立有效的溝通管道</w:t>
      </w:r>
    </w:p>
    <w:p w:rsidR="00E449F2" w:rsidRPr="00E449F2" w:rsidRDefault="00E449F2" w:rsidP="00E449F2">
      <w:pPr>
        <w:spacing w:line="440" w:lineRule="exact"/>
        <w:ind w:firstLine="480"/>
        <w:rPr>
          <w:rFonts w:eastAsia="微軟正黑體" w:cstheme="minorHAnsi" w:hint="eastAsia"/>
          <w:color w:val="FF0000"/>
        </w:rPr>
      </w:pPr>
      <w:r w:rsidRPr="00E449F2">
        <w:rPr>
          <w:rFonts w:eastAsia="微軟正黑體" w:cstheme="minorHAnsi" w:hint="eastAsia"/>
          <w:color w:val="FF0000"/>
        </w:rPr>
        <w:t>(</w:t>
      </w:r>
      <w:r>
        <w:rPr>
          <w:rFonts w:eastAsia="微軟正黑體" w:cstheme="minorHAnsi" w:hint="eastAsia"/>
          <w:color w:val="FF0000"/>
        </w:rPr>
        <w:t>監控作業及缺失改善</w:t>
      </w:r>
      <w:r w:rsidRPr="00E449F2">
        <w:rPr>
          <w:rFonts w:eastAsia="微軟正黑體" w:cstheme="minorHAnsi" w:hint="eastAsia"/>
          <w:color w:val="FF0000"/>
        </w:rPr>
        <w:t>)</w:t>
      </w:r>
    </w:p>
    <w:p w:rsidR="00E449F2" w:rsidRDefault="00E449F2" w:rsidP="00E449F2">
      <w:pPr>
        <w:pStyle w:val="a3"/>
        <w:numPr>
          <w:ilvl w:val="0"/>
          <w:numId w:val="3"/>
        </w:numPr>
        <w:spacing w:line="440" w:lineRule="exact"/>
        <w:ind w:leftChars="0"/>
        <w:rPr>
          <w:rFonts w:eastAsia="微軟正黑體" w:cstheme="minorHAnsi" w:hint="eastAsia"/>
        </w:rPr>
      </w:pPr>
      <w:r>
        <w:rPr>
          <w:rFonts w:eastAsia="微軟正黑體" w:cstheme="minorHAnsi" w:hint="eastAsia"/>
        </w:rPr>
        <w:lastRenderedPageBreak/>
        <w:t>原則</w:t>
      </w:r>
      <w:r>
        <w:rPr>
          <w:rFonts w:eastAsia="微軟正黑體" w:cstheme="minorHAnsi" w:hint="eastAsia"/>
        </w:rPr>
        <w:t>10</w:t>
      </w:r>
    </w:p>
    <w:p w:rsidR="00E449F2" w:rsidRDefault="00EE0365" w:rsidP="00E449F2">
      <w:pPr>
        <w:spacing w:line="440" w:lineRule="exact"/>
        <w:ind w:left="960"/>
        <w:rPr>
          <w:rFonts w:eastAsia="微軟正黑體" w:cstheme="minorHAnsi" w:hint="eastAsia"/>
        </w:rPr>
      </w:pPr>
      <w:r>
        <w:rPr>
          <w:rFonts w:eastAsia="微軟正黑體" w:cstheme="minorHAnsi" w:hint="eastAsia"/>
        </w:rPr>
        <w:t>主要風險的監控應為日常營運的一環，由營業單位及內部稽核單位定期辦理評估</w:t>
      </w:r>
    </w:p>
    <w:p w:rsidR="00EE0365" w:rsidRDefault="00EE0365" w:rsidP="00EE0365">
      <w:pPr>
        <w:pStyle w:val="a3"/>
        <w:numPr>
          <w:ilvl w:val="0"/>
          <w:numId w:val="3"/>
        </w:numPr>
        <w:spacing w:line="440" w:lineRule="exact"/>
        <w:ind w:leftChars="0"/>
        <w:rPr>
          <w:rFonts w:eastAsia="微軟正黑體" w:cstheme="minorHAnsi" w:hint="eastAsia"/>
        </w:rPr>
      </w:pPr>
      <w:r>
        <w:rPr>
          <w:rFonts w:eastAsia="微軟正黑體" w:cstheme="minorHAnsi" w:hint="eastAsia"/>
        </w:rPr>
        <w:t>原則</w:t>
      </w:r>
      <w:r>
        <w:rPr>
          <w:rFonts w:eastAsia="微軟正黑體" w:cstheme="minorHAnsi" w:hint="eastAsia"/>
        </w:rPr>
        <w:t>11</w:t>
      </w:r>
    </w:p>
    <w:p w:rsidR="00EE0365" w:rsidRDefault="00EE0365" w:rsidP="00EE0365">
      <w:pPr>
        <w:pStyle w:val="a3"/>
        <w:spacing w:line="440" w:lineRule="exact"/>
        <w:ind w:leftChars="0" w:left="960"/>
        <w:rPr>
          <w:rFonts w:eastAsia="微軟正黑體" w:cstheme="minorHAnsi" w:hint="eastAsia"/>
        </w:rPr>
      </w:pPr>
      <w:r>
        <w:rPr>
          <w:rFonts w:eastAsia="微軟正黑體" w:cstheme="minorHAnsi" w:hint="eastAsia"/>
        </w:rPr>
        <w:t>內部稽核在執行內部控制制度的監控工作上，應有直接陳報董事會或稽核委員會及高階管理階層的職權</w:t>
      </w:r>
    </w:p>
    <w:p w:rsidR="00EE0365" w:rsidRDefault="00EE0365" w:rsidP="00EE0365">
      <w:pPr>
        <w:pStyle w:val="a3"/>
        <w:numPr>
          <w:ilvl w:val="0"/>
          <w:numId w:val="3"/>
        </w:numPr>
        <w:spacing w:line="440" w:lineRule="exact"/>
        <w:ind w:leftChars="0"/>
        <w:rPr>
          <w:rFonts w:eastAsia="微軟正黑體" w:cstheme="minorHAnsi" w:hint="eastAsia"/>
        </w:rPr>
      </w:pPr>
      <w:r>
        <w:rPr>
          <w:rFonts w:eastAsia="微軟正黑體" w:cstheme="minorHAnsi" w:hint="eastAsia"/>
        </w:rPr>
        <w:t>原則</w:t>
      </w:r>
      <w:r>
        <w:rPr>
          <w:rFonts w:eastAsia="微軟正黑體" w:cstheme="minorHAnsi" w:hint="eastAsia"/>
        </w:rPr>
        <w:t>12</w:t>
      </w:r>
    </w:p>
    <w:p w:rsidR="00EE0365" w:rsidRPr="00EE0365" w:rsidRDefault="00EE0365" w:rsidP="00EE0365">
      <w:pPr>
        <w:pStyle w:val="a3"/>
        <w:spacing w:line="440" w:lineRule="exact"/>
        <w:ind w:leftChars="0" w:left="960"/>
        <w:rPr>
          <w:rFonts w:eastAsia="微軟正黑體" w:cstheme="minorHAnsi" w:hint="eastAsia"/>
        </w:rPr>
      </w:pPr>
      <w:r>
        <w:rPr>
          <w:rFonts w:eastAsia="微軟正黑體" w:cstheme="minorHAnsi" w:hint="eastAsia"/>
        </w:rPr>
        <w:t>若有內部控制缺失，應及時陳報適當的管理階層並立即採取因應措施，情節重大者應陳報高階管理階層及董事會</w:t>
      </w:r>
    </w:p>
    <w:p w:rsidR="00E449F2" w:rsidRPr="00EE0365" w:rsidRDefault="00EE0365" w:rsidP="00EE0365">
      <w:pPr>
        <w:spacing w:line="440" w:lineRule="exact"/>
        <w:ind w:firstLine="480"/>
        <w:rPr>
          <w:rFonts w:eastAsia="微軟正黑體" w:cstheme="minorHAnsi" w:hint="eastAsia"/>
          <w:color w:val="FF0000"/>
        </w:rPr>
      </w:pPr>
      <w:r w:rsidRPr="00EE0365">
        <w:rPr>
          <w:rFonts w:eastAsia="微軟正黑體" w:cstheme="minorHAnsi" w:hint="eastAsia"/>
          <w:color w:val="FF0000"/>
        </w:rPr>
        <w:t>(</w:t>
      </w:r>
      <w:r>
        <w:rPr>
          <w:rFonts w:eastAsia="微軟正黑體" w:cstheme="minorHAnsi" w:hint="eastAsia"/>
          <w:color w:val="FF0000"/>
        </w:rPr>
        <w:t>監理機關對內部控制制度之評估</w:t>
      </w:r>
      <w:r w:rsidRPr="00EE0365">
        <w:rPr>
          <w:rFonts w:eastAsia="微軟正黑體" w:cstheme="minorHAnsi" w:hint="eastAsia"/>
          <w:color w:val="FF0000"/>
        </w:rPr>
        <w:t>)</w:t>
      </w:r>
    </w:p>
    <w:p w:rsidR="00EE0365" w:rsidRDefault="00EE0365" w:rsidP="00EE0365">
      <w:pPr>
        <w:pStyle w:val="a3"/>
        <w:numPr>
          <w:ilvl w:val="0"/>
          <w:numId w:val="3"/>
        </w:numPr>
        <w:spacing w:line="440" w:lineRule="exact"/>
        <w:ind w:leftChars="0"/>
        <w:rPr>
          <w:rFonts w:eastAsia="微軟正黑體" w:cstheme="minorHAnsi" w:hint="eastAsia"/>
        </w:rPr>
      </w:pPr>
      <w:r w:rsidRPr="00EE0365">
        <w:rPr>
          <w:rFonts w:eastAsia="微軟正黑體" w:cstheme="minorHAnsi" w:hint="eastAsia"/>
        </w:rPr>
        <w:t>原則</w:t>
      </w:r>
      <w:r w:rsidRPr="00EE0365">
        <w:rPr>
          <w:rFonts w:eastAsia="微軟正黑體" w:cstheme="minorHAnsi" w:hint="eastAsia"/>
        </w:rPr>
        <w:t>13</w:t>
      </w:r>
    </w:p>
    <w:p w:rsidR="00EE0365" w:rsidRPr="00EE0365" w:rsidRDefault="00EE0365" w:rsidP="00EE0365">
      <w:pPr>
        <w:pStyle w:val="a3"/>
        <w:numPr>
          <w:ilvl w:val="1"/>
          <w:numId w:val="3"/>
        </w:numPr>
        <w:spacing w:line="440" w:lineRule="exact"/>
        <w:ind w:leftChars="0"/>
        <w:rPr>
          <w:rFonts w:eastAsia="微軟正黑體" w:cstheme="minorHAnsi" w:hint="eastAsia"/>
        </w:rPr>
      </w:pPr>
      <w:r w:rsidRPr="00EE0365">
        <w:rPr>
          <w:rFonts w:eastAsia="微軟正黑體" w:cstheme="minorHAnsi" w:hint="eastAsia"/>
        </w:rPr>
        <w:t>監理機關要求所有銀行，須建立適合其的內部控制制度，並隨經營環境及情勢變化作調整</w:t>
      </w:r>
    </w:p>
    <w:p w:rsidR="00EE0365" w:rsidRDefault="00EE0365" w:rsidP="00EE0365">
      <w:pPr>
        <w:pStyle w:val="a3"/>
        <w:numPr>
          <w:ilvl w:val="1"/>
          <w:numId w:val="3"/>
        </w:numPr>
        <w:spacing w:line="440" w:lineRule="exact"/>
        <w:ind w:leftChars="0"/>
        <w:rPr>
          <w:rFonts w:eastAsia="微軟正黑體" w:cstheme="minorHAnsi" w:hint="eastAsia"/>
        </w:rPr>
      </w:pPr>
      <w:r>
        <w:rPr>
          <w:rFonts w:eastAsia="微軟正黑體" w:cstheme="minorHAnsi" w:hint="eastAsia"/>
        </w:rPr>
        <w:t>若監理機關判定某一銀行的內部控制制度不足或未能有效管理風險，應採取適當的導正措施</w:t>
      </w:r>
    </w:p>
    <w:p w:rsidR="00E449F2" w:rsidRDefault="00EE0365" w:rsidP="00EE0365">
      <w:pPr>
        <w:pStyle w:val="a3"/>
        <w:numPr>
          <w:ilvl w:val="0"/>
          <w:numId w:val="2"/>
        </w:numPr>
        <w:spacing w:line="440" w:lineRule="exact"/>
        <w:ind w:leftChars="0"/>
        <w:rPr>
          <w:rFonts w:eastAsia="微軟正黑體" w:cstheme="minorHAnsi" w:hint="eastAsia"/>
        </w:rPr>
      </w:pPr>
      <w:r w:rsidRPr="00ED5048">
        <w:rPr>
          <w:rFonts w:eastAsia="微軟正黑體" w:cstheme="minorHAnsi" w:hint="eastAsia"/>
        </w:rPr>
        <w:t>巴</w:t>
      </w:r>
      <w:proofErr w:type="gramStart"/>
      <w:r w:rsidRPr="00ED5048">
        <w:rPr>
          <w:rFonts w:eastAsia="微軟正黑體" w:cstheme="minorHAnsi" w:hint="eastAsia"/>
        </w:rPr>
        <w:t>塞爾監理</w:t>
      </w:r>
      <w:proofErr w:type="gramEnd"/>
      <w:r w:rsidRPr="00ED5048">
        <w:rPr>
          <w:rFonts w:eastAsia="微軟正黑體" w:cstheme="minorHAnsi" w:hint="eastAsia"/>
        </w:rPr>
        <w:t>委員會制定</w:t>
      </w:r>
      <w:r>
        <w:rPr>
          <w:rFonts w:eastAsia="微軟正黑體" w:cstheme="minorHAnsi" w:hint="eastAsia"/>
        </w:rPr>
        <w:t>之有效銀行監理核心原則</w:t>
      </w:r>
    </w:p>
    <w:p w:rsidR="00EE0365" w:rsidRDefault="00EE0365" w:rsidP="00EE0365">
      <w:pPr>
        <w:pStyle w:val="a3"/>
        <w:numPr>
          <w:ilvl w:val="1"/>
          <w:numId w:val="2"/>
        </w:numPr>
        <w:spacing w:line="440" w:lineRule="exact"/>
        <w:ind w:leftChars="0"/>
        <w:rPr>
          <w:rFonts w:eastAsia="微軟正黑體" w:cstheme="minorHAnsi" w:hint="eastAsia"/>
        </w:rPr>
      </w:pPr>
      <w:r>
        <w:rPr>
          <w:rFonts w:eastAsia="微軟正黑體" w:cstheme="minorHAnsi" w:hint="eastAsia"/>
        </w:rPr>
        <w:t>先決條件</w:t>
      </w:r>
    </w:p>
    <w:p w:rsidR="00EE0365" w:rsidRPr="00E269E8" w:rsidRDefault="00C30AEC" w:rsidP="00E269E8">
      <w:pPr>
        <w:spacing w:line="440" w:lineRule="exact"/>
        <w:ind w:left="480" w:firstLine="480"/>
        <w:rPr>
          <w:rFonts w:eastAsia="微軟正黑體" w:cstheme="minorHAnsi" w:hint="eastAsia"/>
        </w:rPr>
      </w:pPr>
      <w:r>
        <w:rPr>
          <w:rFonts w:eastAsia="微軟正黑體" w:cstheme="minorHAnsi" w:hint="eastAsia"/>
        </w:rPr>
        <w:t>訂</w:t>
      </w:r>
      <w:bookmarkStart w:id="0" w:name="_GoBack"/>
      <w:bookmarkEnd w:id="0"/>
      <w:r w:rsidR="00EE0365" w:rsidRPr="00E269E8">
        <w:rPr>
          <w:rFonts w:eastAsia="微軟正黑體" w:cstheme="minorHAnsi" w:hint="eastAsia"/>
        </w:rPr>
        <w:t>定明確的權責與目標</w:t>
      </w:r>
      <w:r w:rsidR="00E269E8" w:rsidRPr="00E269E8">
        <w:rPr>
          <w:rFonts w:eastAsia="微軟正黑體" w:cstheme="minorHAnsi" w:hint="eastAsia"/>
        </w:rPr>
        <w:t>，且須業務獨立與資源適足</w:t>
      </w:r>
    </w:p>
    <w:p w:rsidR="00EE0365" w:rsidRDefault="00EE0365" w:rsidP="00EE0365">
      <w:pPr>
        <w:pStyle w:val="a3"/>
        <w:numPr>
          <w:ilvl w:val="1"/>
          <w:numId w:val="2"/>
        </w:numPr>
        <w:spacing w:line="440" w:lineRule="exact"/>
        <w:ind w:leftChars="0"/>
        <w:rPr>
          <w:rFonts w:eastAsia="微軟正黑體" w:cstheme="minorHAnsi" w:hint="eastAsia"/>
        </w:rPr>
      </w:pPr>
      <w:r>
        <w:rPr>
          <w:rFonts w:eastAsia="微軟正黑體" w:cstheme="minorHAnsi" w:hint="eastAsia"/>
        </w:rPr>
        <w:t>發照及股權結構</w:t>
      </w:r>
    </w:p>
    <w:p w:rsidR="00E269E8" w:rsidRPr="00E269E8" w:rsidRDefault="00E269E8" w:rsidP="00E269E8">
      <w:pPr>
        <w:pStyle w:val="a3"/>
        <w:numPr>
          <w:ilvl w:val="2"/>
          <w:numId w:val="2"/>
        </w:numPr>
        <w:spacing w:line="440" w:lineRule="exact"/>
        <w:ind w:leftChars="0"/>
        <w:rPr>
          <w:rFonts w:eastAsia="微軟正黑體" w:cstheme="minorHAnsi" w:hint="eastAsia"/>
        </w:rPr>
      </w:pPr>
      <w:r>
        <w:rPr>
          <w:rFonts w:ascii="微軟正黑體" w:eastAsia="微軟正黑體" w:hAnsi="微軟正黑體" w:cstheme="minorHAnsi" w:hint="eastAsia"/>
        </w:rPr>
        <w:t>「</w:t>
      </w:r>
      <w:r>
        <w:rPr>
          <w:rFonts w:ascii="微軟正黑體" w:eastAsia="微軟正黑體" w:hAnsi="微軟正黑體" w:cstheme="minorHAnsi" w:hint="eastAsia"/>
        </w:rPr>
        <w:t>銀行</w:t>
      </w:r>
      <w:r>
        <w:rPr>
          <w:rFonts w:ascii="微軟正黑體" w:eastAsia="微軟正黑體" w:hAnsi="微軟正黑體" w:cstheme="minorHAnsi" w:hint="eastAsia"/>
        </w:rPr>
        <w:t>」</w:t>
      </w:r>
      <w:r>
        <w:rPr>
          <w:rFonts w:ascii="微軟正黑體" w:eastAsia="微軟正黑體" w:hAnsi="微軟正黑體" w:cstheme="minorHAnsi" w:hint="eastAsia"/>
        </w:rPr>
        <w:t>名稱的使用應盡量加以限制</w:t>
      </w:r>
    </w:p>
    <w:p w:rsidR="00E269E8" w:rsidRPr="00E269E8" w:rsidRDefault="00E269E8" w:rsidP="00E269E8">
      <w:pPr>
        <w:pStyle w:val="a3"/>
        <w:numPr>
          <w:ilvl w:val="2"/>
          <w:numId w:val="2"/>
        </w:numPr>
        <w:spacing w:line="440" w:lineRule="exact"/>
        <w:ind w:leftChars="0"/>
        <w:rPr>
          <w:rFonts w:eastAsia="微軟正黑體" w:cstheme="minorHAnsi" w:hint="eastAsia"/>
        </w:rPr>
      </w:pPr>
      <w:r>
        <w:rPr>
          <w:rFonts w:ascii="微軟正黑體" w:eastAsia="微軟正黑體" w:hAnsi="微軟正黑體" w:cstheme="minorHAnsi" w:hint="eastAsia"/>
        </w:rPr>
        <w:t>核發證照之主管機關有權訂定設立標準</w:t>
      </w:r>
    </w:p>
    <w:p w:rsidR="00E269E8" w:rsidRDefault="00E269E8" w:rsidP="00E269E8">
      <w:pPr>
        <w:pStyle w:val="a3"/>
        <w:numPr>
          <w:ilvl w:val="2"/>
          <w:numId w:val="2"/>
        </w:numPr>
        <w:spacing w:line="440" w:lineRule="exact"/>
        <w:ind w:leftChars="0"/>
        <w:rPr>
          <w:rFonts w:eastAsia="微軟正黑體" w:cstheme="minorHAnsi" w:hint="eastAsia"/>
        </w:rPr>
      </w:pPr>
      <w:r>
        <w:rPr>
          <w:rFonts w:ascii="微軟正黑體" w:eastAsia="微軟正黑體" w:hAnsi="微軟正黑體" w:cstheme="minorHAnsi" w:hint="eastAsia"/>
        </w:rPr>
        <w:t>銀行監理機關有權訂定標準，審核銀行重大收購或投資案件</w:t>
      </w:r>
    </w:p>
    <w:p w:rsidR="00EE0365" w:rsidRDefault="00EE0365" w:rsidP="00EE0365">
      <w:pPr>
        <w:pStyle w:val="a3"/>
        <w:numPr>
          <w:ilvl w:val="1"/>
          <w:numId w:val="2"/>
        </w:numPr>
        <w:spacing w:line="440" w:lineRule="exact"/>
        <w:ind w:leftChars="0"/>
        <w:rPr>
          <w:rFonts w:eastAsia="微軟正黑體" w:cstheme="minorHAnsi" w:hint="eastAsia"/>
        </w:rPr>
      </w:pPr>
      <w:r>
        <w:rPr>
          <w:rFonts w:eastAsia="微軟正黑體" w:cstheme="minorHAnsi" w:hint="eastAsia"/>
        </w:rPr>
        <w:t>審慎得法令規定</w:t>
      </w:r>
    </w:p>
    <w:p w:rsidR="00E269E8" w:rsidRDefault="00E269E8" w:rsidP="00E269E8">
      <w:pPr>
        <w:pStyle w:val="a3"/>
        <w:numPr>
          <w:ilvl w:val="2"/>
          <w:numId w:val="2"/>
        </w:numPr>
        <w:spacing w:line="440" w:lineRule="exact"/>
        <w:ind w:leftChars="0"/>
        <w:rPr>
          <w:rFonts w:eastAsia="微軟正黑體" w:cstheme="minorHAnsi" w:hint="eastAsia"/>
        </w:rPr>
      </w:pPr>
      <w:r>
        <w:rPr>
          <w:rFonts w:eastAsia="微軟正黑體" w:cstheme="minorHAnsi" w:hint="eastAsia"/>
        </w:rPr>
        <w:t>銀行監理機關應為所有銀行訂定審慎而妥適的最低資本適足限額規定，已充分反映銀行所承擔之風險</w:t>
      </w:r>
    </w:p>
    <w:p w:rsidR="00E269E8" w:rsidRDefault="00E269E8" w:rsidP="00E269E8">
      <w:pPr>
        <w:pStyle w:val="a3"/>
        <w:numPr>
          <w:ilvl w:val="2"/>
          <w:numId w:val="2"/>
        </w:numPr>
        <w:spacing w:line="440" w:lineRule="exact"/>
        <w:ind w:leftChars="0"/>
        <w:rPr>
          <w:rFonts w:eastAsia="微軟正黑體" w:cstheme="minorHAnsi" w:hint="eastAsia"/>
        </w:rPr>
      </w:pPr>
      <w:r>
        <w:rPr>
          <w:rFonts w:eastAsia="微軟正黑體" w:cstheme="minorHAnsi" w:hint="eastAsia"/>
        </w:rPr>
        <w:t>必須對銀行辦理有利害關係公司及個人</w:t>
      </w:r>
      <w:proofErr w:type="gramStart"/>
      <w:r>
        <w:rPr>
          <w:rFonts w:eastAsia="微軟正黑體" w:cstheme="minorHAnsi" w:hint="eastAsia"/>
        </w:rPr>
        <w:t>借款妥訂規範</w:t>
      </w:r>
      <w:proofErr w:type="gramEnd"/>
      <w:r>
        <w:rPr>
          <w:rFonts w:eastAsia="微軟正黑體" w:cstheme="minorHAnsi" w:hint="eastAsia"/>
        </w:rPr>
        <w:t>，避免銀行關係人借款的濫用</w:t>
      </w:r>
    </w:p>
    <w:p w:rsidR="00E269E8" w:rsidRDefault="00E269E8" w:rsidP="00E269E8">
      <w:pPr>
        <w:pStyle w:val="a3"/>
        <w:numPr>
          <w:ilvl w:val="2"/>
          <w:numId w:val="2"/>
        </w:numPr>
        <w:spacing w:line="440" w:lineRule="exact"/>
        <w:ind w:leftChars="0"/>
        <w:rPr>
          <w:rFonts w:eastAsia="微軟正黑體" w:cstheme="minorHAnsi" w:hint="eastAsia"/>
        </w:rPr>
      </w:pPr>
      <w:r>
        <w:rPr>
          <w:rFonts w:eastAsia="微軟正黑體" w:cstheme="minorHAnsi" w:hint="eastAsia"/>
        </w:rPr>
        <w:t>風險</w:t>
      </w:r>
    </w:p>
    <w:p w:rsidR="00E269E8" w:rsidRDefault="00E269E8" w:rsidP="00E269E8">
      <w:pPr>
        <w:pStyle w:val="a3"/>
        <w:numPr>
          <w:ilvl w:val="3"/>
          <w:numId w:val="2"/>
        </w:numPr>
        <w:spacing w:line="440" w:lineRule="exact"/>
        <w:ind w:leftChars="0"/>
        <w:rPr>
          <w:rFonts w:eastAsia="微軟正黑體" w:cstheme="minorHAnsi" w:hint="eastAsia"/>
        </w:rPr>
      </w:pPr>
      <w:r>
        <w:rPr>
          <w:rFonts w:eastAsia="微軟正黑體" w:cstheme="minorHAnsi" w:hint="eastAsia"/>
        </w:rPr>
        <w:t>維持風險適足的損失準備</w:t>
      </w:r>
    </w:p>
    <w:p w:rsidR="00E269E8" w:rsidRDefault="00E269E8" w:rsidP="00E269E8">
      <w:pPr>
        <w:pStyle w:val="a3"/>
        <w:numPr>
          <w:ilvl w:val="3"/>
          <w:numId w:val="2"/>
        </w:numPr>
        <w:spacing w:line="440" w:lineRule="exact"/>
        <w:ind w:leftChars="0"/>
        <w:rPr>
          <w:rFonts w:eastAsia="微軟正黑體" w:cstheme="minorHAnsi" w:hint="eastAsia"/>
        </w:rPr>
      </w:pPr>
      <w:r>
        <w:rPr>
          <w:rFonts w:eastAsia="微軟正黑體" w:cstheme="minorHAnsi" w:hint="eastAsia"/>
        </w:rPr>
        <w:t>適當的風險控制系統</w:t>
      </w:r>
    </w:p>
    <w:p w:rsidR="00E269E8" w:rsidRDefault="00E269E8" w:rsidP="00E269E8">
      <w:pPr>
        <w:pStyle w:val="a3"/>
        <w:numPr>
          <w:ilvl w:val="3"/>
          <w:numId w:val="2"/>
        </w:numPr>
        <w:spacing w:line="440" w:lineRule="exact"/>
        <w:ind w:leftChars="0"/>
        <w:rPr>
          <w:rFonts w:eastAsia="微軟正黑體" w:cstheme="minorHAnsi" w:hint="eastAsia"/>
        </w:rPr>
      </w:pPr>
      <w:r>
        <w:rPr>
          <w:rFonts w:eastAsia="微軟正黑體" w:cstheme="minorHAnsi" w:hint="eastAsia"/>
        </w:rPr>
        <w:t>針對各風險維持相當資本</w:t>
      </w:r>
    </w:p>
    <w:p w:rsidR="00E269E8" w:rsidRDefault="00E269E8" w:rsidP="00E269E8">
      <w:pPr>
        <w:pStyle w:val="a3"/>
        <w:numPr>
          <w:ilvl w:val="2"/>
          <w:numId w:val="2"/>
        </w:numPr>
        <w:spacing w:line="440" w:lineRule="exact"/>
        <w:ind w:leftChars="0"/>
        <w:rPr>
          <w:rFonts w:eastAsia="微軟正黑體" w:cstheme="minorHAnsi" w:hint="eastAsia"/>
        </w:rPr>
      </w:pPr>
      <w:r>
        <w:rPr>
          <w:rFonts w:eastAsia="微軟正黑體" w:cstheme="minorHAnsi" w:hint="eastAsia"/>
        </w:rPr>
        <w:t>根據銀行業務及規模有適切的內部控制</w:t>
      </w:r>
    </w:p>
    <w:p w:rsidR="00E269E8" w:rsidRDefault="00E269E8" w:rsidP="00E269E8">
      <w:pPr>
        <w:pStyle w:val="a3"/>
        <w:numPr>
          <w:ilvl w:val="2"/>
          <w:numId w:val="2"/>
        </w:numPr>
        <w:spacing w:line="440" w:lineRule="exact"/>
        <w:ind w:leftChars="0"/>
        <w:rPr>
          <w:rFonts w:eastAsia="微軟正黑體" w:cstheme="minorHAnsi" w:hint="eastAsia"/>
        </w:rPr>
      </w:pPr>
      <w:r>
        <w:rPr>
          <w:rFonts w:eastAsia="微軟正黑體" w:cstheme="minorHAnsi" w:hint="eastAsia"/>
        </w:rPr>
        <w:t>有效的銀行監控制度應兼具實地檢查與場外監理</w:t>
      </w:r>
    </w:p>
    <w:p w:rsidR="00E269E8" w:rsidRPr="00E269E8" w:rsidRDefault="00E269E8" w:rsidP="00E269E8">
      <w:pPr>
        <w:pStyle w:val="a3"/>
        <w:numPr>
          <w:ilvl w:val="2"/>
          <w:numId w:val="2"/>
        </w:numPr>
        <w:spacing w:line="440" w:lineRule="exact"/>
        <w:ind w:leftChars="0"/>
        <w:rPr>
          <w:rFonts w:eastAsia="微軟正黑體" w:cstheme="minorHAnsi" w:hint="eastAsia"/>
        </w:rPr>
      </w:pPr>
      <w:r>
        <w:rPr>
          <w:rFonts w:eastAsia="微軟正黑體" w:cstheme="minorHAnsi" w:hint="eastAsia"/>
        </w:rPr>
        <w:t>銀行監理機關必須定期與銀行管理階層聯繫並徹底了解銀行營運情況</w:t>
      </w:r>
    </w:p>
    <w:p w:rsidR="00EE0365" w:rsidRDefault="00EE0365" w:rsidP="00EE0365">
      <w:pPr>
        <w:pStyle w:val="a3"/>
        <w:numPr>
          <w:ilvl w:val="1"/>
          <w:numId w:val="2"/>
        </w:numPr>
        <w:spacing w:line="440" w:lineRule="exact"/>
        <w:ind w:leftChars="0"/>
        <w:rPr>
          <w:rFonts w:eastAsia="微軟正黑體" w:cstheme="minorHAnsi" w:hint="eastAsia"/>
        </w:rPr>
      </w:pPr>
      <w:r>
        <w:rPr>
          <w:rFonts w:eastAsia="微軟正黑體" w:cstheme="minorHAnsi" w:hint="eastAsia"/>
        </w:rPr>
        <w:t>資訊及必備條件</w:t>
      </w:r>
    </w:p>
    <w:p w:rsidR="00E269E8" w:rsidRDefault="00E269E8" w:rsidP="00E269E8">
      <w:pPr>
        <w:pStyle w:val="a3"/>
        <w:spacing w:line="440" w:lineRule="exact"/>
        <w:ind w:leftChars="0" w:left="960"/>
        <w:rPr>
          <w:rFonts w:eastAsia="微軟正黑體" w:cstheme="minorHAnsi" w:hint="eastAsia"/>
        </w:rPr>
      </w:pPr>
      <w:r>
        <w:rPr>
          <w:rFonts w:eastAsia="微軟正黑體" w:cstheme="minorHAnsi" w:hint="eastAsia"/>
        </w:rPr>
        <w:t>必須確信各銀行案一致性的會計政策及作業程序妥適記帳</w:t>
      </w:r>
    </w:p>
    <w:p w:rsidR="00EE0365" w:rsidRDefault="00EE0365" w:rsidP="00EE0365">
      <w:pPr>
        <w:pStyle w:val="a3"/>
        <w:numPr>
          <w:ilvl w:val="1"/>
          <w:numId w:val="2"/>
        </w:numPr>
        <w:spacing w:line="440" w:lineRule="exact"/>
        <w:ind w:leftChars="0"/>
        <w:rPr>
          <w:rFonts w:eastAsia="微軟正黑體" w:cstheme="minorHAnsi" w:hint="eastAsia"/>
        </w:rPr>
      </w:pPr>
      <w:r>
        <w:rPr>
          <w:rFonts w:eastAsia="微軟正黑體" w:cstheme="minorHAnsi" w:hint="eastAsia"/>
        </w:rPr>
        <w:lastRenderedPageBreak/>
        <w:t>管理機關得職權</w:t>
      </w:r>
    </w:p>
    <w:p w:rsidR="00E449F2" w:rsidRDefault="00E269E8" w:rsidP="00557B2C">
      <w:pPr>
        <w:spacing w:line="440" w:lineRule="exact"/>
        <w:ind w:left="960"/>
        <w:rPr>
          <w:rFonts w:eastAsia="微軟正黑體" w:cstheme="minorHAnsi" w:hint="eastAsia"/>
        </w:rPr>
      </w:pPr>
      <w:r>
        <w:rPr>
          <w:rFonts w:eastAsia="微軟正黑體" w:cstheme="minorHAnsi" w:hint="eastAsia"/>
        </w:rPr>
        <w:t>銀行未能符合審慎規定，銀行監理機關必須能採取監控措施及時予以導正，嚴重時可以撤銷其銀行執照</w:t>
      </w:r>
    </w:p>
    <w:p w:rsidR="00E449F2" w:rsidRDefault="00E269E8" w:rsidP="00557B2C">
      <w:pPr>
        <w:spacing w:line="440" w:lineRule="exact"/>
        <w:ind w:left="960"/>
        <w:rPr>
          <w:rFonts w:eastAsia="微軟正黑體" w:cstheme="minorHAnsi" w:hint="eastAsia"/>
        </w:rPr>
      </w:pPr>
      <w:r>
        <w:rPr>
          <w:rFonts w:ascii="微軟正黑體" w:eastAsia="微軟正黑體" w:hAnsi="微軟正黑體" w:cstheme="minorHAnsi" w:hint="eastAsia"/>
        </w:rPr>
        <w:t>「」</w:t>
      </w:r>
    </w:p>
    <w:p w:rsidR="00E449F2" w:rsidRDefault="00E449F2" w:rsidP="00557B2C">
      <w:pPr>
        <w:spacing w:line="440" w:lineRule="exact"/>
        <w:ind w:left="960"/>
        <w:rPr>
          <w:rFonts w:eastAsia="微軟正黑體" w:cstheme="minorHAnsi" w:hint="eastAsia"/>
        </w:rPr>
      </w:pPr>
    </w:p>
    <w:p w:rsidR="00E449F2" w:rsidRPr="00557B2C" w:rsidRDefault="00E449F2" w:rsidP="00557B2C">
      <w:pPr>
        <w:spacing w:line="440" w:lineRule="exact"/>
        <w:ind w:left="960"/>
        <w:rPr>
          <w:rFonts w:eastAsia="微軟正黑體" w:cstheme="minorHAnsi"/>
        </w:rPr>
      </w:pPr>
    </w:p>
    <w:sectPr w:rsidR="00E449F2" w:rsidRPr="00557B2C" w:rsidSect="00AF1E5D">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497C0D"/>
    <w:multiLevelType w:val="hybridMultilevel"/>
    <w:tmpl w:val="905829BA"/>
    <w:lvl w:ilvl="0" w:tplc="04090015">
      <w:start w:val="1"/>
      <w:numFmt w:val="taiwaneseCountingThousand"/>
      <w:lvlText w:val="%1、"/>
      <w:lvlJc w:val="left"/>
      <w:pPr>
        <w:ind w:left="480" w:hanging="480"/>
      </w:pPr>
    </w:lvl>
    <w:lvl w:ilvl="1" w:tplc="0409000F">
      <w:start w:val="1"/>
      <w:numFmt w:val="decimal"/>
      <w:lvlText w:val="%2."/>
      <w:lvlJc w:val="left"/>
      <w:pPr>
        <w:ind w:left="960" w:hanging="480"/>
      </w:pPr>
      <w:rPr>
        <w:rFonts w:hint="eastAsia"/>
      </w:rPr>
    </w:lvl>
    <w:lvl w:ilvl="2" w:tplc="04090011">
      <w:start w:val="1"/>
      <w:numFmt w:val="upperLetter"/>
      <w:lvlText w:val="%3."/>
      <w:lvlJc w:val="left"/>
      <w:pPr>
        <w:ind w:left="1440" w:hanging="480"/>
      </w:pPr>
    </w:lvl>
    <w:lvl w:ilvl="3" w:tplc="04090013">
      <w:start w:val="1"/>
      <w:numFmt w:val="upperRoman"/>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C8D005B"/>
    <w:multiLevelType w:val="hybridMultilevel"/>
    <w:tmpl w:val="0E902878"/>
    <w:lvl w:ilvl="0" w:tplc="0409000F">
      <w:start w:val="1"/>
      <w:numFmt w:val="decimal"/>
      <w:lvlText w:val="%1."/>
      <w:lvlJc w:val="left"/>
      <w:pPr>
        <w:ind w:left="960" w:hanging="480"/>
      </w:pPr>
    </w:lvl>
    <w:lvl w:ilvl="1" w:tplc="04090011">
      <w:start w:val="1"/>
      <w:numFmt w:val="upperLetter"/>
      <w:lvlText w:val="%2."/>
      <w:lvlJc w:val="left"/>
      <w:pPr>
        <w:ind w:left="1440" w:hanging="480"/>
      </w:pPr>
    </w:lvl>
    <w:lvl w:ilvl="2" w:tplc="04090013">
      <w:start w:val="1"/>
      <w:numFmt w:val="upperRoman"/>
      <w:lvlText w:val="%3."/>
      <w:lvlJc w:val="lef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42F32307"/>
    <w:multiLevelType w:val="hybridMultilevel"/>
    <w:tmpl w:val="9948E8B4"/>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
    <w:nsid w:val="48F92DCE"/>
    <w:multiLevelType w:val="hybridMultilevel"/>
    <w:tmpl w:val="035A08C2"/>
    <w:lvl w:ilvl="0" w:tplc="04090011">
      <w:start w:val="1"/>
      <w:numFmt w:val="upperLetter"/>
      <w:lvlText w:val="%1."/>
      <w:lvlJc w:val="left"/>
      <w:pPr>
        <w:ind w:left="1440" w:hanging="480"/>
      </w:pPr>
    </w:lvl>
    <w:lvl w:ilvl="1" w:tplc="04090013">
      <w:start w:val="1"/>
      <w:numFmt w:val="upperRoman"/>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587678D5"/>
    <w:multiLevelType w:val="hybridMultilevel"/>
    <w:tmpl w:val="B7E4295C"/>
    <w:lvl w:ilvl="0" w:tplc="0409000F">
      <w:start w:val="1"/>
      <w:numFmt w:val="decimal"/>
      <w:lvlText w:val="%1."/>
      <w:lvlJc w:val="left"/>
      <w:pPr>
        <w:ind w:left="1440" w:hanging="480"/>
      </w:p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nsid w:val="686F27F4"/>
    <w:multiLevelType w:val="hybridMultilevel"/>
    <w:tmpl w:val="E876BE9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E5D"/>
    <w:rsid w:val="000E22A4"/>
    <w:rsid w:val="001B68CC"/>
    <w:rsid w:val="0028163C"/>
    <w:rsid w:val="002E24D7"/>
    <w:rsid w:val="00431686"/>
    <w:rsid w:val="00557B2C"/>
    <w:rsid w:val="0060780C"/>
    <w:rsid w:val="00794D5E"/>
    <w:rsid w:val="007E570D"/>
    <w:rsid w:val="0088409B"/>
    <w:rsid w:val="008A16BA"/>
    <w:rsid w:val="008A17B1"/>
    <w:rsid w:val="00AF1E5D"/>
    <w:rsid w:val="00C30AEC"/>
    <w:rsid w:val="00D1709A"/>
    <w:rsid w:val="00E269E8"/>
    <w:rsid w:val="00E449F2"/>
    <w:rsid w:val="00ED5048"/>
    <w:rsid w:val="00EE0365"/>
    <w:rsid w:val="00F5409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E5D"/>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1E5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6E69C-57B4-43FC-AA20-657608F84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171</Words>
  <Characters>977</Characters>
  <Application>Microsoft Office Word</Application>
  <DocSecurity>0</DocSecurity>
  <Lines>8</Lines>
  <Paragraphs>2</Paragraphs>
  <ScaleCrop>false</ScaleCrop>
  <Company/>
  <LinksUpToDate>false</LinksUpToDate>
  <CharactersWithSpaces>1146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數位資訊部  企金平台系統科 宋念遠</dc:creator>
  <cp:lastModifiedBy>數位資訊部  企金平台系統科 宋念遠</cp:lastModifiedBy>
  <cp:revision>5</cp:revision>
  <dcterms:created xsi:type="dcterms:W3CDTF">2016-07-04T02:07:00Z</dcterms:created>
  <dcterms:modified xsi:type="dcterms:W3CDTF">2016-07-04T03:00:00Z</dcterms:modified>
</cp:coreProperties>
</file>