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G-HeSS AI Agent</w:t>
      </w:r>
    </w:p>
    <w:p>
      <w:pPr>
        <w:pStyle w:val="Heading1"/>
      </w:pPr>
      <w:r>
        <w:t>첨부·DeDRM·문서 생성 포함 보수적 서버 용량</w:t>
      </w:r>
    </w:p>
    <w:p>
      <w:r>
        <w:rPr>
          <w:b w:val="0"/>
        </w:rPr>
        <w:t>기준일: 2026-09-30 | 문서 버전: 2.0 | Milvus 전체 자원 산정 제외</w:t>
      </w:r>
    </w:p>
    <w:p>
      <w:pPr>
        <w:pStyle w:val="Heading2"/>
      </w:pPr>
      <w:r>
        <w:t>1. 재산정 결론</w:t>
      </w:r>
    </w:p>
    <w:p>
      <w:r>
        <w:rPr>
          <w:b w:val="0"/>
        </w:rPr>
        <w:t>사용자 요청에 따라 파일 첨부, 필요 시 DeDRM, 파싱·OCR·임베딩 요청, 긴 문서 초안 작성, DOCX/PPTX 조립·미리보기·다운로드를 포함했다. 기존 검색·짧은 답변 중심의 38 vCPU·268GiB 합계를 이번 산정에 사용하지 않는다. Milvus의 CPU·RAM·디스크·보조 서비스는 모두 재산정 대상에서 제외했다.</w:t>
      </w:r>
    </w:p>
    <w:p>
      <w:r>
        <w:rPr>
          <w:b/>
        </w:rPr>
        <w:t>보수 준비 목표 5요청/초에서 애플리케이션·CPU 작업자·DB 등 역할별 할당 합계는 354 vCPU / 804GiB다.</w:t>
      </w:r>
      <w:r>
        <w:rPr>
          <w:b w:val="0"/>
        </w:rPr>
        <w:t xml:space="preserve"> OS·플랫폼 예약 20%까지 별도로 확보하면 기반 호스트 풀은 최소 443 vCPU / 1005GiB가 필요하다. 현재 스냅샷의 편성 예산은 </w:t>
      </w:r>
      <w:r>
        <w:rPr>
          <w:b/>
        </w:rPr>
        <w:t>448 vCPU / 1,024GiB 이상</w:t>
      </w:r>
      <w:r>
        <w:rPr>
          <w:b w:val="0"/>
        </w:rPr>
        <w:t>으로 올려 잡는다. VM/컨테이너 풀 합계이며 물리 서버 대수·물리 코어 수가 아니다.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4706"/>
            <w:shd w:fill="4747B3"/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18"/>
              </w:rPr>
              <w:t>별도 준비 항목</w:t>
            </w:r>
          </w:p>
        </w:tc>
        <w:tc>
          <w:tcPr>
            <w:tcW w:type="dxa" w:w="4706"/>
            <w:shd w:fill="4747B3"/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18"/>
              </w:rPr>
              <w:t>보수 계획량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신규 첨부·결과·메타·백업 논리 저장소</w:t>
            </w:r>
          </w:p>
        </w:tc>
        <w:tc>
          <w:tcPr>
            <w:tcW w:type="dxa" w:w="4706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22.77TiB → 24TiB 준비</w:t>
            </w:r>
          </w:p>
        </w:tc>
      </w:tr>
      <w:tr>
        <w:trPr>
          <w:cantSplit/>
        </w:trPr>
        <w:tc>
          <w:tcPr>
            <w:tcW w:type="dxa" w:w="4706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파일 작업자 로컬 임시 SSD</w:t>
            </w:r>
          </w:p>
        </w:tc>
        <w:tc>
          <w:tcPr>
            <w:tcW w:type="dxa" w:w="4706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역할별 합계 2,900GiB, OS·DB 디스크 별도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사내 LLM 온라인 쿼터</w:t>
            </w:r>
          </w:p>
        </w:tc>
        <w:tc>
          <w:tcPr>
            <w:tcW w:type="dxa" w:w="4706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동시 1,300 / 924 RPM / 합산 6,644,000 TPM</w:t>
            </w:r>
          </w:p>
        </w:tc>
      </w:tr>
      <w:tr>
        <w:trPr>
          <w:cantSplit/>
        </w:trPr>
        <w:tc>
          <w:tcPr>
            <w:tcW w:type="dxa" w:w="4706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사내 임베딩 쿼터</w:t>
            </w:r>
          </w:p>
        </w:tc>
        <w:tc>
          <w:tcPr>
            <w:tcW w:type="dxa" w:w="4706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첨부 900청크/초 + 질의 8.33건/초, 21,675,000 TPM</w:t>
            </w:r>
          </w:p>
        </w:tc>
      </w:tr>
    </w:tbl>
    <w:p>
      <w:pPr>
        <w:spacing w:after="0"/>
      </w:pPr>
    </w:p>
    <w:p>
      <w:r>
        <w:rPr>
          <w:b w:val="0"/>
        </w:rPr>
        <w:t xml:space="preserve">LLM·임베딩은 사내 추론 서비스를 이용하는 전제다. </w:t>
      </w:r>
      <w:r>
        <w:rPr>
          <w:b/>
        </w:rPr>
        <w:t>그 추론 서버 CPU/GPU는 위 합계에 포함되지 않는다.</w:t>
      </w:r>
      <w:r>
        <w:rPr>
          <w:b w:val="0"/>
        </w:rPr>
        <w:t xml:space="preserve"> 자체 추론이 필요하면 모델·하드웨어 실측으로 별도 산정한다. 객체 저장소 하드웨어와 네트워크 장비도 역할별 CPU/RAM 합계 밖이다.</w:t>
      </w:r>
    </w:p>
    <w:p>
      <w:pPr>
        <w:pStyle w:val="Heading2"/>
      </w:pPr>
      <w:r>
        <w:t>확정 정보와 보수적 가정</w:t>
      </w:r>
    </w:p>
    <w:p>
      <w:r>
        <w:rPr>
          <w:b w:val="0"/>
        </w:rPr>
        <w:t xml:space="preserve">확정 입력은 약 1,500명/일, 09~18시 9시간, Milvus 제외 요청이다. 나머지는 실측 전 계획 가정이다. 총 15,000요청/일 중 첨부 비율 30%·첨부당 2파일, 초안 비율 20%를 가정한다. 즉 신규 파일 </w:t>
      </w:r>
      <w:r>
        <w:rPr>
          <w:b/>
        </w:rPr>
        <w:t>9,000개/일</w:t>
      </w:r>
      <w:r>
        <w:rPr>
          <w:b w:val="0"/>
        </w:rPr>
        <w:t xml:space="preserve">, 초안 </w:t>
      </w:r>
      <w:r>
        <w:rPr>
          <w:b/>
        </w:rPr>
        <w:t>3,000건/일</w:t>
      </w:r>
      <w:r>
        <w:rPr>
          <w:b w:val="0"/>
        </w:rPr>
        <w:t>까지 보는 높은 사용량이다. 실제 수요 확인 없이 이 수치를 구매 확정량으로 해석하지 않는다.</w:t>
      </w:r>
    </w:p>
    <w:p>
      <w:r>
        <w:br w:type="page"/>
      </w:r>
    </w:p>
    <w:p>
      <w:pPr>
        <w:pStyle w:val="Heading1"/>
      </w:pPr>
      <w:r>
        <w:t>2. 요청·첨부·초안의 부하 가정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835"/>
        <w:gridCol w:w="4309"/>
      </w:tblGrid>
      <w:tr>
        <w:trPr>
          <w:cantSplit/>
          <w:tblHeader/>
        </w:trPr>
        <w:tc>
          <w:tcPr>
            <w:tcW w:type="dxa" w:w="2268"/>
            <w:shd w:fill="4747B3"/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835"/>
            <w:shd w:fill="4747B3"/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18"/>
              </w:rPr>
              <w:t>가정</w:t>
            </w:r>
          </w:p>
        </w:tc>
        <w:tc>
          <w:tcPr>
            <w:tcW w:type="dxa" w:w="4309"/>
            <w:shd w:fill="4747B3"/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18"/>
              </w:rPr>
              <w:t>해석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요청 빈도</w:t>
            </w:r>
          </w:p>
        </w:tc>
        <w:tc>
          <w:tcPr>
            <w:tcW w:type="dxa" w:w="2835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1인당 10회/일</w:t>
            </w:r>
          </w:p>
        </w:tc>
        <w:tc>
          <w:tcPr>
            <w:tcW w:type="dxa" w:w="4309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검색·답변 또는 초안 생성 요청의 합계</w:t>
            </w:r>
          </w:p>
        </w:tc>
      </w:tr>
      <w:tr>
        <w:trPr>
          <w:cantSplit/>
        </w:trPr>
        <w:tc>
          <w:tcPr>
            <w:tcW w:type="dxa" w:w="2268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평균 / 예상 피크</w:t>
            </w:r>
          </w:p>
        </w:tc>
        <w:tc>
          <w:tcPr>
            <w:tcW w:type="dxa" w:w="2835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0.463 / 3.704 QPS</w:t>
            </w:r>
          </w:p>
        </w:tc>
        <w:tc>
          <w:tcPr>
            <w:tcW w:type="dxa" w:w="4309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9시간 평균의 8배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준비 / 집중 시험</w:t>
            </w:r>
          </w:p>
        </w:tc>
        <w:tc>
          <w:tcPr>
            <w:tcW w:type="dxa" w:w="2835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5 / 10 QPS</w:t>
            </w:r>
          </w:p>
        </w:tc>
        <w:tc>
          <w:tcPr>
            <w:tcW w:type="dxa" w:w="4309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피크를 9시간 내내 유지하는 일일량은 아님</w:t>
            </w:r>
          </w:p>
        </w:tc>
      </w:tr>
      <w:tr>
        <w:trPr>
          <w:cantSplit/>
        </w:trPr>
        <w:tc>
          <w:tcPr>
            <w:tcW w:type="dxa" w:w="2268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첨부</w:t>
            </w:r>
          </w:p>
        </w:tc>
        <w:tc>
          <w:tcPr>
            <w:tcW w:type="dxa" w:w="2835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30%, 2개 × 10MB</w:t>
            </w:r>
          </w:p>
        </w:tc>
        <w:tc>
          <w:tcPr>
            <w:tcW w:type="dxa" w:w="4309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파일당 평균 30페이지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DeDRM / OCR</w:t>
            </w:r>
          </w:p>
        </w:tc>
        <w:tc>
          <w:tcPr>
            <w:tcW w:type="dxa" w:w="2835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파일 50% / 페이지 50%</w:t>
            </w:r>
          </w:p>
        </w:tc>
        <w:tc>
          <w:tcPr>
            <w:tcW w:type="dxa" w:w="4309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서로 독립 비율, 같은 파일에서 모두 수행 가능</w:t>
            </w:r>
          </w:p>
        </w:tc>
      </w:tr>
      <w:tr>
        <w:trPr>
          <w:cantSplit/>
        </w:trPr>
        <w:tc>
          <w:tcPr>
            <w:tcW w:type="dxa" w:w="2268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문서 초안</w:t>
            </w:r>
          </w:p>
        </w:tc>
        <w:tc>
          <w:tcPr>
            <w:tcW w:type="dxa" w:w="2835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20%, DOCX 60% / PPTX 40%</w:t>
            </w:r>
          </w:p>
        </w:tc>
        <w:tc>
          <w:tcPr>
            <w:tcW w:type="dxa" w:w="4309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DOCX 10쪽 / PPTX 20장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CPU/모델 목표 이용률</w:t>
            </w:r>
          </w:p>
        </w:tc>
        <w:tc>
          <w:tcPr>
            <w:tcW w:type="dxa" w:w="2835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60%</w:t>
            </w:r>
          </w:p>
        </w:tc>
        <w:tc>
          <w:tcPr>
            <w:tcW w:type="dxa" w:w="4309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평균 작업 비용 기준에 40% 비점유 여유</w:t>
            </w:r>
          </w:p>
        </w:tc>
      </w:tr>
    </w:tbl>
    <w:p>
      <w:pPr>
        <w:spacing w:after="0"/>
      </w:pPr>
    </w:p>
    <w:p>
      <w:r>
        <w:rPr>
          <w:b w:val="0"/>
        </w:rPr>
        <w:t>일반 답변과 초안 요청은 각각 80%·20%로 배타적이다. 첨부 30%는 두 요청 종류에 걸쳐 겹칠 수 있는 속성이다. 따라서 첨부를 제3의 별도 요청으로 더하지 않으며, 초안에 대해 일반 채팅 생성 호출을 중복 가산하지 않는다. 첨부 재사용·캐시 적중·중복 제거로 얻는 절감은 0으로 둔다.</w:t>
      </w:r>
    </w:p>
    <w:p>
      <w:pPr>
        <w:pStyle w:val="Heading2"/>
      </w:pPr>
      <w:r>
        <w:t>작업당 CPU 시간·점유 시간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835"/>
        <w:gridCol w:w="4309"/>
      </w:tblGrid>
      <w:tr>
        <w:trPr>
          <w:cantSplit/>
          <w:tblHeader/>
        </w:trPr>
        <w:tc>
          <w:tcPr>
            <w:tcW w:type="dxa" w:w="2268"/>
            <w:shd w:fill="4747B3"/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18"/>
              </w:rPr>
              <w:t>작업</w:t>
            </w:r>
          </w:p>
        </w:tc>
        <w:tc>
          <w:tcPr>
            <w:tcW w:type="dxa" w:w="2835"/>
            <w:shd w:fill="4747B3"/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18"/>
              </w:rPr>
              <w:t>CPU 시간 가정</w:t>
            </w:r>
          </w:p>
        </w:tc>
        <w:tc>
          <w:tcPr>
            <w:tcW w:type="dxa" w:w="4309"/>
            <w:shd w:fill="4747B3"/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18"/>
              </w:rPr>
              <w:t>작업 슬롯 점유 가정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DeDRM 대상 파일</w:t>
            </w:r>
          </w:p>
        </w:tc>
        <w:tc>
          <w:tcPr>
            <w:tcW w:type="dxa" w:w="2835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2 core-second/파일</w:t>
            </w:r>
          </w:p>
        </w:tc>
        <w:tc>
          <w:tcPr>
            <w:tcW w:type="dxa" w:w="4309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5초/파일, SDK·I/O 대기 포함</w:t>
            </w:r>
          </w:p>
        </w:tc>
      </w:tr>
      <w:tr>
        <w:trPr>
          <w:cantSplit/>
        </w:trPr>
        <w:tc>
          <w:tcPr>
            <w:tcW w:type="dxa" w:w="2268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파싱·이미지 추출</w:t>
            </w:r>
          </w:p>
        </w:tc>
        <w:tc>
          <w:tcPr>
            <w:tcW w:type="dxa" w:w="2835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0.3 core-second/페이지 = 9/파일</w:t>
            </w:r>
          </w:p>
        </w:tc>
        <w:tc>
          <w:tcPr>
            <w:tcW w:type="dxa" w:w="4309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12초/파일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CPU OCR</w:t>
            </w:r>
          </w:p>
        </w:tc>
        <w:tc>
          <w:tcPr>
            <w:tcW w:type="dxa" w:w="2835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2 core-second/OCR 페이지</w:t>
            </w:r>
          </w:p>
        </w:tc>
        <w:tc>
          <w:tcPr>
            <w:tcW w:type="dxa" w:w="4309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2초/페이지, 단일 코어 환산</w:t>
            </w:r>
          </w:p>
        </w:tc>
      </w:tr>
      <w:tr>
        <w:trPr>
          <w:cantSplit/>
        </w:trPr>
        <w:tc>
          <w:tcPr>
            <w:tcW w:type="dxa" w:w="2268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DOCX 조립·미리보기</w:t>
            </w:r>
          </w:p>
        </w:tc>
        <w:tc>
          <w:tcPr>
            <w:tcW w:type="dxa" w:w="2835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8 core-second/결과</w:t>
            </w:r>
          </w:p>
        </w:tc>
        <w:tc>
          <w:tcPr>
            <w:tcW w:type="dxa" w:w="4309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10초/결과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PPTX 조립·미리보기</w:t>
            </w:r>
          </w:p>
        </w:tc>
        <w:tc>
          <w:tcPr>
            <w:tcW w:type="dxa" w:w="2835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20 core-second/결과</w:t>
            </w:r>
          </w:p>
        </w:tc>
        <w:tc>
          <w:tcPr>
            <w:tcW w:type="dxa" w:w="4309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30초/결과</w:t>
            </w:r>
          </w:p>
        </w:tc>
      </w:tr>
    </w:tbl>
    <w:p>
      <w:pPr>
        <w:spacing w:after="0"/>
      </w:pPr>
    </w:p>
    <w:p>
      <w:r>
        <w:rPr>
          <w:b w:val="0"/>
        </w:rPr>
        <w:t>실측 성능이나 라이브러리 벤치마크가 아니다. 템플릿·표·기존 이미지·차트 삽입과 선택적 미리보기까지 위한 예산이다. 생성형 이미지·영상 제작은 포함하지 않는다. OCR은 페이지를 처리 작업의 대용 단위로 사용했으므로 이미지 수·해상도별 실제 비용으로 반드시 교체한다.</w:t>
      </w:r>
    </w:p>
    <w:p>
      <w:r>
        <w:rPr>
          <w:b w:val="0"/>
        </w:rPr>
        <w:t>5 QPS에서는 첨부 3.0파일/초, 파싱 90페이지/초, OCR 45페이지/초, 초안 1.0건/초를 동시에 준비한다. 100% 스캔 문서 집중 및 큰 파일은 뒤의 민감도·입장 제한 기준을 따른다.</w:t>
      </w:r>
    </w:p>
    <w:p>
      <w:r>
        <w:br w:type="page"/>
      </w:r>
    </w:p>
    <w:p>
      <w:pPr>
        <w:pStyle w:val="Heading1"/>
      </w:pPr>
      <w:r>
        <w:t>3. 서버·작업자별 자원 요청안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2381"/>
        <w:gridCol w:w="2381"/>
        <w:gridCol w:w="2948"/>
      </w:tblGrid>
      <w:tr>
        <w:trPr>
          <w:cantSplit/>
          <w:tblHeader/>
        </w:trPr>
        <w:tc>
          <w:tcPr>
            <w:tcW w:type="dxa" w:w="1701"/>
            <w:shd w:fill="4747B3"/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2381"/>
            <w:shd w:fill="4747B3"/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18"/>
              </w:rPr>
              <w:t>개별 할당</w:t>
            </w:r>
          </w:p>
        </w:tc>
        <w:tc>
          <w:tcPr>
            <w:tcW w:type="dxa" w:w="2381"/>
            <w:shd w:fill="4747B3"/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18"/>
              </w:rPr>
              <w:t>개수</w:t>
            </w:r>
          </w:p>
        </w:tc>
        <w:tc>
          <w:tcPr>
            <w:tcW w:type="dxa" w:w="2948"/>
            <w:shd w:fill="4747B3"/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18"/>
              </w:rPr>
              <w:t>합계 vCPU / GiB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FastAPI</w:t>
            </w:r>
          </w:p>
        </w:tc>
        <w:tc>
          <w:tcPr>
            <w:tcW w:type="dxa" w:w="2381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4 vCPU / 8GiB</w:t>
            </w:r>
          </w:p>
        </w:tc>
        <w:tc>
          <w:tcPr>
            <w:tcW w:type="dxa" w:w="2381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948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12 / 24</w:t>
            </w:r>
          </w:p>
        </w:tc>
      </w:tr>
      <w:tr>
        <w:trPr>
          <w:cantSplit/>
        </w:trPr>
        <w:tc>
          <w:tcPr>
            <w:tcW w:type="dxa" w:w="1701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비동기 작업 조정</w:t>
            </w:r>
          </w:p>
        </w:tc>
        <w:tc>
          <w:tcPr>
            <w:tcW w:type="dxa" w:w="2381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4 vCPU / 8GiB</w:t>
            </w:r>
          </w:p>
        </w:tc>
        <w:tc>
          <w:tcPr>
            <w:tcW w:type="dxa" w:w="2381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948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12 / 24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DeDRM 연계</w:t>
            </w:r>
          </w:p>
        </w:tc>
        <w:tc>
          <w:tcPr>
            <w:tcW w:type="dxa" w:w="2381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4 vCPU / 8GiB</w:t>
            </w:r>
          </w:p>
        </w:tc>
        <w:tc>
          <w:tcPr>
            <w:tcW w:type="dxa" w:w="2381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948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12 / 24</w:t>
            </w:r>
          </w:p>
        </w:tc>
      </w:tr>
      <w:tr>
        <w:trPr>
          <w:cantSplit/>
        </w:trPr>
        <w:tc>
          <w:tcPr>
            <w:tcW w:type="dxa" w:w="1701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파싱·이미지 추출</w:t>
            </w:r>
          </w:p>
        </w:tc>
        <w:tc>
          <w:tcPr>
            <w:tcW w:type="dxa" w:w="2381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16 vCPU / 32GiB</w:t>
            </w:r>
          </w:p>
        </w:tc>
        <w:tc>
          <w:tcPr>
            <w:tcW w:type="dxa" w:w="2381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948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80 / 160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CPU OCR</w:t>
            </w:r>
          </w:p>
        </w:tc>
        <w:tc>
          <w:tcPr>
            <w:tcW w:type="dxa" w:w="2381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16 vCPU / 32GiB</w:t>
            </w:r>
          </w:p>
        </w:tc>
        <w:tc>
          <w:tcPr>
            <w:tcW w:type="dxa" w:w="2381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948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176 / 352</w:t>
            </w:r>
          </w:p>
        </w:tc>
      </w:tr>
      <w:tr>
        <w:trPr>
          <w:cantSplit/>
        </w:trPr>
        <w:tc>
          <w:tcPr>
            <w:tcW w:type="dxa" w:w="1701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DOCX/PPTX 조립·미리보기</w:t>
            </w:r>
          </w:p>
        </w:tc>
        <w:tc>
          <w:tcPr>
            <w:tcW w:type="dxa" w:w="2381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8 vCPU / 32GiB</w:t>
            </w:r>
          </w:p>
        </w:tc>
        <w:tc>
          <w:tcPr>
            <w:tcW w:type="dxa" w:w="2381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948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40 / 160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RDB primary/standby</w:t>
            </w:r>
          </w:p>
        </w:tc>
        <w:tc>
          <w:tcPr>
            <w:tcW w:type="dxa" w:w="2381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4 vCPU / 16GiB</w:t>
            </w:r>
          </w:p>
        </w:tc>
        <w:tc>
          <w:tcPr>
            <w:tcW w:type="dxa" w:w="2381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948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8 / 32</w:t>
            </w:r>
          </w:p>
        </w:tc>
      </w:tr>
      <w:tr>
        <w:trPr>
          <w:cantSplit/>
        </w:trPr>
        <w:tc>
          <w:tcPr>
            <w:tcW w:type="dxa" w:w="1701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Redis 데이터·감시 배치 예산</w:t>
            </w:r>
          </w:p>
        </w:tc>
        <w:tc>
          <w:tcPr>
            <w:tcW w:type="dxa" w:w="2381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2 vCPU / 4GiB</w:t>
            </w:r>
          </w:p>
        </w:tc>
        <w:tc>
          <w:tcPr>
            <w:tcW w:type="dxa" w:w="2381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948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6 / 12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관측·관리</w:t>
            </w:r>
          </w:p>
        </w:tc>
        <w:tc>
          <w:tcPr>
            <w:tcW w:type="dxa" w:w="2381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4 vCPU / 8GiB</w:t>
            </w:r>
          </w:p>
        </w:tc>
        <w:tc>
          <w:tcPr>
            <w:tcW w:type="dxa" w:w="2381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948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8 / 16</w:t>
            </w:r>
          </w:p>
        </w:tc>
      </w:tr>
    </w:tbl>
    <w:p>
      <w:pPr>
        <w:spacing w:after="0"/>
      </w:pPr>
    </w:p>
    <w:p>
      <w:r>
        <w:rPr>
          <w:b/>
        </w:rPr>
        <w:t>역할 합계: 354 vCPU / 804GiB.</w:t>
      </w:r>
      <w:r>
        <w:rPr>
          <w:b w:val="0"/>
        </w:rPr>
        <w:t xml:space="preserve"> 기존 RDB·Redis·관측 서비스를 재사용하면 그 역할의 신규 할당량을 차감한다. Redis는 3개 장애 영역의 데이터 복제·감시 프로세스를 수용하는 임시 예산이며 실제 토폴로지와 승격 정책을 확정해야 한다. RDB는 primary가 쓰기 부하 전체를 처리하는 조건이다.</w:t>
      </w:r>
    </w:p>
    <w:p>
      <w:pPr>
        <w:pStyle w:val="Heading2"/>
      </w:pPr>
      <w:r>
        <w:t>작업자 대수 산정식</w:t>
      </w:r>
    </w:p>
    <w:p>
      <w:r>
        <w:rPr>
          <w:b w:val="0"/>
        </w:rPr>
        <w:t xml:space="preserve">필요 CPU = 초당 작업 × 작업당 core-second ÷ 0.6. 필요 슬롯 = ceil(초당 작업 × 작업당 점유 초 ÷ 0.6). 필요한 활성 작업자 = max(ceil(필요 CPU ÷ 개별 vCPU), ceil(필요 슬롯 ÷ 개별 슬롯)). 여기에 </w:t>
      </w:r>
      <w:r>
        <w:rPr>
          <w:b/>
        </w:rPr>
        <w:t>예비 작업자 1개</w:t>
      </w:r>
      <w:r>
        <w:rPr>
          <w:b w:val="0"/>
        </w:rPr>
        <w:t>를 더한다. CPU와 I/O 대기·메모리 제약을 함께 반영한다.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2154"/>
        <w:gridCol w:w="2154"/>
        <w:gridCol w:w="2154"/>
      </w:tblGrid>
      <w:tr>
        <w:trPr>
          <w:cantSplit/>
          <w:tblHeader/>
        </w:trPr>
        <w:tc>
          <w:tcPr>
            <w:tcW w:type="dxa" w:w="2948"/>
            <w:shd w:fill="4747B3"/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18"/>
              </w:rPr>
              <w:t>작업</w:t>
            </w:r>
          </w:p>
        </w:tc>
        <w:tc>
          <w:tcPr>
            <w:tcW w:type="dxa" w:w="2154"/>
            <w:shd w:fill="4747B3"/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18"/>
              </w:rPr>
              <w:t>초당 작업</w:t>
            </w:r>
          </w:p>
        </w:tc>
        <w:tc>
          <w:tcPr>
            <w:tcW w:type="dxa" w:w="2154"/>
            <w:shd w:fill="4747B3"/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18"/>
              </w:rPr>
              <w:t>필요 CPU</w:t>
            </w:r>
          </w:p>
        </w:tc>
        <w:tc>
          <w:tcPr>
            <w:tcW w:type="dxa" w:w="2154"/>
            <w:shd w:fill="4747B3"/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18"/>
              </w:rPr>
              <w:t>필요 슬롯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DeDRM 연계</w:t>
            </w:r>
          </w:p>
        </w:tc>
        <w:tc>
          <w:tcPr>
            <w:tcW w:type="dxa" w:w="2154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1.5</w:t>
            </w:r>
          </w:p>
        </w:tc>
        <w:tc>
          <w:tcPr>
            <w:tcW w:type="dxa" w:w="2154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5.00</w:t>
            </w:r>
          </w:p>
        </w:tc>
        <w:tc>
          <w:tcPr>
            <w:tcW w:type="dxa" w:w="2154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13</w:t>
            </w:r>
          </w:p>
        </w:tc>
      </w:tr>
      <w:tr>
        <w:trPr>
          <w:cantSplit/>
        </w:trPr>
        <w:tc>
          <w:tcPr>
            <w:tcW w:type="dxa" w:w="2948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파싱·이미지 추출</w:t>
            </w:r>
          </w:p>
        </w:tc>
        <w:tc>
          <w:tcPr>
            <w:tcW w:type="dxa" w:w="2154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3.0</w:t>
            </w:r>
          </w:p>
        </w:tc>
        <w:tc>
          <w:tcPr>
            <w:tcW w:type="dxa" w:w="2154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45.00</w:t>
            </w:r>
          </w:p>
        </w:tc>
        <w:tc>
          <w:tcPr>
            <w:tcW w:type="dxa" w:w="2154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60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CPU OCR</w:t>
            </w:r>
          </w:p>
        </w:tc>
        <w:tc>
          <w:tcPr>
            <w:tcW w:type="dxa" w:w="2154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45.0</w:t>
            </w:r>
          </w:p>
        </w:tc>
        <w:tc>
          <w:tcPr>
            <w:tcW w:type="dxa" w:w="2154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150.00</w:t>
            </w:r>
          </w:p>
        </w:tc>
        <w:tc>
          <w:tcPr>
            <w:tcW w:type="dxa" w:w="2154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150</w:t>
            </w:r>
          </w:p>
        </w:tc>
      </w:tr>
      <w:tr>
        <w:trPr>
          <w:cantSplit/>
        </w:trPr>
        <w:tc>
          <w:tcPr>
            <w:tcW w:type="dxa" w:w="2948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DOCX/PPTX 조립·미리보기</w:t>
            </w:r>
          </w:p>
        </w:tc>
        <w:tc>
          <w:tcPr>
            <w:tcW w:type="dxa" w:w="2154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2154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21.33</w:t>
            </w:r>
          </w:p>
        </w:tc>
        <w:tc>
          <w:tcPr>
            <w:tcW w:type="dxa" w:w="2154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30</w:t>
            </w:r>
          </w:p>
        </w:tc>
      </w:tr>
    </w:tbl>
    <w:p>
      <w:pPr>
        <w:spacing w:after="0"/>
      </w:pPr>
    </w:p>
    <w:p>
      <w:r>
        <w:rPr>
          <w:b w:val="0"/>
        </w:rPr>
        <w:t>DeDRM/파싱/OCR/조립의 개별 동시 슬롯은 각각 8/16/16/8개다. 슬롯당 RSS는 0.5/1/1/2GiB, 프로세스 여유는 2/4/4/4GiB로 가정해 개별 RAM 안에 들어가는지 계산기가 확인한다. OCR·변환 라이브러리의 내부 스레드와 프로세스 수를 함께 제한한다.</w:t>
      </w:r>
    </w:p>
    <w:p>
      <w:r>
        <w:rPr>
          <w:b w:val="0"/>
        </w:rPr>
        <w:t>API·작업 조정·DB·Redis·관측 사양은 부하 시험 시작값이다. 초안 요청은 202 + job ID로 접수하고 LLM 대기와 렌더링을 분리한다. 계획상 활동 초안은 약 907개이므로 조정 서비스는 공유 상태 저장소 기반으로 전체 1,200개 활성 작업, 한 개 중단 시 잔여 두 개 각 600개를 검증한다. 진행 조회 10초 간격에서도 평균 약 54.4 RPS가 추가되며 이를 API 시험에 포함한다.</w:t>
      </w:r>
    </w:p>
    <w:p>
      <w:r>
        <w:br w:type="page"/>
      </w:r>
    </w:p>
    <w:p>
      <w:pPr>
        <w:pStyle w:val="Heading1"/>
      </w:pPr>
      <w:r>
        <w:t>4. LLM 및 임베딩 요구량</w:t>
      </w:r>
    </w:p>
    <w:p>
      <w:pPr>
        <w:pStyle w:val="Heading2"/>
      </w:pPr>
      <w:r>
        <w:t>짧은 답변과 긴 초안을 분리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835"/>
        <w:gridCol w:w="4309"/>
      </w:tblGrid>
      <w:tr>
        <w:trPr>
          <w:cantSplit/>
          <w:tblHeader/>
        </w:trPr>
        <w:tc>
          <w:tcPr>
            <w:tcW w:type="dxa" w:w="2268"/>
            <w:shd w:fill="4747B3"/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18"/>
              </w:rPr>
              <w:t>경로</w:t>
            </w:r>
          </w:p>
        </w:tc>
        <w:tc>
          <w:tcPr>
            <w:tcW w:type="dxa" w:w="2835"/>
            <w:shd w:fill="4747B3"/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18"/>
              </w:rPr>
              <w:t>호출 및 입력 가정</w:t>
            </w:r>
          </w:p>
        </w:tc>
        <w:tc>
          <w:tcPr>
            <w:tcW w:type="dxa" w:w="4309"/>
            <w:shd w:fill="4747B3"/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18"/>
              </w:rPr>
              <w:t>출력 합계 가정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일반 답변 80%</w:t>
            </w:r>
          </w:p>
        </w:tc>
        <w:tc>
          <w:tcPr>
            <w:tcW w:type="dxa" w:w="2835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질문당 평균 1.1회, 호출당 6,000토큰</w:t>
            </w:r>
          </w:p>
        </w:tc>
        <w:tc>
          <w:tcPr>
            <w:tcW w:type="dxa" w:w="4309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호출당 800토큰</w:t>
            </w:r>
          </w:p>
        </w:tc>
      </w:tr>
      <w:tr>
        <w:trPr>
          <w:cantSplit/>
        </w:trPr>
        <w:tc>
          <w:tcPr>
            <w:tcW w:type="dxa" w:w="2268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DOCX 초안</w:t>
            </w:r>
          </w:p>
        </w:tc>
        <w:tc>
          <w:tcPr>
            <w:tcW w:type="dxa" w:w="2835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기본 4회, 호출당 6,000토큰</w:t>
            </w:r>
          </w:p>
        </w:tc>
        <w:tc>
          <w:tcPr>
            <w:tcW w:type="dxa" w:w="4309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기본 작업 전체 6,000토큰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PPTX 초안</w:t>
            </w:r>
          </w:p>
        </w:tc>
        <w:tc>
          <w:tcPr>
            <w:tcW w:type="dxa" w:w="2835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기본 5회, 호출당 6,000토큰</w:t>
            </w:r>
          </w:p>
        </w:tc>
        <w:tc>
          <w:tcPr>
            <w:tcW w:type="dxa" w:w="4309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기본 작업 전체 8,000토큰</w:t>
            </w:r>
          </w:p>
        </w:tc>
      </w:tr>
    </w:tbl>
    <w:p>
      <w:pPr>
        <w:spacing w:after="0"/>
      </w:pPr>
    </w:p>
    <w:p>
      <w:r>
        <w:rPr>
          <w:b w:val="0"/>
        </w:rPr>
        <w:t>초안은 계획·본문·검토 등 전체 호출과 중간 출력을 포함한 토큰 예산이다. 결과 쪽 수·장 수에 필요한 실제 토큰은 템플릿·언어로 검증한다. 초안 호출·입출력·점유에는 재시도 계수 1.1을 곱한다. 일반 답변의 1.1회에도 재시도 예산이 들어 있다. 첫 토큰 10초, 출력 16 tok/s로 계산하고 평균 30초의 기존 모델 가정을 폐기한다.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835"/>
        <w:gridCol w:w="4309"/>
      </w:tblGrid>
      <w:tr>
        <w:trPr>
          <w:cantSplit/>
          <w:tblHeader/>
        </w:trPr>
        <w:tc>
          <w:tcPr>
            <w:tcW w:type="dxa" w:w="2268"/>
            <w:shd w:fill="4747B3"/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18"/>
              </w:rPr>
              <w:t>5 QPS 혼합 요청의 온라인 배정</w:t>
            </w:r>
          </w:p>
        </w:tc>
        <w:tc>
          <w:tcPr>
            <w:tcW w:type="dxa" w:w="2835"/>
            <w:shd w:fill="4747B3"/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18"/>
              </w:rPr>
              <w:t>요구량</w:t>
            </w:r>
          </w:p>
        </w:tc>
        <w:tc>
          <w:tcPr>
            <w:tcW w:type="dxa" w:w="4309"/>
            <w:shd w:fill="4747B3"/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18"/>
              </w:rPr>
              <w:t>적용 범위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동시 모델 호출</w:t>
            </w:r>
          </w:p>
        </w:tc>
        <w:tc>
          <w:tcPr>
            <w:tcW w:type="dxa" w:w="2835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1,300</w:t>
            </w:r>
          </w:p>
        </w:tc>
        <w:tc>
          <w:tcPr>
            <w:tcW w:type="dxa" w:w="4309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일반 답변 + 초안, 평균 점유 기준</w:t>
            </w:r>
          </w:p>
        </w:tc>
      </w:tr>
      <w:tr>
        <w:trPr>
          <w:cantSplit/>
        </w:trPr>
        <w:tc>
          <w:tcPr>
            <w:tcW w:type="dxa" w:w="2268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RPM</w:t>
            </w:r>
          </w:p>
        </w:tc>
        <w:tc>
          <w:tcPr>
            <w:tcW w:type="dxa" w:w="2835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924</w:t>
            </w:r>
          </w:p>
        </w:tc>
        <w:tc>
          <w:tcPr>
            <w:tcW w:type="dxa" w:w="4309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모든 호출 경로·레플리카 합산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입력 TPM</w:t>
            </w:r>
          </w:p>
        </w:tc>
        <w:tc>
          <w:tcPr>
            <w:tcW w:type="dxa" w:w="2835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5,544,000</w:t>
            </w:r>
          </w:p>
        </w:tc>
        <w:tc>
          <w:tcPr>
            <w:tcW w:type="dxa" w:w="4309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반복 컨텍스트 포함</w:t>
            </w:r>
          </w:p>
        </w:tc>
      </w:tr>
      <w:tr>
        <w:trPr>
          <w:cantSplit/>
        </w:trPr>
        <w:tc>
          <w:tcPr>
            <w:tcW w:type="dxa" w:w="2268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출력 TPM</w:t>
            </w:r>
          </w:p>
        </w:tc>
        <w:tc>
          <w:tcPr>
            <w:tcW w:type="dxa" w:w="2835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1,100,000</w:t>
            </w:r>
          </w:p>
        </w:tc>
        <w:tc>
          <w:tcPr>
            <w:tcW w:type="dxa" w:w="4309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중간 작성·검토·재시도 출력 포함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합산 TPM</w:t>
            </w:r>
          </w:p>
        </w:tc>
        <w:tc>
          <w:tcPr>
            <w:tcW w:type="dxa" w:w="2835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6,644,000</w:t>
            </w:r>
          </w:p>
        </w:tc>
        <w:tc>
          <w:tcPr>
            <w:tcW w:type="dxa" w:w="4309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분리/합산 제한은 사내 계약에 맞춰 적용</w:t>
            </w:r>
          </w:p>
        </w:tc>
      </w:tr>
    </w:tbl>
    <w:p>
      <w:pPr>
        <w:spacing w:after="0"/>
      </w:pPr>
    </w:p>
    <w:p>
      <w:r>
        <w:rPr>
          <w:b w:val="0"/>
        </w:rPr>
        <w:t>동시 호출 = ceil((초당 일반 호출 × 평균 답변 점유 + 초당 초안 × 작업당 모델 점유 합계) ÷ 0.6). RPM·TPM도 합산 수요를 0.6으로 나눠 올림한다. 이용률 여유를 다시 중복 가산하지 않는다. 제공자가 최대 출력·추론 토큰으로 쿼터를 예약하면 그 계약 기준으로 추가 보정해야 한다. 실제 온라인 할당량은 미확인이므로 현재 처리 가능 여부를 확정하지 않는다.</w:t>
      </w:r>
    </w:p>
    <w:p>
      <w:r>
        <w:rPr>
          <w:b w:val="0"/>
        </w:rPr>
        <w:t>초안당 모델 점유 합계 평균은 515.9초다. 순차 호출·조립·기타 처리까지 계획 평균 약 9.1분이며 첨부 전처리·큐 대기는 별도다. 기존 일반 답변 p95 60초를 긴 초안에 그대로 적용하지 않는다. 초안은 접수 후 비동기로 처리하고 실제 완료시간을 표시한다.</w:t>
      </w:r>
    </w:p>
    <w:p>
      <w:pPr>
        <w:pStyle w:val="Heading2"/>
      </w:pPr>
      <w:r>
        <w:t>첨부 임베딩은 별도 추론 쿼터</w:t>
      </w:r>
    </w:p>
    <w:p>
      <w:r>
        <w:rPr>
          <w:b w:val="0"/>
        </w:rPr>
        <w:t xml:space="preserve">30페이지 × 6청크 = 파일당 180청크, 청크당 400토큰을 가정한다. 3파일/초이면 첨부 540청크/초·12,960,000 TPM이 실제 수요다. 이용률 60% 반영 시 </w:t>
      </w:r>
      <w:r>
        <w:rPr>
          <w:b/>
        </w:rPr>
        <w:t>900청크/초</w:t>
      </w:r>
      <w:r>
        <w:rPr>
          <w:b w:val="0"/>
        </w:rPr>
        <w:t xml:space="preserve">, 질의 임베딩 </w:t>
      </w:r>
      <w:r>
        <w:rPr>
          <w:b/>
        </w:rPr>
        <w:t>8.33건/초</w:t>
      </w:r>
      <w:r>
        <w:rPr>
          <w:b w:val="0"/>
        </w:rPr>
        <w:t xml:space="preserve">, 합산 </w:t>
      </w:r>
      <w:r>
        <w:rPr>
          <w:b/>
        </w:rPr>
        <w:t>21,675,000 TPM</w:t>
      </w:r>
      <w:r>
        <w:rPr>
          <w:b w:val="0"/>
        </w:rPr>
        <w:t xml:space="preserve"> 배정이 필요하다. 질의 입력은 150토큰, 모든 고수준 요청에 1회로 보수 가정한다. 청크 처리량과 TPM을 모두 충족해야 하며 RPM·배치 크기·최대 동시성은 endpoint 계약으로 추가 확인한다. Milvus 자체의 적재·저장 자원은 계산하지 않는다.</w:t>
      </w:r>
    </w:p>
    <w:p>
      <w:r>
        <w:br w:type="page"/>
      </w:r>
    </w:p>
    <w:p>
      <w:pPr>
        <w:pStyle w:val="Heading1"/>
      </w:pPr>
      <w:r>
        <w:t>5. 저장소·임시 디스크·네트워크</w:t>
      </w:r>
    </w:p>
    <w:p>
      <w:pPr>
        <w:pStyle w:val="Heading2"/>
      </w:pPr>
      <w:r>
        <w:t>신규 파일의 보관량</w:t>
      </w:r>
    </w:p>
    <w:p>
      <w:r>
        <w:rPr>
          <w:b w:val="0"/>
        </w:rPr>
        <w:t>원본은 하루 90GB 증가한다. 원본 1배 + DeDRM 사본 0.5배 + 추출 이미지·텍스트 1배를 30일 보관한다. 결과물은 DOCX 4MB/PPTX 12MB, 평균 7.2MB로 90일 보관한다. 메타·작업 이력·감사 로그는 요청당 50KiB × 90일이다. 주말도 같은 일일량으로 가정하고 압축·중복 제거 절감은 반영하지 않는다.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835"/>
        <w:gridCol w:w="4309"/>
      </w:tblGrid>
      <w:tr>
        <w:trPr>
          <w:cantSplit/>
          <w:tblHeader/>
        </w:trPr>
        <w:tc>
          <w:tcPr>
            <w:tcW w:type="dxa" w:w="2268"/>
            <w:shd w:fill="4747B3"/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835"/>
            <w:shd w:fill="4747B3"/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18"/>
              </w:rPr>
              <w:t>계산 결과</w:t>
            </w:r>
          </w:p>
        </w:tc>
        <w:tc>
          <w:tcPr>
            <w:tcW w:type="dxa" w:w="4309"/>
            <w:shd w:fill="4747B3"/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첨부 원본·해제본·파생물</w:t>
            </w:r>
          </w:p>
        </w:tc>
        <w:tc>
          <w:tcPr>
            <w:tcW w:type="dxa" w:w="2835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6.139TiB</w:t>
            </w:r>
          </w:p>
        </w:tc>
        <w:tc>
          <w:tcPr>
            <w:tcW w:type="dxa" w:w="4309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30일, 원본 대비 합계 2.5배</w:t>
            </w:r>
          </w:p>
        </w:tc>
      </w:tr>
      <w:tr>
        <w:trPr>
          <w:cantSplit/>
        </w:trPr>
        <w:tc>
          <w:tcPr>
            <w:tcW w:type="dxa" w:w="2268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DOCX/PPTX 생성 결과</w:t>
            </w:r>
          </w:p>
        </w:tc>
        <w:tc>
          <w:tcPr>
            <w:tcW w:type="dxa" w:w="2835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1.768TiB</w:t>
            </w:r>
          </w:p>
        </w:tc>
        <w:tc>
          <w:tcPr>
            <w:tcW w:type="dxa" w:w="4309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90일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메타·작업·감사 로그</w:t>
            </w:r>
          </w:p>
        </w:tc>
        <w:tc>
          <w:tcPr>
            <w:tcW w:type="dxa" w:w="2835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0.063TiB</w:t>
            </w:r>
          </w:p>
        </w:tc>
        <w:tc>
          <w:tcPr>
            <w:tcW w:type="dxa" w:w="4309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90일, 원문 전체 로깅 제외</w:t>
            </w:r>
          </w:p>
        </w:tc>
      </w:tr>
      <w:tr>
        <w:trPr>
          <w:cantSplit/>
        </w:trPr>
        <w:tc>
          <w:tcPr>
            <w:tcW w:type="dxa" w:w="2268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상시 논리 저장</w:t>
            </w:r>
          </w:p>
        </w:tc>
        <w:tc>
          <w:tcPr>
            <w:tcW w:type="dxa" w:w="2835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7.970TiB</w:t>
            </w:r>
          </w:p>
        </w:tc>
        <w:tc>
          <w:tcPr>
            <w:tcW w:type="dxa" w:w="4309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위 항목 합계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독립 백업</w:t>
            </w:r>
          </w:p>
        </w:tc>
        <w:tc>
          <w:tcPr>
            <w:tcW w:type="dxa" w:w="2835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7.970TiB</w:t>
            </w:r>
          </w:p>
        </w:tc>
        <w:tc>
          <w:tcPr>
            <w:tcW w:type="dxa" w:w="4309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한 세트, 다세대 백업은 별도</w:t>
            </w:r>
          </w:p>
        </w:tc>
      </w:tr>
      <w:tr>
        <w:trPr>
          <w:cantSplit/>
        </w:trPr>
        <w:tc>
          <w:tcPr>
            <w:tcW w:type="dxa" w:w="2268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여유 포함 전체</w:t>
            </w:r>
          </w:p>
        </w:tc>
        <w:tc>
          <w:tcPr>
            <w:tcW w:type="dxa" w:w="2835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22.77TiB</w:t>
            </w:r>
          </w:p>
        </w:tc>
        <w:tc>
          <w:tcPr>
            <w:tcW w:type="dxa" w:w="4309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(상시 + 백업) ÷ 0.7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할당 제안</w:t>
            </w:r>
          </w:p>
        </w:tc>
        <w:tc>
          <w:tcPr>
            <w:tcW w:type="dxa" w:w="2835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24TiB</w:t>
            </w:r>
          </w:p>
        </w:tc>
        <w:tc>
          <w:tcPr>
            <w:tcW w:type="dxa" w:w="4309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운영 저장소와 독립 백업에 분리 배정</w:t>
            </w:r>
          </w:p>
        </w:tc>
      </w:tr>
    </w:tbl>
    <w:p>
      <w:pPr>
        <w:spacing w:after="0"/>
      </w:pPr>
    </w:p>
    <w:p>
      <w:r>
        <w:rPr>
          <w:b w:val="0"/>
        </w:rPr>
        <w:t>24TiB는 논리 저장소와 백업 합계이며 단일 디스크·단일 장애 영역에 배치하지 않는다. 스토리지 물리 복제/EC 계수, DB WAL, 장기 백업 정책은 소유 서비스에서 추가한다. 기존 95GB 지식베이스와 Milvus 저장량은 이 표에 포함하지 않는다. 보관 만료 삭제가 동작해야 이 정상상태 용량을 유지한다.</w:t>
      </w:r>
    </w:p>
    <w:p>
      <w:pPr>
        <w:pStyle w:val="Heading2"/>
      </w:pPr>
      <w:r>
        <w:t>로컬 작업 공간과 통신</w:t>
      </w:r>
    </w:p>
    <w:p>
      <w:r>
        <w:rPr>
          <w:b w:val="0"/>
        </w:rPr>
        <w:t xml:space="preserve">DeDRM 100GiB × 3, 파싱 100GiB × 5, OCR 100GiB × 11, 조립 200GiB × 5 = </w:t>
      </w:r>
      <w:r>
        <w:rPr>
          <w:b/>
        </w:rPr>
        <w:t>2,900GiB</w:t>
      </w:r>
      <w:r>
        <w:rPr>
          <w:b w:val="0"/>
        </w:rPr>
        <w:t>의 로컬 임시 SSD를 별도로 준비한다. 이 값은 파일별 전개 크기 실측 전 시작 예산이다. 작업별 임시 공간 상한·완료/실패 정리·여유 공간 감시를 둔다. OS·DB 볼륨은 별도이며, 대기 중 파일은 RAM/로컬 임시 공간 대신 객체 저장소에 둔다.</w:t>
      </w:r>
    </w:p>
    <w:p>
      <w:r>
        <w:rPr>
          <w:b w:val="0"/>
        </w:rPr>
        <w:t xml:space="preserve">업로드 30MB/s, 결과물 2회 다운로드 14.4MB/s를 합쳐 355.2Mbps 수요다. 이용률 60%로 </w:t>
      </w:r>
      <w:r>
        <w:rPr>
          <w:b/>
        </w:rPr>
        <w:t>592Mbps</w:t>
      </w:r>
      <w:r>
        <w:rPr>
          <w:b w:val="0"/>
        </w:rPr>
        <w:t xml:space="preserve">를 준비하고 외부 경로는 </w:t>
      </w:r>
      <w:r>
        <w:rPr>
          <w:b/>
        </w:rPr>
        <w:t>1Gbps급 이상</w:t>
      </w:r>
      <w:r>
        <w:rPr>
          <w:b w:val="0"/>
        </w:rPr>
        <w:t xml:space="preserve">, 내부 전송 3배 예산 </w:t>
      </w:r>
      <w:r>
        <w:rPr>
          <w:b/>
        </w:rPr>
        <w:t>1.776Gbps</w:t>
      </w:r>
      <w:r>
        <w:rPr>
          <w:b w:val="0"/>
        </w:rPr>
        <w:t xml:space="preserve">를 고려해 </w:t>
      </w:r>
      <w:r>
        <w:rPr>
          <w:b/>
        </w:rPr>
        <w:t>10Gbps급 내부 연결</w:t>
      </w:r>
      <w:r>
        <w:rPr>
          <w:b w:val="0"/>
        </w:rPr>
        <w:t>을 시작점으로 둔다. 양방향 합계로 보수 계산했으며 풀듀플렉스 링크는 방향별로도 검증한다. 실제 OCR 파생물 I/O·백업 창의 속도는 따로 측정한다.</w:t>
      </w:r>
    </w:p>
    <w:p>
      <w:r>
        <w:br w:type="page"/>
      </w:r>
    </w:p>
    <w:p>
      <w:pPr>
        <w:pStyle w:val="Heading1"/>
      </w:pPr>
      <w:r>
        <w:t>6. 민감도와 운영 제한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2154"/>
        <w:gridCol w:w="2154"/>
        <w:gridCol w:w="2154"/>
      </w:tblGrid>
      <w:tr>
        <w:trPr>
          <w:cantSplit/>
          <w:tblHeader/>
        </w:trPr>
        <w:tc>
          <w:tcPr>
            <w:tcW w:type="dxa" w:w="2948"/>
            <w:shd w:fill="4747B3"/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18"/>
              </w:rPr>
              <w:t>조건</w:t>
            </w:r>
          </w:p>
        </w:tc>
        <w:tc>
          <w:tcPr>
            <w:tcW w:type="dxa" w:w="2154"/>
            <w:shd w:fill="4747B3"/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18"/>
              </w:rPr>
              <w:t>QPS</w:t>
            </w:r>
          </w:p>
        </w:tc>
        <w:tc>
          <w:tcPr>
            <w:tcW w:type="dxa" w:w="2154"/>
            <w:shd w:fill="4747B3"/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18"/>
              </w:rPr>
              <w:t>역할 vCPU / GiB</w:t>
            </w:r>
          </w:p>
        </w:tc>
        <w:tc>
          <w:tcPr>
            <w:tcW w:type="dxa" w:w="2154"/>
            <w:shd w:fill="4747B3"/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18"/>
              </w:rPr>
              <w:t>LLM 동시 호출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예상 피크</w:t>
            </w:r>
          </w:p>
        </w:tc>
        <w:tc>
          <w:tcPr>
            <w:tcW w:type="dxa" w:w="2154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3.704</w:t>
            </w:r>
          </w:p>
        </w:tc>
        <w:tc>
          <w:tcPr>
            <w:tcW w:type="dxa" w:w="2154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282 / 644</w:t>
            </w:r>
          </w:p>
        </w:tc>
        <w:tc>
          <w:tcPr>
            <w:tcW w:type="dxa" w:w="2154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963</w:t>
            </w:r>
          </w:p>
        </w:tc>
      </w:tr>
      <w:tr>
        <w:trPr>
          <w:cantSplit/>
        </w:trPr>
        <w:tc>
          <w:tcPr>
            <w:tcW w:type="dxa" w:w="2948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보수 준비</w:t>
            </w:r>
          </w:p>
        </w:tc>
        <w:tc>
          <w:tcPr>
            <w:tcW w:type="dxa" w:w="2154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5.000</w:t>
            </w:r>
          </w:p>
        </w:tc>
        <w:tc>
          <w:tcPr>
            <w:tcW w:type="dxa" w:w="2154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354 / 804</w:t>
            </w:r>
          </w:p>
        </w:tc>
        <w:tc>
          <w:tcPr>
            <w:tcW w:type="dxa" w:w="2154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1,300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2배 집중</w:t>
            </w:r>
          </w:p>
        </w:tc>
        <w:tc>
          <w:tcPr>
            <w:tcW w:type="dxa" w:w="2154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10.000</w:t>
            </w:r>
          </w:p>
        </w:tc>
        <w:tc>
          <w:tcPr>
            <w:tcW w:type="dxa" w:w="2154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602 / 1364</w:t>
            </w:r>
          </w:p>
        </w:tc>
        <w:tc>
          <w:tcPr>
            <w:tcW w:type="dxa" w:w="2154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2,600</w:t>
            </w:r>
          </w:p>
        </w:tc>
      </w:tr>
    </w:tbl>
    <w:p>
      <w:pPr>
        <w:spacing w:after="0"/>
      </w:pPr>
    </w:p>
    <w:p>
      <w:r>
        <w:rPr>
          <w:b w:val="0"/>
        </w:rPr>
        <w:t>비율·파일 크기·작업 비용은 같고 순간 도착률만 바꾼 표다. 보관량은 일일 15,000요청 기준이므로 피크 QPS를 올렸다는 이유로 다시 배수 적용하지 않는다. 10 QPS는 스트레스 조건이며 5 QPS 구성의 보장 범위가 아니다. 표에서 API·DB 등 고정 시작 사양은 유지했으므로 고부하에서는 별도 검증한다.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4706"/>
            <w:shd w:fill="4747B3"/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18"/>
              </w:rPr>
              <w:t>추가 조건</w:t>
            </w:r>
          </w:p>
        </w:tc>
        <w:tc>
          <w:tcPr>
            <w:tcW w:type="dxa" w:w="4706"/>
            <w:shd w:fill="4747B3"/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18"/>
              </w:rPr>
              <w:t>영향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OCR 비율 50% → 100%</w:t>
            </w:r>
          </w:p>
        </w:tc>
        <w:tc>
          <w:tcPr>
            <w:tcW w:type="dxa" w:w="4706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역할 합계 498 vCPU / 1092GiB</w:t>
            </w:r>
          </w:p>
        </w:tc>
      </w:tr>
      <w:tr>
        <w:trPr>
          <w:cantSplit/>
        </w:trPr>
        <w:tc>
          <w:tcPr>
            <w:tcW w:type="dxa" w:w="4706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DeDRM 비율 50% → 100%</w:t>
            </w:r>
          </w:p>
        </w:tc>
        <w:tc>
          <w:tcPr>
            <w:tcW w:type="dxa" w:w="4706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역할 합계 362 vCPU / 820GiB, 논리 저장 26.28TiB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모델 점유 시간 전체 2배</w:t>
            </w:r>
          </w:p>
        </w:tc>
        <w:tc>
          <w:tcPr>
            <w:tcW w:type="dxa" w:w="4706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동시 호출 약 2,600개, 토큰·호출 수 동일 시 RPM/TPM 동일</w:t>
            </w:r>
          </w:p>
        </w:tc>
      </w:tr>
      <w:tr>
        <w:trPr>
          <w:cantSplit/>
        </w:trPr>
        <w:tc>
          <w:tcPr>
            <w:tcW w:type="dxa" w:w="4706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첨부 보관 30일 → 90일</w:t>
            </w:r>
          </w:p>
        </w:tc>
        <w:tc>
          <w:tcPr>
            <w:tcW w:type="dxa" w:w="4706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전체 논리 할당 57.85TiB</w:t>
            </w:r>
          </w:p>
        </w:tc>
      </w:tr>
    </w:tbl>
    <w:p>
      <w:pPr>
        <w:spacing w:after="0"/>
      </w:pPr>
    </w:p>
    <w:p>
      <w:r>
        <w:rPr>
          <w:b w:val="0"/>
        </w:rPr>
        <w:t>OCR이 기준안에서 176 vCPU·352GiB를 차지하는 이유는 45페이지/초 × 2 core-second ÷ 0.6 = 150코어 요구량에 16 vCPU 작업자 단위 올림과 예비 1개를 더했기 때문이다. GPU 가속의 절감량은 벤치마크 없이 가정하지 않는다. 현행 OCR 장비의 실측 총 처리량이 있으면 CPU 풀을 그 서비스로 대체해 신규 할당분을 줄일 수 있다.</w:t>
      </w:r>
    </w:p>
    <w:p>
      <w:pPr>
        <w:pStyle w:val="Heading2"/>
      </w:pPr>
      <w:r>
        <w:t>이 추정이 성립하는 처리 경계</w:t>
      </w:r>
    </w:p>
    <w:p>
      <w:r>
        <w:rPr>
          <w:b w:val="0"/>
        </w:rPr>
        <w:t>파일당 평균 10MB·30페이지는 상한이 아니다. 오픈 정책 초안은 첨부 2개/요청, 파일당 50MB·100페이지까지이며 상한 부근 파일은 별도 긴 작업 큐로 분리한다. 큰 파일이 집중되면 이 평균 비용 산정을 초과하므로 파일 수 외에 대기 페이지 수·OCR 예상 작업량·토큰으로 입장을 제한한다. 제시 상한을 전 요청이 사용하는 부하까지 보장한 수치가 아니다.</w:t>
      </w:r>
    </w:p>
    <w:p>
      <w:r>
        <w:rPr>
          <w:b w:val="0"/>
        </w:rPr>
        <w:t>DeDRM SDK/외부 서비스 동시 실행·라이선스 한도는 별도 병목이다. 기준 필요 슬롯은 13개, 배치된 3작업자의 설정상 슬롯은 24개다. 전역 한도를 제공자 계약 이하로 두고 13개 미만이면 목표 도착률을 줄이거나 대기를 허용한다. SDK가 Windows 등 특정 OS를 요구하면 해당 역할만 호환 실행 환경에 배치한다.</w:t>
      </w:r>
    </w:p>
    <w:p>
      <w:r>
        <w:rPr>
          <w:b w:val="0"/>
        </w:rPr>
        <w:t>일반 답변·초안·첨부 임베딩 쿼터를 분리 예약하고 전체 합계를 전역 제어한다. LLM/임베딩 할당량을 확보하지 못하면 CPU 증설만으로 목표 처리량을 만족할 수 없다. 기존 300건/일 지식베이스 증분 작업은 온라인 풀과 겹치지 않는 야간 처리 전제이며, 겹치면 별도 작업량을 합산한다.</w:t>
      </w:r>
    </w:p>
    <w:p>
      <w:r>
        <w:br w:type="page"/>
      </w:r>
    </w:p>
    <w:p>
      <w:pPr>
        <w:pStyle w:val="Heading1"/>
      </w:pPr>
      <w:r>
        <w:t>7. 검증·확정 절차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4706"/>
            <w:shd w:fill="4747B3"/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4706"/>
            <w:shd w:fill="4747B3"/>
          </w:tcPr>
          <w:p>
            <w:pPr>
              <w:spacing w:after="60" w:before="60" w:line="264" w:lineRule="auto"/>
            </w:pPr>
            <w:r>
              <w:rPr>
                <w:b/>
                <w:color w:val="FFFFFF"/>
                <w:sz w:val="18"/>
              </w:rPr>
              <w:t>시험 및 판단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작업 비용 실측</w:t>
            </w:r>
          </w:p>
        </w:tc>
        <w:tc>
          <w:tcPr>
            <w:tcW w:type="dxa" w:w="4706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DRM/비DRM·스캔/텍스트·표/이미지별 최소 100파일. core-second·wall time·최대 RSS·임시 디스크 기록</w:t>
            </w:r>
          </w:p>
        </w:tc>
      </w:tr>
      <w:tr>
        <w:trPr>
          <w:cantSplit/>
        </w:trPr>
        <w:tc>
          <w:tcPr>
            <w:tcW w:type="dxa" w:w="4706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문서 생성 실측</w:t>
            </w:r>
          </w:p>
        </w:tc>
        <w:tc>
          <w:tcPr>
            <w:tcW w:type="dxa" w:w="4706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DOCX 10쪽/PPTX 20장, 표·차트·이미지 포함 각 30건. 전체 모델 호출/토큰, 조립·미리보기 RSS 측정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혼합 부하</w:t>
            </w:r>
          </w:p>
        </w:tc>
        <w:tc>
          <w:tcPr>
            <w:tcW w:type="dxa" w:w="4706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30% 첨부·20% 초안, 3.704→5 QPS. 예열 후 30분 이상, 기준 2시간 안정성 확인</w:t>
            </w:r>
          </w:p>
        </w:tc>
      </w:tr>
      <w:tr>
        <w:trPr>
          <w:cantSplit/>
        </w:trPr>
        <w:tc>
          <w:tcPr>
            <w:tcW w:type="dxa" w:w="4706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장애 여유</w:t>
            </w:r>
          </w:p>
        </w:tc>
        <w:tc>
          <w:tcPr>
            <w:tcW w:type="dxa" w:w="4706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각 작업자 풀에서 한 개 중단. 평균 CPU·슬롯 점유 60% 이하 계획 및 큐 적체 지속 증가 여부 확인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API·작업 조정</w:t>
            </w:r>
          </w:p>
        </w:tc>
        <w:tc>
          <w:tcPr>
            <w:tcW w:type="dxa" w:w="4706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모델 모사/실제 쿼터 시험 분리. API 1개 중단, 1,200 활성 초안과 10초 진행 조회 시험</w:t>
            </w:r>
          </w:p>
        </w:tc>
      </w:tr>
      <w:tr>
        <w:trPr>
          <w:cantSplit/>
        </w:trPr>
        <w:tc>
          <w:tcPr>
            <w:tcW w:type="dxa" w:w="4706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저장소·네트워크</w:t>
            </w:r>
          </w:p>
        </w:tc>
        <w:tc>
          <w:tcPr>
            <w:tcW w:type="dxa" w:w="4706"/>
            <w:shd w:fill="F3F3FA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최대 파일 전개, 업/다운로드 동시, 야간 백업, 삭제 정책과 디스크 고갈 회복 확인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결과 품질</w:t>
            </w:r>
          </w:p>
        </w:tc>
        <w:tc>
          <w:tcPr>
            <w:tcW w:type="dxa" w:w="4706"/>
          </w:tcPr>
          <w:p>
            <w:pPr>
              <w:spacing w:after="60" w:before="60" w:line="264" w:lineRule="auto"/>
            </w:pPr>
            <w:r>
              <w:rPr>
                <w:b w:val="0"/>
                <w:sz w:val="18"/>
              </w:rPr>
              <w:t>생성 DOCX/PPTX를 실제 뷰어로 열어 표·차트·글꼴·출처·페이지/슬라이드 누락 확인</w:t>
            </w:r>
          </w:p>
        </w:tc>
      </w:tr>
    </w:tbl>
    <w:p>
      <w:pPr>
        <w:spacing w:after="0"/>
      </w:pPr>
    </w:p>
    <w:p>
      <w:r>
        <w:rPr>
          <w:b w:val="0"/>
        </w:rPr>
        <w:t>요청 접수 p95 2초(파일 전송 시간 제외), 일반 답변 p95 120초, DOCX/PPTX 초안 p95 15분(필요 첨부 업로드 완료 이후)을 초기 목표로 제안한다. 평균 모델·작업 시간 계산이 p95 보장을 뜻하지 않는다. 큐 대기·첨부 전처리까지 목표에 포함해 실측 후 조정한다. 실패·재시도·시간초과에서 중복 모델 호출과 중복 산출물이 생기지 않는지도 확인한다.</w:t>
      </w:r>
    </w:p>
    <w:p>
      <w:r>
        <w:rPr>
          <w:b w:val="0"/>
        </w:rPr>
        <w:t xml:space="preserve">N+1은 </w:t>
      </w:r>
      <w:r>
        <w:rPr>
          <w:b/>
        </w:rPr>
        <w:t>해당 역할 작업자 1개 장애</w:t>
      </w:r>
      <w:r>
        <w:rPr>
          <w:b w:val="0"/>
        </w:rPr>
        <w:t xml:space="preserve"> 기준이다. 한 물리 호스트에 여러 작업자가 올라가 있다면 그 호스트 장애는 별도 시나리오다. 20% 플랫폼 예약만으로 호스트 전체 장애 복구 자원이 보장되지 않는다. 장애 영역별 배치·실제 호스트 크기·복구 SLO를 확인한 뒤 물리 서버 대수를 정한다.</w:t>
      </w:r>
    </w:p>
    <w:p>
      <w:pPr>
        <w:pStyle w:val="Heading1"/>
      </w:pPr>
      <w:r>
        <w:t>8. 근거 및 재현</w:t>
      </w:r>
    </w:p>
    <w:p>
      <w:r>
        <w:rPr>
          <w:b w:val="0"/>
        </w:rPr>
        <w:t>내부 입력: capacity/workflow_inputs.json. 계산: capacity/workflow_estimate.py. 수치 스냅샷: capacity/workflow_result.json. 보고서 생성: capacity/workflow_report.py. 모든 사용 비율·CPU 비용·사양은 모델링 가정이며 공식 문서의 성능 보장값이 아니다.</w:t>
      </w:r>
    </w:p>
    <w:p>
      <w:pPr>
        <w:pStyle w:val="ListBullet"/>
      </w:pPr>
      <w:hyperlink r:id="rId11">
        <w:r>
          <w:rPr>
            <w:color w:val="4747B3"/>
            <w:u w:val="single"/>
          </w:rPr>
          <w:t>FastAPI 파일 업로드</w:t>
        </w:r>
      </w:hyperlink>
      <w:r>
        <w:rPr>
          <w:b w:val="0"/>
        </w:rPr>
        <w:t>: UploadFile의 메모리/디스크 스풀 동작을 고려해 업로드를 제한한다.</w:t>
      </w:r>
    </w:p>
    <w:p>
      <w:pPr>
        <w:pStyle w:val="ListBullet"/>
      </w:pPr>
      <w:hyperlink r:id="rId12">
        <w:r>
          <w:rPr>
            <w:color w:val="4747B3"/>
            <w:u w:val="single"/>
          </w:rPr>
          <w:t>FastAPI Background Tasks</w:t>
        </w:r>
      </w:hyperlink>
      <w:r>
        <w:rPr>
          <w:b w:val="0"/>
        </w:rPr>
        <w:t>: 무거운 처리는 별도 프로세스·작업 큐 구성을 검토한다. 본 산정은 영속 작업 큐와 별도 작업자를 전제한다.</w:t>
      </w:r>
    </w:p>
    <w:p>
      <w:pPr>
        <w:pStyle w:val="ListBullet"/>
      </w:pPr>
      <w:hyperlink r:id="rId13">
        <w:r>
          <w:rPr>
            <w:color w:val="4747B3"/>
            <w:u w:val="single"/>
          </w:rPr>
          <w:t>python-docx</w:t>
        </w:r>
      </w:hyperlink>
      <w:r>
        <w:rPr>
          <w:b w:val="0"/>
        </w:rPr>
        <w:t xml:space="preserve"> 및 </w:t>
      </w:r>
      <w:hyperlink r:id="rId14">
        <w:r>
          <w:rPr>
            <w:color w:val="4747B3"/>
            <w:u w:val="single"/>
          </w:rPr>
          <w:t>python-pptx</w:t>
        </w:r>
      </w:hyperlink>
      <w:r>
        <w:rPr>
          <w:b w:val="0"/>
        </w:rPr>
        <w:t>: 파일 작성 기능의 참고 문서이며 처리 속도의 근거는 아니다. 실제 제품 라이브러리는 미확정이다.</w:t>
      </w:r>
    </w:p>
    <w:p>
      <w:r>
        <w:rPr>
          <w:b w:val="0"/>
        </w:rPr>
        <w:t>외부 문서 확인일: 2026-09-30. DeDRM SDK, 사내 GLM/임베딩, 실제 서비스 서버에는 접속하지 않았고 부하 시험도 수행하지 않았다.</w:t>
      </w:r>
    </w:p>
    <w:p>
      <w:r>
        <w:rPr>
          <w:b w:val="0"/>
        </w:rPr>
        <w:t xml:space="preserve">재생성 순서: </w:t>
      </w:r>
      <w:r>
        <w:rPr>
          <w:b w:val="0"/>
          <w:sz w:val="18"/>
        </w:rPr>
        <w:t>python3 capacity/workflow_report.py</w:t>
      </w:r>
      <w:r>
        <w:rPr>
          <w:b w:val="0"/>
        </w:rPr>
        <w:t xml:space="preserve"> → </w:t>
      </w:r>
      <w:r>
        <w:rPr>
          <w:b w:val="0"/>
          <w:sz w:val="18"/>
        </w:rPr>
        <w:t>python3 capacity/export_docx.py</w:t>
      </w:r>
      <w:r>
        <w:rPr>
          <w:b w:val="0"/>
        </w:rPr>
        <w:t xml:space="preserve">. 테스트: </w:t>
      </w:r>
      <w:r>
        <w:rPr>
          <w:b w:val="0"/>
          <w:sz w:val="18"/>
        </w:rPr>
        <w:t>python3 -m unittest discover -s capacity -v</w:t>
      </w:r>
      <w:r>
        <w:rPr>
          <w:b w:val="0"/>
        </w:rPr>
        <w:t>. Markdown과 JSON은 자동 생성되므로 가정 변경 시 입력 JSON과 보고서 생성 문구를 함께 점검한다. 기존 capacity/inputs.json·estimate.py와 검색 중심 문서는 과거 비교 기준으로 보존하며 이번 신규 할당량과 합산하지 않는다.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247" w:bottom="1020" w:left="1247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2026-09-30  ·  계획 추정치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G-HeSS AI Agent  |  서버 용량 계획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맑은 고딕" w:hAnsi="맑은 고딕" w:eastAsia="맑은 고딕"/>
      <w:sz w:val="19"/>
      <w:lang w:val="ko-KR" w:eastAsia="ko-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4747B3"/>
      <w:sz w:val="32"/>
      <w:szCs w:val="28"/>
      <w:lang w:val="ko-KR" w:eastAsia="ko-K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747B3"/>
      <w:sz w:val="24"/>
      <w:szCs w:val="26"/>
      <w:lang w:val="ko-KR" w:eastAsia="ko-K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747B3"/>
      <w:sz w:val="22"/>
      <w:lang w:val="ko-KR" w:eastAsia="ko-K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200"/>
      <w:contextualSpacing/>
    </w:pPr>
    <w:rPr>
      <w:rFonts w:asciiTheme="majorHAnsi" w:eastAsiaTheme="majorEastAsia" w:hAnsiTheme="majorHAnsi" w:cstheme="majorBidi" w:ascii="맑은 고딕" w:hAnsi="맑은 고딕" w:eastAsia="맑은 고딕"/>
      <w:color w:val="4747B3"/>
      <w:spacing w:val="5"/>
      <w:kern w:val="28"/>
      <w:sz w:val="50"/>
      <w:szCs w:val="52"/>
      <w:lang w:val="ko-KR" w:eastAsia="ko-KR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  <w:lang w:val="ko-KR" w:eastAsia="ko-K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fastapi.tiangolo.com/tutorial/request-files/" TargetMode="External"/><Relationship Id="rId12" Type="http://schemas.openxmlformats.org/officeDocument/2006/relationships/hyperlink" Target="https://fastapi.tiangolo.com/tutorial/background-tasks/" TargetMode="External"/><Relationship Id="rId13" Type="http://schemas.openxmlformats.org/officeDocument/2006/relationships/hyperlink" Target="https://python-docx.readthedocs.io/en/latest/" TargetMode="External"/><Relationship Id="rId14" Type="http://schemas.openxmlformats.org/officeDocument/2006/relationships/hyperlink" Target="https://python-pptx.readthedocs.io/en/lates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G-HeSS AI Agent — 트래픽 추정에 따른 권장 서버 용량</dc:title>
  <dc:subject>Milvus 제외, 첨부·DeDRM·DOCX/PPTX 초안 생성 포함 보수적 서버 용량</dc:subject>
  <dc:creator>G-HeSS</dc:creator>
  <cp:keywords/>
  <dc:description>generated by python-docx</dc:description>
  <cp:lastModifiedBy/>
  <cp:revision>1</cp:revision>
  <dcterms:created xsi:type="dcterms:W3CDTF">2026-09-29T00:00:00Z</dcterms:created>
  <dcterms:modified xsi:type="dcterms:W3CDTF">2026-09-30T00:00:00Z</dcterms:modified>
  <cp:category/>
  <dc:language>ko-KR</dc:language>
</cp:coreProperties>
</file>