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02A43"/>
          <w:sz w:val="44"/>
        </w:rPr>
        <w:t>头号空间-反扫核销PRD与异常处理流程</w:t>
        <w:br/>
        <w:t>独立提炼版</w:t>
      </w:r>
    </w:p>
    <w:p>
      <w:pPr>
        <w:jc w:val="center"/>
      </w:pPr>
      <w:r>
        <w:rPr>
          <w:rFonts w:ascii="PingFang SC" w:hAnsi="PingFang SC" w:eastAsia="PingFang SC"/>
          <w:color w:val="486581"/>
          <w:sz w:val="21"/>
        </w:rPr>
        <w:t>生成日期：2026-07-13    |    产出方式：依据现有资料提炼，不修改原PRD</w:t>
      </w:r>
    </w:p>
    <w:p/>
    <w:p>
      <w:pPr>
        <w:pStyle w:val="Heading1"/>
      </w:pPr>
      <w:r>
        <w:rPr>
          <w:rFonts w:ascii="PingFang SC" w:hAnsi="PingFang SC" w:eastAsia="PingFang SC"/>
          <w:b w:val="0"/>
        </w:rPr>
        <w:t>一、结论</w:t>
      </w:r>
    </w:p>
    <w:p>
      <w:r>
        <w:rPr>
          <w:rFonts w:ascii="PingFang SC" w:hAnsi="PingFang SC" w:eastAsia="PingFang SC"/>
          <w:b w:val="0"/>
        </w:rPr>
        <w:t>可以。在不调整现有 PRD 文档的前提下，结合仓库内已有 PRD、交易参考、异常订单技术说明和退款流程文档，已经能够提炼出截图中框红的两项交付内容：</w:t>
      </w:r>
    </w:p>
    <w:p>
      <w:r>
        <w:rPr>
          <w:rFonts w:ascii="PingFang SC" w:hAnsi="PingFang SC" w:eastAsia="PingFang SC"/>
          <w:b w:val="0"/>
        </w:rPr>
        <w:t>1. 《反扫核销PRD》：可以整理出独立的业务说明、流程、规则、系统边界和当前可确认的接口口径。</w:t>
      </w:r>
    </w:p>
    <w:p>
      <w:r>
        <w:rPr>
          <w:rFonts w:ascii="PingFang SC" w:hAnsi="PingFang SC" w:eastAsia="PingFang SC"/>
          <w:b w:val="0"/>
        </w:rPr>
        <w:t>2. 《异常处理流程》：可以整理出异常标记、商家处理、平台审核、退款协同和状态流转的完整闭环。</w:t>
      </w:r>
    </w:p>
    <w:p>
      <w:r>
        <w:rPr>
          <w:rFonts w:ascii="PingFang SC" w:hAnsi="PingFang SC" w:eastAsia="PingFang SC"/>
          <w:b w:val="0"/>
          <w:color w:val="9F1239"/>
        </w:rPr>
        <w:t>当前边界：现有资料足以形成产品/研发联调文档，但不足以直接产出“机台开孔尺寸图、硬件结构图、最终扫码枪型号接口标准”这类硬件量产资料，本次文档会明确这一边界。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二、资料来源与提炼范围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7"/>
          </w:tcPr>
          <w:p>
            <w:r>
              <w:rPr>
                <w:rFonts w:ascii="PingFang SC" w:hAnsi="PingFang SC" w:eastAsia="PingFang SC"/>
                <w:b/>
              </w:rPr>
              <w:t>来源文件</w:t>
            </w:r>
          </w:p>
        </w:tc>
        <w:tc>
          <w:tcPr>
            <w:tcW w:type="dxa" w:w="3249"/>
            <w:shd w:fill="DCE6F7"/>
          </w:tcPr>
          <w:p>
            <w:r>
              <w:rPr>
                <w:rFonts w:ascii="PingFang SC" w:hAnsi="PingFang SC" w:eastAsia="PingFang SC"/>
                <w:b/>
              </w:rPr>
              <w:t>核心章节</w:t>
            </w:r>
          </w:p>
        </w:tc>
        <w:tc>
          <w:tcPr>
            <w:tcW w:type="dxa" w:w="3249"/>
            <w:shd w:fill="DCE6F7"/>
          </w:tcPr>
          <w:p>
            <w:r>
              <w:rPr>
                <w:rFonts w:ascii="PingFang SC" w:hAnsi="PingFang SC" w:eastAsia="PingFang SC"/>
                <w:b/>
              </w:rPr>
              <w:t>用于提炼的内容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docs/头号空间-产品需求文档-PRD-v1.3.md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§4.3.4 / §5.8 / §10.10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反扫核销流程、点播终端规则、退款与异常处理唯一口径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docs/头号空间-PC点播系统-设计说明文档.md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§4.1.4 / §5.3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支付与身份识别、反扫/主动扫码两类链路的设计确认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docs/异常订单与对账系统-技术说明.md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§4 / §5 / §6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异常标记入口、处理弹窗、共享状态与状态机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docs/退款交互流程文档.md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§2 / §4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已结算退款、线下退款凭证、退款按钮与交互要求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docs/2026-06-18-trade-prd-reference.md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业务入口 / 支付规则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终端交易、支付接口与 authCode 等字段口径</w:t>
            </w:r>
          </w:p>
        </w:tc>
      </w:tr>
    </w:tbl>
    <w:p>
      <w:pPr>
        <w:pStyle w:val="Heading1"/>
      </w:pPr>
      <w:r>
        <w:rPr>
          <w:rFonts w:ascii="PingFang SC" w:hAnsi="PingFang SC" w:eastAsia="PingFang SC"/>
          <w:b w:val="0"/>
        </w:rPr>
        <w:t>三、《反扫核销PRD》提炼稿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3.1 文档目标</w:t>
      </w:r>
    </w:p>
    <w:p>
      <w:r>
        <w:rPr>
          <w:rFonts w:ascii="PingFang SC" w:hAnsi="PingFang SC" w:eastAsia="PingFang SC"/>
          <w:b w:val="0"/>
        </w:rPr>
        <w:t>定义 VR 门店场景下，会员通过小程序会员码被设备端反扫识别后，如何完成会员确认、支付确认、创单、开局、计时、结束与异常收口的完整链路。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3.2 核心结论</w:t>
      </w:r>
    </w:p>
    <w:p>
      <w:r>
        <w:rPr>
          <w:rFonts w:ascii="PingFang SC" w:hAnsi="PingFang SC" w:eastAsia="PingFang SC"/>
          <w:b w:val="0"/>
        </w:rPr>
        <w:t>• 会员码内容：二维码含会员ID，由后端查询实时余额和会员信息；二维码每5分钟自动刷新。</w:t>
      </w:r>
    </w:p>
    <w:p>
      <w:r>
        <w:rPr>
          <w:rFonts w:ascii="PingFang SC" w:hAnsi="PingFang SC" w:eastAsia="PingFang SC"/>
          <w:b w:val="0"/>
        </w:rPr>
        <w:t>• 确认端口径：玩家主动扫码支付走小程序；会员码被设备反扫后，支付明细和确认仍在小程序；店员点播走手机端 H5；收银员开单在收银台界面确认。</w:t>
      </w:r>
    </w:p>
    <w:p>
      <w:r>
        <w:rPr>
          <w:rFonts w:ascii="PingFang SC" w:hAnsi="PingFang SC" w:eastAsia="PingFang SC"/>
          <w:b w:val="0"/>
        </w:rPr>
        <w:t>• 终端边界：点播终端负责识别扫码结果、触发查询、展示等待与结果；不在大屏展示会员资产扣减明细。</w:t>
      </w:r>
    </w:p>
    <w:p>
      <w:r>
        <w:rPr>
          <w:rFonts w:ascii="PingFang SC" w:hAnsi="PingFang SC" w:eastAsia="PingFang SC"/>
          <w:b w:val="0"/>
        </w:rPr>
        <w:t>• 网络依赖：不做离线降级，断网即暂停服务。</w:t>
      </w:r>
    </w:p>
    <w:p>
      <w:r>
        <w:rPr>
          <w:rFonts w:ascii="PingFang SC" w:hAnsi="PingFang SC" w:eastAsia="PingFang SC"/>
          <w:b w:val="0"/>
        </w:rPr>
        <w:t>• 研发约束：扫码硬件通过抽象层接入；无硬件阶段必须支持模拟扫码；关键动作需要防重、幂等和异常收口。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8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反扫核销主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486581"/>
        </w:rPr>
        <w:t>图 1  反扫核销主流程图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3.3 参与系统与职责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EEF7"/>
          </w:tcPr>
          <w:p>
            <w:r>
              <w:rPr>
                <w:rFonts w:ascii="PingFang SC" w:hAnsi="PingFang SC" w:eastAsia="PingFang SC"/>
                <w:b/>
              </w:rPr>
              <w:t>系统</w:t>
            </w:r>
          </w:p>
        </w:tc>
        <w:tc>
          <w:tcPr>
            <w:tcW w:type="dxa" w:w="4873"/>
            <w:shd w:fill="E8EEF7"/>
          </w:tcPr>
          <w:p>
            <w:r>
              <w:rPr>
                <w:rFonts w:ascii="PingFang SC" w:hAnsi="PingFang SC" w:eastAsia="PingFang SC"/>
                <w:b/>
              </w:rPr>
              <w:t>职责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小程序（miniapp-payment）</w:t>
            </w:r>
          </w:p>
        </w:tc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生成会员码；承载主动扫码与反扫后的支付确认页；展示会员资产、优惠和补差；确认支付。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点播系统</w:t>
            </w:r>
          </w:p>
        </w:tc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接收扫码结果；查询会员；通知小程序展示确认页；展示支付结果与设备引导；触发 Session 开始与结束。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收银台（cashier-ui）</w:t>
            </w:r>
          </w:p>
        </w:tc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扫描 tab 接入同一扫码输入抽象层；收银员开单时在收银台界面完成明细确认。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手机端 H5</w:t>
            </w:r>
          </w:p>
        </w:tc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承载员工点播身份校验与确认。</w:t>
            </w:r>
          </w:p>
        </w:tc>
      </w:tr>
      <w:tr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商家后台（admin-dashboard）</w:t>
            </w:r>
          </w:p>
        </w:tc>
        <w:tc>
          <w:tcPr>
            <w:tcW w:type="dxa" w:w="4873"/>
          </w:tcPr>
          <w:p>
            <w:r>
              <w:rPr>
                <w:rFonts w:ascii="PingFang SC" w:hAnsi="PingFang SC" w:eastAsia="PingFang SC"/>
              </w:rPr>
              <w:t>消费订单、Session、设备状态与异常数据的查询、处理和经营分析。</w:t>
            </w:r>
          </w:p>
        </w:tc>
      </w:tr>
    </w:tbl>
    <w:p>
      <w:pPr>
        <w:pStyle w:val="Heading2"/>
      </w:pPr>
      <w:r>
        <w:rPr>
          <w:rFonts w:ascii="PingFang SC" w:hAnsi="PingFang SC" w:eastAsia="PingFang SC"/>
          <w:b w:val="0"/>
        </w:rPr>
        <w:t>3.4 当前可确认的接口口径</w:t>
      </w:r>
    </w:p>
    <w:p>
      <w:r>
        <w:rPr>
          <w:rFonts w:ascii="PingFang SC" w:hAnsi="PingFang SC" w:eastAsia="PingFang SC"/>
          <w:b w:val="0"/>
        </w:rPr>
        <w:t>说明：以下内容来自现有交易参考与 PRD 流程口径，可用于研发联调文档；不等同于最终后端接口定稿。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EEF7"/>
          </w:tcPr>
          <w:p>
            <w:r>
              <w:rPr>
                <w:rFonts w:ascii="PingFang SC" w:hAnsi="PingFang SC" w:eastAsia="PingFang SC"/>
                <w:b/>
              </w:rPr>
              <w:t>接口/字段</w:t>
            </w:r>
          </w:p>
        </w:tc>
        <w:tc>
          <w:tcPr>
            <w:tcW w:type="dxa" w:w="3249"/>
            <w:shd w:fill="E8EEF7"/>
          </w:tcPr>
          <w:p>
            <w:r>
              <w:rPr>
                <w:rFonts w:ascii="PingFang SC" w:hAnsi="PingFang SC" w:eastAsia="PingFang SC"/>
                <w:b/>
              </w:rPr>
              <w:t>当前口径</w:t>
            </w:r>
          </w:p>
        </w:tc>
        <w:tc>
          <w:tcPr>
            <w:tcW w:type="dxa" w:w="3249"/>
            <w:shd w:fill="E8EEF7"/>
          </w:tcPr>
          <w:p>
            <w:r>
              <w:rPr>
                <w:rFonts w:ascii="PingFang SC" w:hAnsi="PingFang SC" w:eastAsia="PingFang SC"/>
                <w:b/>
              </w:rPr>
              <w:t>来源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POST /api/terminal/trade/consumption-orders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终端/PC 消费下单，来源固定为终端。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trade-prd-reference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POST /api/terminal/trade/payments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终端提交支付；拉卡拉被扫支付通常要求携带 authCode。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trade-prd-reference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authCode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扫码枪扫到的客户付款码；拉卡拉被扫支付必填。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trade-prd-reference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POST /api/member/{id}/query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PRD 已明确存在会员实时查询动作，用于获取会员名/等级/余额/折扣。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PRD §5.8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POST /api/order/create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PRD 已明确创单+扣余额步骤。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PRD §5.8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POST /api/session/start / end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PRD 已明确 Session 启动、心跳、结束与结算口径。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PRD §5.8</w:t>
            </w:r>
          </w:p>
        </w:tc>
      </w:tr>
    </w:tbl>
    <w:p>
      <w:pPr>
        <w:pStyle w:val="Heading2"/>
      </w:pPr>
      <w:r>
        <w:rPr>
          <w:rFonts w:ascii="PingFang SC" w:hAnsi="PingFang SC" w:eastAsia="PingFang SC"/>
          <w:b w:val="0"/>
        </w:rPr>
        <w:t>3.5 必须写入独立文档的研发约束</w:t>
      </w:r>
    </w:p>
    <w:p>
      <w:r>
        <w:rPr>
          <w:rFonts w:ascii="PingFang SC" w:hAnsi="PingFang SC" w:eastAsia="PingFang SC"/>
          <w:b w:val="0"/>
        </w:rPr>
        <w:t>• 扫码硬件适配：统一走“扫码输入抽象层”，系统消费标准化扫码结果事件，不直接绑定具体扫码枪厂商实现。</w:t>
      </w:r>
    </w:p>
    <w:p>
      <w:r>
        <w:rPr>
          <w:rFonts w:ascii="PingFang SC" w:hAnsi="PingFang SC" w:eastAsia="PingFang SC"/>
          <w:b w:val="0"/>
        </w:rPr>
        <w:t>• 无硬件阶段开发：在真实扫码枪接入前，必须支持模拟扫码输入，用于完成识别、扣款、开局、结束和异常验证。</w:t>
      </w:r>
    </w:p>
    <w:p>
      <w:r>
        <w:rPr>
          <w:rFonts w:ascii="PingFang SC" w:hAnsi="PingFang SC" w:eastAsia="PingFang SC"/>
          <w:b w:val="0"/>
        </w:rPr>
        <w:t>• 防重与并发：同一会员码短时间重复扫码必须防重；同一会员同一时刻不得在多个点播终端同时成功开局。</w:t>
      </w:r>
    </w:p>
    <w:p>
      <w:r>
        <w:rPr>
          <w:rFonts w:ascii="PingFang SC" w:hAnsi="PingFang SC" w:eastAsia="PingFang SC"/>
          <w:b w:val="0"/>
        </w:rPr>
        <w:t>• 异常覆盖：至少覆盖扫码异常、会员账户异常、扣款异常、订单创建异常、Session 启动异常、设备离线/占用异常、网络异常。</w:t>
      </w:r>
    </w:p>
    <w:p>
      <w:r>
        <w:rPr>
          <w:rFonts w:ascii="PingFang SC" w:hAnsi="PingFang SC" w:eastAsia="PingFang SC"/>
          <w:b w:val="0"/>
        </w:rPr>
        <w:t>• 异常收口：已扣款但未成功开局时，必须自动回滚或进入人工处理，不允许形成长期悬挂订单。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四、《异常处理流程》提炼稿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4.1 异常来源</w:t>
      </w:r>
    </w:p>
    <w:p>
      <w:r>
        <w:rPr>
          <w:rFonts w:ascii="PingFang SC" w:hAnsi="PingFang SC" w:eastAsia="PingFang SC"/>
          <w:b w:val="0"/>
        </w:rPr>
        <w:t>• 订单页人工标记：商家后台 6 类订单列表页可直接标记异常。</w:t>
      </w:r>
    </w:p>
    <w:p>
      <w:r>
        <w:rPr>
          <w:rFonts w:ascii="PingFang SC" w:hAnsi="PingFang SC" w:eastAsia="PingFang SC"/>
          <w:b w:val="0"/>
        </w:rPr>
        <w:t>• 自动对账：系统模拟或真实比对后发现差异，写入异常列表。</w:t>
      </w:r>
    </w:p>
    <w:p>
      <w:r>
        <w:rPr>
          <w:rFonts w:ascii="PingFang SC" w:hAnsi="PingFang SC" w:eastAsia="PingFang SC"/>
          <w:b w:val="0"/>
        </w:rPr>
        <w:t>• 上传对账单：导入 xlsx/csv 后发现差异，写入异常列表。</w:t>
      </w:r>
    </w:p>
    <w:p>
      <w:r>
        <w:rPr>
          <w:rFonts w:ascii="PingFang SC" w:hAnsi="PingFang SC" w:eastAsia="PingFang SC"/>
          <w:b w:val="0"/>
        </w:rPr>
        <w:t>• 手动录入核对：按订单号逐笔核对渠道金额，发现差异后写入异常列表。</w:t>
      </w:r>
    </w:p>
    <w:p>
      <w:r>
        <w:rPr>
          <w:rFonts w:ascii="PingFang SC" w:hAnsi="PingFang SC" w:eastAsia="PingFang SC"/>
          <w:b w:val="0"/>
        </w:rPr>
        <w:t>• 平台巡检：平台端订单流水页也可标记异常，来源记为“平台巡检”。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4.2 商家端处理口径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EEF7"/>
          </w:tcPr>
          <w:p>
            <w:r>
              <w:rPr>
                <w:rFonts w:ascii="PingFang SC" w:hAnsi="PingFang SC" w:eastAsia="PingFang SC"/>
                <w:b/>
              </w:rPr>
              <w:t>状态</w:t>
            </w:r>
          </w:p>
        </w:tc>
        <w:tc>
          <w:tcPr>
            <w:tcW w:type="dxa" w:w="3249"/>
            <w:shd w:fill="E8EEF7"/>
          </w:tcPr>
          <w:p>
            <w:r>
              <w:rPr>
                <w:rFonts w:ascii="PingFang SC" w:hAnsi="PingFang SC" w:eastAsia="PingFang SC"/>
                <w:b/>
              </w:rPr>
              <w:t>弹窗标题</w:t>
            </w:r>
          </w:p>
        </w:tc>
        <w:tc>
          <w:tcPr>
            <w:tcW w:type="dxa" w:w="3249"/>
            <w:shd w:fill="E8EEF7"/>
          </w:tcPr>
          <w:p>
            <w:r>
              <w:rPr>
                <w:rFonts w:ascii="PingFang SC" w:hAnsi="PingFang SC" w:eastAsia="PingFang SC"/>
                <w:b/>
              </w:rPr>
              <w:t>可选操作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pending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处理异常订单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已解决 / 退款 / 提交平台 / 忽略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escalated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处理异常订单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已解决 / 退款 / 提交平台 / 忽略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rejected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处理驳回订单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修正后重新提交平台 / 自行解决</w:t>
            </w:r>
          </w:p>
        </w:tc>
      </w:tr>
      <w:tr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resolved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查看异常订单</w:t>
            </w:r>
          </w:p>
        </w:tc>
        <w:tc>
          <w:tcPr>
            <w:tcW w:type="dxa" w:w="3249"/>
          </w:tcPr>
          <w:p>
            <w:r>
              <w:rPr>
                <w:rFonts w:ascii="PingFang SC" w:hAnsi="PingFang SC" w:eastAsia="PingFang SC"/>
              </w:rPr>
              <w:t>只读查看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85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异常处理状态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486581"/>
        </w:rPr>
        <w:t>图 2  异常处理状态机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4.3 平台端审核口径</w:t>
      </w:r>
    </w:p>
    <w:p>
      <w:r>
        <w:rPr>
          <w:rFonts w:ascii="PingFang SC" w:hAnsi="PingFang SC" w:eastAsia="PingFang SC"/>
          <w:b w:val="0"/>
        </w:rPr>
        <w:t>平台对账中心汇总商家提交与平台巡检的异常订单。平台端审核动作收口为两项：</w:t>
      </w:r>
    </w:p>
    <w:p>
      <w:r>
        <w:rPr>
          <w:rFonts w:ascii="PingFang SC" w:hAnsi="PingFang SC" w:eastAsia="PingFang SC"/>
          <w:b w:val="0"/>
        </w:rPr>
        <w:t>• 已解决：pending / escalated → resolved。</w:t>
      </w:r>
    </w:p>
    <w:p>
      <w:r>
        <w:rPr>
          <w:rFonts w:ascii="PingFang SC" w:hAnsi="PingFang SC" w:eastAsia="PingFang SC"/>
          <w:b w:val="0"/>
        </w:rPr>
        <w:t>• 驳回：pending / escalated → rejected，且驳回原因必填并写入 handleRemark。</w:t>
      </w:r>
    </w:p>
    <w:p>
      <w:r>
        <w:rPr>
          <w:rFonts w:ascii="PingFang SC" w:hAnsi="PingFang SC" w:eastAsia="PingFang SC"/>
          <w:b w:val="0"/>
        </w:rPr>
        <w:t>平台端不再提供退款入口；退款由商家在商家后台处理。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4.4 退款协同口径</w:t>
      </w:r>
    </w:p>
    <w:p>
      <w:r>
        <w:rPr>
          <w:rFonts w:ascii="PingFang SC" w:hAnsi="PingFang SC" w:eastAsia="PingFang SC"/>
          <w:b w:val="0"/>
        </w:rPr>
        <w:t>• 已结算订单退款：店铺线下退款，系统记录退款凭证、操作人、原因和金额。</w:t>
      </w:r>
    </w:p>
    <w:p>
      <w:r>
        <w:rPr>
          <w:rFonts w:ascii="PingFang SC" w:hAnsi="PingFang SC" w:eastAsia="PingFang SC"/>
          <w:b w:val="0"/>
        </w:rPr>
        <w:t>• 线下退款凭证：已结算退款必须上传图片凭证，未上传时确认按钮禁用。</w:t>
      </w:r>
    </w:p>
    <w:p>
      <w:r>
        <w:rPr>
          <w:rFonts w:ascii="PingFang SC" w:hAnsi="PingFang SC" w:eastAsia="PingFang SC"/>
          <w:b w:val="0"/>
        </w:rPr>
        <w:t>• 预存款/游戏币退款：系统退回会员预存款或游戏币，冲正商家收入确认，不产生拉卡拉退款。</w:t>
      </w:r>
    </w:p>
    <w:p>
      <w:r>
        <w:rPr>
          <w:rFonts w:ascii="PingFang SC" w:hAnsi="PingFang SC" w:eastAsia="PingFang SC"/>
          <w:b w:val="0"/>
        </w:rPr>
        <w:t>• 点播体验退款例外：用户主动提前结束、摘盔超时、个人原因中途退出默认不自动退款；设备故障、游戏崩溃、心跳异常等场景进入异常审核。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五、建议作为独立交付物的文档结构</w:t>
      </w:r>
    </w:p>
    <w:p>
      <w:r>
        <w:rPr>
          <w:rFonts w:ascii="PingFang SC" w:hAnsi="PingFang SC" w:eastAsia="PingFang SC"/>
          <w:b w:val="0"/>
        </w:rPr>
        <w:t>• 封面与结论：明确“基于现有资料提炼，不修改原 PRD”。</w:t>
      </w:r>
    </w:p>
    <w:p>
      <w:r>
        <w:rPr>
          <w:rFonts w:ascii="PingFang SC" w:hAnsi="PingFang SC" w:eastAsia="PingFang SC"/>
          <w:b w:val="0"/>
        </w:rPr>
        <w:t>• 第一部分《反扫核销PRD》：背景、适用范围、参与系统、主流程图、关键规则、研发约束、接口口径、边界说明。</w:t>
      </w:r>
    </w:p>
    <w:p>
      <w:r>
        <w:rPr>
          <w:rFonts w:ascii="PingFang SC" w:hAnsi="PingFang SC" w:eastAsia="PingFang SC"/>
          <w:b w:val="0"/>
        </w:rPr>
        <w:t>• 第二部分《异常处理流程》：异常来源、标记入口、状态机图、商家端处理、平台端审核、退款协同、体验异常判责。</w:t>
      </w:r>
    </w:p>
    <w:p>
      <w:r>
        <w:rPr>
          <w:rFonts w:ascii="PingFang SC" w:hAnsi="PingFang SC" w:eastAsia="PingFang SC"/>
          <w:b w:val="0"/>
        </w:rPr>
        <w:t>• 附录：来源章节索引，便于回溯到原始 PRD 与技术说明。</w:t>
      </w:r>
    </w:p>
    <w:p>
      <w:pPr>
        <w:pStyle w:val="Heading1"/>
      </w:pPr>
      <w:r>
        <w:rPr>
          <w:rFonts w:ascii="PingFang SC" w:hAnsi="PingFang SC" w:eastAsia="PingFang SC"/>
          <w:b w:val="0"/>
        </w:rPr>
        <w:t>六、本次提炼的边界说明</w:t>
      </w:r>
    </w:p>
    <w:p>
      <w:r>
        <w:rPr>
          <w:rFonts w:ascii="PingFang SC" w:hAnsi="PingFang SC" w:eastAsia="PingFang SC"/>
          <w:b w:val="0"/>
          <w:color w:val="9F1239"/>
        </w:rPr>
        <w:t>本稿已经覆盖截图中框红的两项内容，但不主动新增原资料中不存在的规则。特别是“机台开孔尺寸、结构件定位、扫码枪最终通信协议、硬件量产图纸”未在当前仓库资料中形成可直接出图的依据，因此本次仅能输出产品/研发说明文档，不输出硬件结构图纸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