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BEAAA">
      <w:pPr>
        <w:jc w:val="center"/>
      </w:pPr>
      <w:r>
        <w:rPr>
          <w:rFonts w:ascii="Arial Unicode MS" w:hAnsi="Arial Unicode MS" w:eastAsia="Arial Unicode MS"/>
          <w:b/>
          <w:color w:val="0F172A"/>
          <w:sz w:val="44"/>
        </w:rPr>
        <w:t>头号空间 · 商家门店使用教程</w:t>
      </w:r>
    </w:p>
    <w:p w14:paraId="21DF3C5E">
      <w:pPr>
        <w:jc w:val="center"/>
      </w:pPr>
      <w:r>
        <w:rPr>
          <w:rFonts w:ascii="Arial Unicode MS" w:hAnsi="Arial Unicode MS" w:eastAsia="Arial Unicode MS"/>
          <w:b w:val="0"/>
          <w:color w:val="64748B"/>
          <w:sz w:val="23"/>
        </w:rPr>
        <w:t>可编辑版说明文档｜适用角色：老板、店长、店员、门店管理员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6DF6B4C">
        <w:trPr>
          <w:jc w:val="center"/>
        </w:trPr>
        <w:tc>
          <w:tcPr>
            <w:tcW w:w="4706" w:type="dxa"/>
            <w:vAlign w:val="center"/>
          </w:tcPr>
          <w:p w14:paraId="0A550342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覆盖系统</w:t>
            </w:r>
          </w:p>
        </w:tc>
        <w:tc>
          <w:tcPr>
            <w:tcW w:w="4706" w:type="dxa"/>
            <w:vAlign w:val="center"/>
          </w:tcPr>
          <w:p w14:paraId="0E60E70B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商户后台 admin-dashboard Shop + PC 点播系统管理模式</w:t>
            </w:r>
          </w:p>
        </w:tc>
      </w:tr>
      <w:tr w14:paraId="34603A48">
        <w:trPr>
          <w:jc w:val="center"/>
        </w:trPr>
        <w:tc>
          <w:tcPr>
            <w:tcW w:w="4706" w:type="dxa"/>
            <w:vAlign w:val="center"/>
          </w:tcPr>
          <w:p w14:paraId="4AE630D1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文档目标</w:t>
            </w:r>
          </w:p>
        </w:tc>
        <w:tc>
          <w:tcPr>
            <w:tcW w:w="4706" w:type="dxa"/>
            <w:vAlign w:val="center"/>
          </w:tcPr>
          <w:p w14:paraId="5E711372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帮助门店完成开业准备、设备核对、价格配置和终端上线</w:t>
            </w:r>
          </w:p>
        </w:tc>
      </w:tr>
    </w:tbl>
    <w:p w14:paraId="705A033A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这份文档从门店视角出发，重点讲“官方交接以后，门店还需要自己做什么”，以及后台与点播系统之间怎样配合，才能真正开门营业。</w:t>
      </w:r>
    </w:p>
    <w:p w14:paraId="53B4BC1A">
      <w:pPr>
        <w:jc w:val="center"/>
      </w:pPr>
      <w:r>
        <w:drawing>
          <wp:inline distT="0" distB="0" distL="114300" distR="114300">
            <wp:extent cx="5759450" cy="3023870"/>
            <wp:effectExtent l="0" t="0" r="635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7E5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一、接收官方交付后的第一步</w:t>
      </w:r>
    </w:p>
    <w:p w14:paraId="60134427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先确认是否已经拿到后台账号、门店信息、主机编号、头显清单和 Token。</w:t>
      </w:r>
    </w:p>
    <w:p w14:paraId="2FAB963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让现场设备和后台设备列表一一对应，避免后面改密码或绑定时找错机器。</w:t>
      </w:r>
    </w:p>
    <w:p w14:paraId="5E173C9F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确认官方已经告诉你：哪些游戏已经分发，哪些内容需要在现场继续安装。</w:t>
      </w:r>
    </w:p>
    <w:p w14:paraId="73C3CD99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二、登录商户后台并核对设备</w:t>
      </w:r>
    </w:p>
    <w:p w14:paraId="2EF3DE4C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操作路径：系统设置 → 设备列表</w:t>
      </w:r>
    </w:p>
    <w:p w14:paraId="48E2C603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看主机设备</w:t>
      </w:r>
    </w:p>
    <w:p w14:paraId="18FEDD1A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重点看主机编号、MAC 地址、在线状态和绑定头显数量。</w:t>
      </w:r>
    </w:p>
    <w:p w14:paraId="18A6A36E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如果主机显示已经分配，但现场找不到对应主机，先不要继续装游戏，要先把设备清单核对清楚。</w:t>
      </w:r>
    </w:p>
    <w:p w14:paraId="31E64652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看头显设备</w:t>
      </w:r>
    </w:p>
    <w:p w14:paraId="0BCED06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重点看 SN 码、型号、电量、绑定主机和使用状态。</w:t>
      </w:r>
    </w:p>
    <w:p w14:paraId="58B87441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如果官方还没绑好，门店可以在后台补做同店铺下的头显绑定。</w:t>
      </w:r>
    </w:p>
    <w:p w14:paraId="4589711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如果系统提示头显和主机不在同一门店，先回官方后台修正归属，再继续操作。</w:t>
      </w:r>
    </w:p>
    <w:p w14:paraId="6F76921B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三、设置点播系统密码</w:t>
      </w:r>
    </w:p>
    <w:p w14:paraId="7831D6EC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操作路径：系统设置 → 设备列表 → 主机设备 → 修改点播系统密码</w:t>
      </w:r>
    </w:p>
    <w:p w14:paraId="481B2551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点播系统密码是给店员进入管理模式用的，不建议留空。</w:t>
      </w:r>
    </w:p>
    <w:p w14:paraId="2E48B744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建议每台主机都设置独立密码，并记录在交接班表上。</w:t>
      </w:r>
    </w:p>
    <w:p w14:paraId="258758B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如果密码忘了，由有权限的门店管理员在后台重新设置。</w:t>
      </w:r>
    </w:p>
    <w:p w14:paraId="14ADD975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四、配置门店售卖规则</w:t>
      </w:r>
    </w:p>
    <w:p w14:paraId="68CE920B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配价格</w:t>
      </w:r>
    </w:p>
    <w:p w14:paraId="11C15BEB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操作路径：商品管理 → 单次消费项目</w:t>
      </w:r>
    </w:p>
    <w:p w14:paraId="6D0768F1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建议按 30 分钟、60 分钟、单局体验等维度配置价格。</w:t>
      </w:r>
    </w:p>
    <w:p w14:paraId="27269C22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终端展示的时长与后台定价要一致，避免顾客看到的和店员收的不是一回事。</w:t>
      </w:r>
    </w:p>
    <w:p w14:paraId="1699D2B2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配充值套餐、会员和优惠券</w:t>
      </w:r>
    </w:p>
    <w:p w14:paraId="759E065F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在运营管理中配置充值套餐，例如充 100 送 10、充 300 送 50。</w:t>
      </w:r>
    </w:p>
    <w:p w14:paraId="095D5F2F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在会员级别里配置普通会员、金卡、钻石等折扣权益。</w:t>
      </w:r>
    </w:p>
    <w:p w14:paraId="7FB5C87E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在优惠券里配置满减券、代金券、折扣券或体验券，方便开业拉新和复购促销。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F42D030">
        <w:trPr>
          <w:jc w:val="center"/>
        </w:trPr>
        <w:tc>
          <w:tcPr>
            <w:tcW w:w="4706" w:type="dxa"/>
            <w:shd w:val="clear" w:color="auto" w:fill="DBEAFE"/>
            <w:vAlign w:val="center"/>
          </w:tcPr>
          <w:p w14:paraId="5103E933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配置项</w:t>
            </w:r>
          </w:p>
        </w:tc>
        <w:tc>
          <w:tcPr>
            <w:tcW w:w="4706" w:type="dxa"/>
            <w:shd w:val="clear" w:color="auto" w:fill="DBEAFE"/>
            <w:vAlign w:val="center"/>
          </w:tcPr>
          <w:p w14:paraId="78BECD99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推荐做法</w:t>
            </w:r>
          </w:p>
        </w:tc>
      </w:tr>
      <w:tr w14:paraId="43EA7F98">
        <w:trPr>
          <w:jc w:val="center"/>
        </w:trPr>
        <w:tc>
          <w:tcPr>
            <w:tcW w:w="4706" w:type="dxa"/>
            <w:vAlign w:val="center"/>
          </w:tcPr>
          <w:p w14:paraId="4CA04669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单次消费项目</w:t>
            </w:r>
          </w:p>
        </w:tc>
        <w:tc>
          <w:tcPr>
            <w:tcW w:w="4706" w:type="dxa"/>
            <w:vAlign w:val="center"/>
          </w:tcPr>
          <w:p w14:paraId="75919CA2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按时长或单局体验维度设置售价</w:t>
            </w:r>
          </w:p>
        </w:tc>
      </w:tr>
      <w:tr w14:paraId="211E93C5">
        <w:trPr>
          <w:jc w:val="center"/>
        </w:trPr>
        <w:tc>
          <w:tcPr>
            <w:tcW w:w="4706" w:type="dxa"/>
            <w:vAlign w:val="center"/>
          </w:tcPr>
          <w:p w14:paraId="52781815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充值套餐</w:t>
            </w:r>
          </w:p>
        </w:tc>
        <w:tc>
          <w:tcPr>
            <w:tcW w:w="4706" w:type="dxa"/>
            <w:vAlign w:val="center"/>
          </w:tcPr>
          <w:p w14:paraId="726BBF12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用少量常用档位，不要第一次就配太复杂</w:t>
            </w:r>
          </w:p>
        </w:tc>
      </w:tr>
      <w:tr w14:paraId="51372076">
        <w:trPr>
          <w:jc w:val="center"/>
        </w:trPr>
        <w:tc>
          <w:tcPr>
            <w:tcW w:w="4706" w:type="dxa"/>
            <w:vAlign w:val="center"/>
          </w:tcPr>
          <w:p w14:paraId="7700DE85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会员级别</w:t>
            </w:r>
          </w:p>
        </w:tc>
        <w:tc>
          <w:tcPr>
            <w:tcW w:w="4706" w:type="dxa"/>
            <w:vAlign w:val="center"/>
          </w:tcPr>
          <w:p w14:paraId="541C90A7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至少先有普通会员和一个高阶会员折扣</w:t>
            </w:r>
          </w:p>
        </w:tc>
      </w:tr>
      <w:tr w14:paraId="3C6616EE">
        <w:trPr>
          <w:jc w:val="center"/>
        </w:trPr>
        <w:tc>
          <w:tcPr>
            <w:tcW w:w="4706" w:type="dxa"/>
            <w:vAlign w:val="center"/>
          </w:tcPr>
          <w:p w14:paraId="6266B098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优惠券</w:t>
            </w:r>
          </w:p>
        </w:tc>
        <w:tc>
          <w:tcPr>
            <w:tcW w:w="4706" w:type="dxa"/>
            <w:vAlign w:val="center"/>
          </w:tcPr>
          <w:p w14:paraId="5552BAFD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先配一到两个常用活动，不要一次上太多规则</w:t>
            </w:r>
          </w:p>
        </w:tc>
      </w:tr>
    </w:tbl>
    <w:p w14:paraId="0E4ABD89">
      <w:pPr>
        <w:jc w:val="center"/>
      </w:pPr>
      <w:r>
        <w:drawing>
          <wp:inline distT="0" distB="0" distL="114300" distR="114300">
            <wp:extent cx="5759450" cy="2951480"/>
            <wp:effectExtent l="0" t="0" r="635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01A5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五、在点播系统里完成上线准备</w:t>
      </w:r>
    </w:p>
    <w:p w14:paraId="1B769C64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开机前准备</w:t>
      </w:r>
    </w:p>
    <w:p w14:paraId="1F1988DA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确认主机已经在官方后台完成分配，并拿到了专属 Token。</w:t>
      </w:r>
    </w:p>
    <w:p w14:paraId="1C1B4A1E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确认现场网络正常，磁盘空间足够；大文件分发前最好先测下载速度。</w:t>
      </w:r>
    </w:p>
    <w:p w14:paraId="23079C9B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如有一体机内容需要安装，提前准备好 USB 3.0 数据线。</w:t>
      </w:r>
    </w:p>
    <w:p w14:paraId="3939D8FF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写入 Token</w:t>
      </w:r>
    </w:p>
    <w:p w14:paraId="33A56E45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打开点播系统安装包或登录页，进入“基础配置 / 系统设置 / Token 设置”入口。</w:t>
      </w:r>
    </w:p>
    <w:p w14:paraId="62EBC81B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把官方下发的 Token 填进去并保存。</w:t>
      </w:r>
    </w:p>
    <w:p w14:paraId="715512D0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保存后重新加载终端，让系统完成门店绑定和内容同步。</w:t>
      </w:r>
    </w:p>
    <w:p w14:paraId="4EABC63E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提示：有些版本在登录页右上角“更多菜单”里进入基础配置，有些版本要先进入管理模式再改。</w:t>
      </w:r>
    </w:p>
    <w:p w14:paraId="30CCCCF4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3. 同步并安装游戏</w:t>
      </w:r>
    </w:p>
    <w:p w14:paraId="2EA0982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Token 生效后，终端应该能看到当前门店已分发的游戏列表。</w:t>
      </w:r>
    </w:p>
    <w:p w14:paraId="5DD778F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主机游戏通常直接点“安装到主机”；一体机游戏需要先接入头显，再点“安装到一体机 / 头显”。</w:t>
      </w:r>
    </w:p>
    <w:p w14:paraId="5D9F552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营业前至少把主推内容装好，并随机抽查 1 到 2 款能正常进入启动流程。</w:t>
      </w:r>
    </w:p>
    <w:p w14:paraId="2502B4AA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六、开业前最后巡检</w:t>
      </w:r>
    </w:p>
    <w:p w14:paraId="29A22FCB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后台设备列表与现场设备编号一致。</w:t>
      </w:r>
    </w:p>
    <w:p w14:paraId="5E6AB23B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点播系统密码已经设置并告知值班店员。</w:t>
      </w:r>
    </w:p>
    <w:p w14:paraId="5DDDBD87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主推游戏已经安装完成。</w:t>
      </w:r>
    </w:p>
    <w:p w14:paraId="195014EA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测试过一笔支付和一笔开局，确认订单能在后台查到。</w:t>
      </w:r>
    </w:p>
    <w:p w14:paraId="7F4AB308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头显电量、佩戴指引和门店注册码都已经准备好。</w:t>
      </w:r>
      <w:bookmarkStart w:id="0" w:name="_GoBack"/>
      <w:bookmarkEnd w:id="0"/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98FE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3A8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4155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172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Andy</cp:lastModifiedBy>
  <dcterms:modified xsi:type="dcterms:W3CDTF">2026-07-17T10:46:45Z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1BD88D9DDA0A5CA69597596AC5A2AF4D_42</vt:lpwstr>
  </property>
</Properties>
</file>