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7A18C">
      <w:pPr>
        <w:jc w:val="center"/>
      </w:pPr>
      <w:r>
        <w:rPr>
          <w:rFonts w:ascii="Arial Unicode MS" w:hAnsi="Arial Unicode MS" w:eastAsia="Arial Unicode MS"/>
          <w:b/>
          <w:color w:val="0F172A"/>
          <w:sz w:val="44"/>
        </w:rPr>
        <w:t>头号空间 · 官方运营使用教程</w:t>
      </w:r>
    </w:p>
    <w:p w14:paraId="22726AD1">
      <w:pPr>
        <w:jc w:val="center"/>
      </w:pPr>
      <w:r>
        <w:rPr>
          <w:rFonts w:ascii="Arial Unicode MS" w:hAnsi="Arial Unicode MS" w:eastAsia="Arial Unicode MS"/>
          <w:b w:val="0"/>
          <w:color w:val="64748B"/>
          <w:sz w:val="23"/>
        </w:rPr>
        <w:t>可编辑版说明文档｜适用角色：平台超管、运营交付、财务配置人员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69BA3525">
        <w:trPr>
          <w:jc w:val="center"/>
        </w:trPr>
        <w:tc>
          <w:tcPr>
            <w:tcW w:w="4706" w:type="dxa"/>
            <w:vAlign w:val="center"/>
          </w:tcPr>
          <w:p w14:paraId="06DFA158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覆盖系统</w:t>
            </w:r>
          </w:p>
        </w:tc>
        <w:tc>
          <w:tcPr>
            <w:tcW w:w="4706" w:type="dxa"/>
            <w:vAlign w:val="center"/>
          </w:tcPr>
          <w:p w14:paraId="421330D8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总运营后台 admin-dashboard Platform</w:t>
            </w:r>
          </w:p>
        </w:tc>
      </w:tr>
      <w:tr w14:paraId="103AE820">
        <w:trPr>
          <w:jc w:val="center"/>
        </w:trPr>
        <w:tc>
          <w:tcPr>
            <w:tcW w:w="4706" w:type="dxa"/>
            <w:vAlign w:val="center"/>
          </w:tcPr>
          <w:p w14:paraId="07C034DE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文档目标</w:t>
            </w:r>
          </w:p>
        </w:tc>
        <w:tc>
          <w:tcPr>
            <w:tcW w:w="4706" w:type="dxa"/>
            <w:vAlign w:val="center"/>
          </w:tcPr>
          <w:p w14:paraId="29ADB2DD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指导官方从新建商家到门店具备营业条件的完整交付流程</w:t>
            </w:r>
          </w:p>
        </w:tc>
      </w:tr>
    </w:tbl>
    <w:p w14:paraId="78858A31">
      <w:pPr>
        <w:spacing w:before="0" w:after="120"/>
        <w:rPr>
          <w:rFonts w:ascii="Arial Unicode MS" w:hAnsi="Arial Unicode MS" w:eastAsia="Arial Unicode MS"/>
          <w:b w:val="0"/>
          <w:color w:val="334155"/>
          <w:sz w:val="22"/>
        </w:rPr>
      </w:pPr>
    </w:p>
    <w:p w14:paraId="7B45DB50">
      <w:pPr>
        <w:spacing w:before="0" w:after="120"/>
      </w:pPr>
      <w:bookmarkStart w:id="0" w:name="_GoBack"/>
      <w:bookmarkEnd w:id="0"/>
      <w:r>
        <w:rPr>
          <w:rFonts w:ascii="Arial Unicode MS" w:hAnsi="Arial Unicode MS" w:eastAsia="Arial Unicode MS"/>
          <w:b w:val="0"/>
          <w:color w:val="334155"/>
          <w:sz w:val="22"/>
        </w:rPr>
        <w:t>这份文档面向官方运营和交付人员。需要特别强调的是：官方工作里至少存在两条并行链路，一条是商家/门店开通交付线，另一条是平台内容管理线；两条线最终在“内容分发到门店”这个节点汇合。</w:t>
      </w:r>
    </w:p>
    <w:p w14:paraId="157E140C">
      <w:pPr>
        <w:jc w:val="center"/>
      </w:pPr>
      <w:r>
        <w:drawing>
          <wp:inline distT="0" distB="0" distL="114300" distR="114300">
            <wp:extent cx="5759450" cy="3239770"/>
            <wp:effectExtent l="0" t="0" r="635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6553">
      <w:pPr>
        <w:pStyle w:val="3"/>
      </w:pPr>
      <w:r>
        <w:rPr>
          <w:rFonts w:ascii="Arial Unicode MS" w:hAnsi="Arial Unicode MS" w:eastAsia="Arial Unicode MS"/>
          <w:b/>
          <w:color w:val="1E3A8A"/>
          <w:sz w:val="36"/>
        </w:rPr>
        <w:t>一、开通前要先确认什么</w:t>
      </w:r>
    </w:p>
    <w:p w14:paraId="6F9E8BF0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商家主体信息是否齐全：名称、联系人、联系电话、负责区域、代理归属。</w:t>
      </w:r>
    </w:p>
    <w:p w14:paraId="76FF4D67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门店现场设备是否已经统计清楚：主机数量、头显数量、设备型号和主机编号规则。</w:t>
      </w:r>
    </w:p>
    <w:p w14:paraId="3A7377B1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计划上线的游戏清单是否明确：哪些是主机游戏，哪些是一体机游戏，哪些内容需要现场 USB 安装。</w:t>
      </w:r>
    </w:p>
    <w:p w14:paraId="58187163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门店是否需要同步完成收款测试：如需要，支付配置和测试联系人要提前准备。</w:t>
      </w:r>
    </w:p>
    <w:p w14:paraId="609D1CEB">
      <w:pPr>
        <w:pStyle w:val="3"/>
      </w:pPr>
      <w:r>
        <w:rPr>
          <w:rFonts w:ascii="Arial Unicode MS" w:hAnsi="Arial Unicode MS" w:eastAsia="Arial Unicode MS"/>
          <w:b/>
          <w:color w:val="1E3A8A"/>
          <w:sz w:val="36"/>
        </w:rPr>
        <w:t>二、商家开通交付线</w:t>
      </w:r>
    </w:p>
    <w:p w14:paraId="2D1EFE6C">
      <w:pPr>
        <w:pStyle w:val="4"/>
      </w:pPr>
      <w:r>
        <w:rPr>
          <w:rFonts w:ascii="Arial Unicode MS" w:hAnsi="Arial Unicode MS" w:eastAsia="Arial Unicode MS"/>
          <w:b/>
          <w:color w:val="0F766E"/>
          <w:sz w:val="30"/>
        </w:rPr>
        <w:t>1. 新建商家</w:t>
      </w:r>
    </w:p>
    <w:p w14:paraId="71B2DEE9">
      <w:pPr>
        <w:spacing w:before="0" w:after="120"/>
      </w:pPr>
      <w:r>
        <w:rPr>
          <w:rFonts w:ascii="Arial Unicode MS" w:hAnsi="Arial Unicode MS" w:eastAsia="Arial Unicode MS"/>
          <w:b w:val="0"/>
          <w:color w:val="334155"/>
          <w:sz w:val="22"/>
        </w:rPr>
        <w:t>操作路径：店铺管理 → 商家管理 → 新增商家</w:t>
      </w:r>
    </w:p>
    <w:p w14:paraId="1A8F2B57">
      <w:pPr>
        <w:pStyle w:val="14"/>
      </w:pPr>
      <w:r>
        <w:rPr>
          <w:rFonts w:ascii="Arial Unicode MS" w:hAnsi="Arial Unicode MS" w:eastAsia="Arial Unicode MS"/>
          <w:b w:val="0"/>
          <w:color w:val="334155"/>
          <w:sz w:val="22"/>
        </w:rPr>
        <w:t>填写商家名称、联系人、联系电话、负责区域、代理商和提现手续费率。</w:t>
      </w:r>
    </w:p>
    <w:p w14:paraId="5998656F">
      <w:pPr>
        <w:pStyle w:val="14"/>
      </w:pPr>
      <w:r>
        <w:rPr>
          <w:rFonts w:ascii="Arial Unicode MS" w:hAnsi="Arial Unicode MS" w:eastAsia="Arial Unicode MS"/>
          <w:b w:val="0"/>
          <w:color w:val="334155"/>
          <w:sz w:val="22"/>
        </w:rPr>
        <w:t>创建商家后台管理员账号和密码，这套账号会交付给商家作为正式登录凭证。</w:t>
      </w:r>
    </w:p>
    <w:p w14:paraId="09F9FBB8">
      <w:pPr>
        <w:pStyle w:val="14"/>
      </w:pPr>
      <w:r>
        <w:rPr>
          <w:rFonts w:ascii="Arial Unicode MS" w:hAnsi="Arial Unicode MS" w:eastAsia="Arial Unicode MS"/>
          <w:b w:val="0"/>
          <w:color w:val="334155"/>
          <w:sz w:val="22"/>
        </w:rPr>
        <w:t>补充提现账户信息；如果现场暂时拿不到银行卡信息，可以先建档，后续再补。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44AEEE05">
        <w:trPr>
          <w:jc w:val="center"/>
        </w:trPr>
        <w:tc>
          <w:tcPr>
            <w:tcW w:w="4706" w:type="dxa"/>
            <w:shd w:val="clear" w:color="auto" w:fill="DBEAFE"/>
            <w:vAlign w:val="center"/>
          </w:tcPr>
          <w:p w14:paraId="791F293F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/>
                <w:color w:val="1F2937"/>
                <w:sz w:val="21"/>
              </w:rPr>
              <w:t>字段</w:t>
            </w:r>
          </w:p>
        </w:tc>
        <w:tc>
          <w:tcPr>
            <w:tcW w:w="4706" w:type="dxa"/>
            <w:shd w:val="clear" w:color="auto" w:fill="DBEAFE"/>
            <w:vAlign w:val="center"/>
          </w:tcPr>
          <w:p w14:paraId="3338A026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/>
                <w:color w:val="1F2937"/>
                <w:sz w:val="21"/>
              </w:rPr>
              <w:t>建议口径</w:t>
            </w:r>
          </w:p>
        </w:tc>
      </w:tr>
      <w:tr w14:paraId="6C3F2CB3">
        <w:trPr>
          <w:jc w:val="center"/>
        </w:trPr>
        <w:tc>
          <w:tcPr>
            <w:tcW w:w="4706" w:type="dxa"/>
            <w:vAlign w:val="center"/>
          </w:tcPr>
          <w:p w14:paraId="1E2D5AB5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商家名称</w:t>
            </w:r>
          </w:p>
        </w:tc>
        <w:tc>
          <w:tcPr>
            <w:tcW w:w="4706" w:type="dxa"/>
            <w:vAlign w:val="center"/>
          </w:tcPr>
          <w:p w14:paraId="3375F37B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与合同或营业执照保持一致</w:t>
            </w:r>
          </w:p>
        </w:tc>
      </w:tr>
      <w:tr w14:paraId="59F570BA">
        <w:trPr>
          <w:jc w:val="center"/>
        </w:trPr>
        <w:tc>
          <w:tcPr>
            <w:tcW w:w="4706" w:type="dxa"/>
            <w:vAlign w:val="center"/>
          </w:tcPr>
          <w:p w14:paraId="250575FE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管理员账号</w:t>
            </w:r>
          </w:p>
        </w:tc>
        <w:tc>
          <w:tcPr>
            <w:tcW w:w="4706" w:type="dxa"/>
            <w:vAlign w:val="center"/>
          </w:tcPr>
          <w:p w14:paraId="138532C4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便于识别商家主体，避免多店混淆</w:t>
            </w:r>
          </w:p>
        </w:tc>
      </w:tr>
      <w:tr w14:paraId="21C9D394">
        <w:trPr>
          <w:jc w:val="center"/>
        </w:trPr>
        <w:tc>
          <w:tcPr>
            <w:tcW w:w="4706" w:type="dxa"/>
            <w:vAlign w:val="center"/>
          </w:tcPr>
          <w:p w14:paraId="020A0DF0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商家状态</w:t>
            </w:r>
          </w:p>
        </w:tc>
        <w:tc>
          <w:tcPr>
            <w:tcW w:w="4706" w:type="dxa"/>
            <w:vAlign w:val="center"/>
          </w:tcPr>
          <w:p w14:paraId="76A4D2A1">
            <w:pPr>
              <w:spacing w:before="0" w:after="60" w:line="240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交付前保持“正常”</w:t>
            </w:r>
          </w:p>
        </w:tc>
      </w:tr>
    </w:tbl>
    <w:p w14:paraId="6F1F1F77">
      <w:pPr>
        <w:pStyle w:val="4"/>
      </w:pPr>
      <w:r>
        <w:rPr>
          <w:rFonts w:ascii="Arial Unicode MS" w:hAnsi="Arial Unicode MS" w:eastAsia="Arial Unicode MS"/>
          <w:b/>
          <w:color w:val="0F766E"/>
          <w:sz w:val="30"/>
        </w:rPr>
        <w:t>2. 新建店铺</w:t>
      </w:r>
    </w:p>
    <w:p w14:paraId="2C04EFE1">
      <w:pPr>
        <w:spacing w:before="0" w:after="120"/>
      </w:pPr>
      <w:r>
        <w:rPr>
          <w:rFonts w:ascii="Arial Unicode MS" w:hAnsi="Arial Unicode MS" w:eastAsia="Arial Unicode MS"/>
          <w:b w:val="0"/>
          <w:color w:val="334155"/>
          <w:sz w:val="22"/>
        </w:rPr>
        <w:t>操作路径：店铺管理 → 店铺列表 → 新增店铺</w:t>
      </w:r>
    </w:p>
    <w:p w14:paraId="730C5E0B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必须先选对所属商家，再填写店铺名称、所属区域、详细地址、联系电话和营业状态。</w:t>
      </w:r>
    </w:p>
    <w:p w14:paraId="27819BB4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店铺创建后会生成注册码，后续玩家到店可通过二维码注册会员。</w:t>
      </w:r>
    </w:p>
    <w:p w14:paraId="65439086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如果门店要做新会员礼包，也建议在这一阶段同步确认注册送预存款或游戏币规则。</w:t>
      </w:r>
    </w:p>
    <w:p w14:paraId="1CA642D0">
      <w:pPr>
        <w:pStyle w:val="3"/>
      </w:pPr>
      <w:r>
        <w:rPr>
          <w:rFonts w:ascii="Arial Unicode MS" w:hAnsi="Arial Unicode MS" w:eastAsia="Arial Unicode MS"/>
          <w:b/>
          <w:color w:val="1E3A8A"/>
          <w:sz w:val="36"/>
        </w:rPr>
        <w:t>三、平台内容管理线</w:t>
      </w:r>
    </w:p>
    <w:p w14:paraId="3BB86D82">
      <w:pPr>
        <w:spacing w:before="0" w:after="120"/>
      </w:pPr>
      <w:r>
        <w:rPr>
          <w:rFonts w:ascii="Arial Unicode MS" w:hAnsi="Arial Unicode MS" w:eastAsia="Arial Unicode MS"/>
          <w:b w:val="0"/>
          <w:color w:val="334155"/>
          <w:sz w:val="22"/>
        </w:rPr>
        <w:t>这一部分不是商家开通线的串行步骤，而是平台内容管理的独立前置工作。只要门店需要用到某个内容，平台侧就需要先把该内容准备好，后续才能在“内容分发”时下发到门店。</w:t>
      </w:r>
    </w:p>
    <w:p w14:paraId="72BFCD1A">
      <w:pPr>
        <w:pStyle w:val="4"/>
      </w:pPr>
      <w:r>
        <w:rPr>
          <w:rFonts w:ascii="Arial Unicode MS" w:hAnsi="Arial Unicode MS" w:eastAsia="Arial Unicode MS"/>
          <w:b/>
          <w:color w:val="0F766E"/>
          <w:sz w:val="30"/>
        </w:rPr>
        <w:t>1. 录入游戏并准备上架</w:t>
      </w:r>
    </w:p>
    <w:p w14:paraId="7D89EA6C">
      <w:pPr>
        <w:spacing w:before="0" w:after="120"/>
      </w:pPr>
      <w:r>
        <w:rPr>
          <w:rFonts w:ascii="Arial Unicode MS" w:hAnsi="Arial Unicode MS" w:eastAsia="Arial Unicode MS"/>
          <w:b w:val="0"/>
          <w:color w:val="334155"/>
          <w:sz w:val="22"/>
        </w:rPr>
        <w:t>操作路径：内容中心 → 游戏库 → 添加游戏</w:t>
      </w:r>
    </w:p>
    <w:p w14:paraId="52F9A843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游戏名称、封面、介绍、题材要与终端展示口径一致，避免玩家选购时理解偏差。</w:t>
      </w:r>
    </w:p>
    <w:p w14:paraId="3E467FDE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一定要区分运行平台：主机游戏和一体机游戏的现场安装动作不同。</w:t>
      </w:r>
    </w:p>
    <w:p w14:paraId="266176A6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体验时长、游戏豆消耗和推荐售价要跟商务方案保持一致，避免门店不知道如何定价。</w:t>
      </w:r>
    </w:p>
    <w:p w14:paraId="6854C3EF">
      <w:pPr>
        <w:pStyle w:val="4"/>
      </w:pPr>
      <w:r>
        <w:rPr>
          <w:rFonts w:ascii="Arial Unicode MS" w:hAnsi="Arial Unicode MS" w:eastAsia="Arial Unicode MS"/>
          <w:b/>
          <w:color w:val="0F766E"/>
          <w:sz w:val="30"/>
        </w:rPr>
        <w:t>2. 维护版本、状态与运营参数</w:t>
      </w:r>
    </w:p>
    <w:p w14:paraId="43D48874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确认内容当前是草稿、待审核、已上线还是已下架，避免门店分发时看不到内容。</w:t>
      </w:r>
    </w:p>
    <w:p w14:paraId="0662F998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明确版本、时长、游戏豆消耗和推荐售价等运营参数，确保门店理解成本口径。</w:t>
      </w:r>
    </w:p>
    <w:p w14:paraId="6DF3EE52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如果游戏来自 CP 供应商后台，先走审核再进入门店分发，不要和商家开通交付混在一起处理。</w:t>
      </w:r>
    </w:p>
    <w:p w14:paraId="710DF756">
      <w:pPr>
        <w:pStyle w:val="3"/>
      </w:pPr>
      <w:r>
        <w:rPr>
          <w:rFonts w:ascii="Arial Unicode MS" w:hAnsi="Arial Unicode MS" w:eastAsia="Arial Unicode MS"/>
          <w:b/>
          <w:color w:val="1E3A8A"/>
          <w:sz w:val="36"/>
        </w:rPr>
        <w:t>四、设备与支付交付线</w:t>
      </w:r>
    </w:p>
    <w:p w14:paraId="1CA23391">
      <w:pPr>
        <w:pStyle w:val="4"/>
      </w:pPr>
      <w:r>
        <w:rPr>
          <w:rFonts w:ascii="Arial Unicode MS" w:hAnsi="Arial Unicode MS" w:eastAsia="Arial Unicode MS"/>
          <w:b/>
          <w:color w:val="0F766E"/>
          <w:sz w:val="30"/>
        </w:rPr>
        <w:t>1. 录入主机并生成 Token</w:t>
      </w:r>
    </w:p>
    <w:p w14:paraId="74B71AF8">
      <w:pPr>
        <w:spacing w:before="0" w:after="120"/>
      </w:pPr>
      <w:r>
        <w:rPr>
          <w:rFonts w:ascii="Arial Unicode MS" w:hAnsi="Arial Unicode MS" w:eastAsia="Arial Unicode MS"/>
          <w:b w:val="0"/>
          <w:color w:val="334155"/>
          <w:sz w:val="22"/>
        </w:rPr>
        <w:t>操作路径：数据中心 → 设备配置管理 → 主机管理</w:t>
      </w:r>
    </w:p>
    <w:p w14:paraId="6F3A9765">
      <w:pPr>
        <w:pStyle w:val="14"/>
      </w:pPr>
      <w:r>
        <w:rPr>
          <w:rFonts w:ascii="Arial Unicode MS" w:hAnsi="Arial Unicode MS" w:eastAsia="Arial Unicode MS"/>
          <w:b w:val="0"/>
          <w:color w:val="334155"/>
          <w:sz w:val="22"/>
        </w:rPr>
        <w:t>录入主机编号、主机名称、设备类型、硬件配置、系统版本和 MAC 地址。</w:t>
      </w:r>
    </w:p>
    <w:p w14:paraId="135F4D99">
      <w:pPr>
        <w:pStyle w:val="14"/>
      </w:pPr>
      <w:r>
        <w:rPr>
          <w:rFonts w:ascii="Arial Unicode MS" w:hAnsi="Arial Unicode MS" w:eastAsia="Arial Unicode MS"/>
          <w:b w:val="0"/>
          <w:color w:val="334155"/>
          <w:sz w:val="22"/>
        </w:rPr>
        <w:t>把主机分配到正确的商家和店铺。</w:t>
      </w:r>
    </w:p>
    <w:p w14:paraId="14EB82A5">
      <w:pPr>
        <w:pStyle w:val="14"/>
      </w:pPr>
      <w:r>
        <w:rPr>
          <w:rFonts w:ascii="Arial Unicode MS" w:hAnsi="Arial Unicode MS" w:eastAsia="Arial Unicode MS"/>
          <w:b w:val="0"/>
          <w:color w:val="334155"/>
          <w:sz w:val="22"/>
        </w:rPr>
        <w:t>分配完成后生成 Token，并交付给门店在点播系统中填写。</w:t>
      </w:r>
    </w:p>
    <w:p w14:paraId="677AB6E3">
      <w:pPr>
        <w:pStyle w:val="5"/>
      </w:pPr>
      <w:r>
        <w:rPr>
          <w:rFonts w:ascii="Arial Unicode MS" w:hAnsi="Arial Unicode MS" w:eastAsia="Arial Unicode MS"/>
          <w:b/>
          <w:color w:val="334155"/>
          <w:sz w:val="25"/>
        </w:rPr>
        <w:t>关键原则</w:t>
      </w:r>
    </w:p>
    <w:p w14:paraId="61980690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一台主机一个 Token，不建议多个主机共用同一个 Token。</w:t>
      </w:r>
    </w:p>
    <w:p w14:paraId="51A18630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主机取消分配后，原 Token 应视为失效，重新分配时要重新生成或重新交付。</w:t>
      </w:r>
    </w:p>
    <w:p w14:paraId="553040E2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MAC 地址是现场识别主机的重要依据，建议录入时认真核对。</w:t>
      </w:r>
    </w:p>
    <w:p w14:paraId="4B0C2EE3">
      <w:pPr>
        <w:pStyle w:val="4"/>
      </w:pPr>
      <w:r>
        <w:rPr>
          <w:rFonts w:ascii="Arial Unicode MS" w:hAnsi="Arial Unicode MS" w:eastAsia="Arial Unicode MS"/>
          <w:b/>
          <w:color w:val="0F766E"/>
          <w:sz w:val="30"/>
        </w:rPr>
        <w:t>2. 录入头显并绑定主机</w:t>
      </w:r>
    </w:p>
    <w:p w14:paraId="16708A79">
      <w:pPr>
        <w:spacing w:before="0" w:after="120"/>
      </w:pPr>
      <w:r>
        <w:rPr>
          <w:rFonts w:ascii="Arial Unicode MS" w:hAnsi="Arial Unicode MS" w:eastAsia="Arial Unicode MS"/>
          <w:b w:val="0"/>
          <w:color w:val="334155"/>
          <w:sz w:val="22"/>
        </w:rPr>
        <w:t>操作路径：数据中心 → 设备配置管理 → 头显管理</w:t>
      </w:r>
    </w:p>
    <w:p w14:paraId="7CFEE0FE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录入头显名称、型号、SN 码和固件版本。</w:t>
      </w:r>
    </w:p>
    <w:p w14:paraId="6C0C06AC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先把头显分配到正确门店，再绑定到同店铺下的在线主机。</w:t>
      </w:r>
    </w:p>
    <w:p w14:paraId="1C3303CA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绑定时优先确认物理编号，避免后台绑定关系与现场设备摆放不一致。</w:t>
      </w:r>
    </w:p>
    <w:p w14:paraId="3F54DAC5">
      <w:pPr>
        <w:jc w:val="center"/>
      </w:pPr>
      <w:r>
        <w:drawing>
          <wp:inline distT="0" distB="0" distL="114300" distR="114300">
            <wp:extent cx="5759450" cy="2807970"/>
            <wp:effectExtent l="0" t="0" r="635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A36D">
      <w:pPr>
        <w:pStyle w:val="3"/>
      </w:pPr>
      <w:r>
        <w:rPr>
          <w:rFonts w:ascii="Arial Unicode MS" w:hAnsi="Arial Unicode MS" w:eastAsia="Arial Unicode MS"/>
          <w:b/>
          <w:color w:val="1E3A8A"/>
          <w:sz w:val="36"/>
        </w:rPr>
        <w:t>五、两条线的汇合点：内容分发与支付配置</w:t>
      </w:r>
    </w:p>
    <w:p w14:paraId="0EFD222C">
      <w:pPr>
        <w:pStyle w:val="4"/>
      </w:pPr>
      <w:r>
        <w:rPr>
          <w:rFonts w:ascii="Arial Unicode MS" w:hAnsi="Arial Unicode MS" w:eastAsia="Arial Unicode MS"/>
          <w:b/>
          <w:color w:val="0F766E"/>
          <w:sz w:val="30"/>
        </w:rPr>
        <w:t>1. 内容分发</w:t>
      </w:r>
    </w:p>
    <w:p w14:paraId="43149FCA">
      <w:pPr>
        <w:spacing w:before="0" w:after="120"/>
      </w:pPr>
      <w:r>
        <w:rPr>
          <w:rFonts w:ascii="Arial Unicode MS" w:hAnsi="Arial Unicode MS" w:eastAsia="Arial Unicode MS"/>
          <w:b w:val="0"/>
          <w:color w:val="334155"/>
          <w:sz w:val="22"/>
        </w:rPr>
        <w:t>操作路径：内容中心 → 内容分发</w:t>
      </w:r>
    </w:p>
    <w:p w14:paraId="2F75DCB8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内容分发是商家开通线与内容管理线真正汇合的节点：门店已经准备好，内容也已经准备好，才能下发到门店。</w:t>
      </w:r>
    </w:p>
    <w:p w14:paraId="12860903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智能分发适合日常更新或补发，速度更快。</w:t>
      </w:r>
    </w:p>
    <w:p w14:paraId="4292ACFC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全量分发适合首次部署、版本修复或大范围重装。</w:t>
      </w:r>
    </w:p>
    <w:p w14:paraId="1DC9202C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不要只看任务已提交，要确认门店端实际已经能下载或看到内容。</w:t>
      </w:r>
    </w:p>
    <w:p w14:paraId="16A47BE7">
      <w:pPr>
        <w:pStyle w:val="4"/>
      </w:pPr>
      <w:r>
        <w:rPr>
          <w:rFonts w:ascii="Arial Unicode MS" w:hAnsi="Arial Unicode MS" w:eastAsia="Arial Unicode MS"/>
          <w:b/>
          <w:color w:val="0F766E"/>
          <w:sz w:val="30"/>
        </w:rPr>
        <w:t>2. 拉卡拉配置</w:t>
      </w:r>
    </w:p>
    <w:p w14:paraId="335C0952">
      <w:pPr>
        <w:spacing w:before="0" w:after="120"/>
      </w:pPr>
      <w:r>
        <w:rPr>
          <w:rFonts w:ascii="Arial Unicode MS" w:hAnsi="Arial Unicode MS" w:eastAsia="Arial Unicode MS"/>
          <w:b w:val="0"/>
          <w:color w:val="334155"/>
          <w:sz w:val="22"/>
        </w:rPr>
        <w:t>操作路径：平台财务 → 拉卡拉配置</w:t>
      </w:r>
    </w:p>
    <w:p w14:paraId="260CBF16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完成商户号、终端号、机构号和证书等基础配置后，再安排门店测试微信 / 支付宝收款。</w:t>
      </w:r>
    </w:p>
    <w:p w14:paraId="5796B4E5">
      <w:pPr>
        <w:pStyle w:val="16"/>
      </w:pPr>
      <w:r>
        <w:rPr>
          <w:rFonts w:ascii="Arial Unicode MS" w:hAnsi="Arial Unicode MS" w:eastAsia="Arial Unicode MS"/>
          <w:b w:val="0"/>
          <w:color w:val="334155"/>
          <w:sz w:val="22"/>
        </w:rPr>
        <w:t>如门店涉及代理商或 CP 结算，也要同步检查结算配置是否齐全。</w:t>
      </w:r>
    </w:p>
    <w:p w14:paraId="47B8B83F">
      <w:pPr>
        <w:pStyle w:val="3"/>
      </w:pPr>
      <w:r>
        <w:rPr>
          <w:rFonts w:ascii="Arial Unicode MS" w:hAnsi="Arial Unicode MS" w:eastAsia="Arial Unicode MS"/>
          <w:b/>
          <w:color w:val="1E3A8A"/>
          <w:sz w:val="36"/>
        </w:rPr>
        <w:t>六、最终交付检查</w:t>
      </w:r>
    </w:p>
    <w:p w14:paraId="7EF54C38">
      <w:pPr>
        <w:pStyle w:val="14"/>
      </w:pPr>
      <w:r>
        <w:rPr>
          <w:rFonts w:ascii="Arial Unicode MS" w:hAnsi="Arial Unicode MS" w:eastAsia="Arial Unicode MS"/>
          <w:b w:val="0"/>
          <w:color w:val="334155"/>
          <w:sz w:val="22"/>
        </w:rPr>
        <w:t>商家后台账号已经交付给店长或负责人。</w:t>
      </w:r>
    </w:p>
    <w:p w14:paraId="4FBCFD34">
      <w:pPr>
        <w:pStyle w:val="14"/>
      </w:pPr>
      <w:r>
        <w:rPr>
          <w:rFonts w:ascii="Arial Unicode MS" w:hAnsi="Arial Unicode MS" w:eastAsia="Arial Unicode MS"/>
          <w:b w:val="0"/>
          <w:color w:val="334155"/>
          <w:sz w:val="22"/>
        </w:rPr>
        <w:t>主机和头显的后台归属与现场编号一致。</w:t>
      </w:r>
    </w:p>
    <w:p w14:paraId="66A48DFB">
      <w:pPr>
        <w:pStyle w:val="14"/>
      </w:pPr>
      <w:r>
        <w:rPr>
          <w:rFonts w:ascii="Arial Unicode MS" w:hAnsi="Arial Unicode MS" w:eastAsia="Arial Unicode MS"/>
          <w:b w:val="0"/>
          <w:color w:val="334155"/>
          <w:sz w:val="22"/>
        </w:rPr>
        <w:t>门店拿到了 Token，并知道在哪里填写。</w:t>
      </w:r>
    </w:p>
    <w:p w14:paraId="296F133A">
      <w:pPr>
        <w:pStyle w:val="14"/>
      </w:pPr>
      <w:r>
        <w:rPr>
          <w:rFonts w:ascii="Arial Unicode MS" w:hAnsi="Arial Unicode MS" w:eastAsia="Arial Unicode MS"/>
          <w:b w:val="0"/>
          <w:color w:val="334155"/>
          <w:sz w:val="22"/>
        </w:rPr>
        <w:t>目标游戏已经完成分发，门店知道哪些内容是平台已下发、哪些内容仍需现场 USB 安装。</w:t>
      </w:r>
    </w:p>
    <w:p w14:paraId="24AF91BC">
      <w:pPr>
        <w:pStyle w:val="14"/>
      </w:pPr>
      <w:r>
        <w:rPr>
          <w:rFonts w:ascii="Arial Unicode MS" w:hAnsi="Arial Unicode MS" w:eastAsia="Arial Unicode MS"/>
          <w:b w:val="0"/>
          <w:color w:val="334155"/>
          <w:sz w:val="22"/>
        </w:rPr>
        <w:t>支付已经做过测试，门店知道异常联系人是谁。</w:t>
      </w:r>
    </w:p>
    <w:sectPr>
      <w:pgSz w:w="11906" w:h="16838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56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 Unicode MS" w:hAnsi="Arial Unicode MS" w:eastAsia="Arial Unicode MS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E3A8A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F766E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34155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F172A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Andy</cp:lastModifiedBy>
  <dcterms:modified xsi:type="dcterms:W3CDTF">2026-07-17T09:59:23Z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55A45A46756BE48A7B8C596ABBB3FBFB_42</vt:lpwstr>
  </property>
</Properties>
</file>