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 Unicode MS" w:hAnsi="Arial Unicode MS" w:eastAsia="Arial Unicode MS"/>
          <w:b/>
          <w:color w:val="0F172A"/>
          <w:sz w:val="44"/>
        </w:rPr>
        <w:t>头号空间 · 玩家体验使用教程</w:t>
      </w:r>
    </w:p>
    <w:p>
      <w:pPr>
        <w:jc w:val="center"/>
      </w:pPr>
      <w:r>
        <w:rPr>
          <w:rFonts w:ascii="Arial Unicode MS" w:hAnsi="Arial Unicode MS" w:eastAsia="Arial Unicode MS"/>
          <w:b w:val="0"/>
          <w:color w:val="64748B"/>
          <w:sz w:val="23"/>
        </w:rPr>
        <w:t>可编辑版说明文档｜适用角色：到店体验 VR 的顾客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vAlign w:val="center"/>
          </w:tcPr>
          <w:p>
            <w:pPr>
              <w:spacing w:before="0" w:after="6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21"/>
              </w:rPr>
              <w:t>适用版本</w:t>
            </w:r>
          </w:p>
        </w:tc>
        <w:tc>
          <w:tcPr>
            <w:tcW w:type="dxa" w:w="4706"/>
            <w:vAlign w:val="center"/>
          </w:tcPr>
          <w:p>
            <w:pPr>
              <w:spacing w:before="0" w:after="6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21"/>
              </w:rPr>
              <w:t>v2.19（基于仓库资料整理）</w:t>
            </w:r>
          </w:p>
        </w:tc>
      </w:tr>
      <w:tr>
        <w:tc>
          <w:tcPr>
            <w:tcW w:type="dxa" w:w="4706"/>
            <w:vAlign w:val="center"/>
          </w:tcPr>
          <w:p>
            <w:pPr>
              <w:spacing w:before="0" w:after="6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21"/>
              </w:rPr>
              <w:t>覆盖系统</w:t>
            </w:r>
          </w:p>
        </w:tc>
        <w:tc>
          <w:tcPr>
            <w:tcW w:type="dxa" w:w="4706"/>
            <w:vAlign w:val="center"/>
          </w:tcPr>
          <w:p>
            <w:pPr>
              <w:spacing w:before="0" w:after="6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21"/>
              </w:rPr>
              <w:t>PC 点播系统 + 微信小程序</w:t>
            </w:r>
          </w:p>
        </w:tc>
      </w:tr>
      <w:tr>
        <w:tc>
          <w:tcPr>
            <w:tcW w:type="dxa" w:w="4706"/>
            <w:vAlign w:val="center"/>
          </w:tcPr>
          <w:p>
            <w:pPr>
              <w:spacing w:before="0" w:after="6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21"/>
              </w:rPr>
              <w:t>文档目标</w:t>
            </w:r>
          </w:p>
        </w:tc>
        <w:tc>
          <w:tcPr>
            <w:tcW w:type="dxa" w:w="4706"/>
            <w:vAlign w:val="center"/>
          </w:tcPr>
          <w:p>
            <w:pPr>
              <w:spacing w:before="0" w:after="6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21"/>
              </w:rPr>
              <w:t>帮助玩家理解选游戏、支付、佩戴设备和结束体验的完整过程</w:t>
            </w:r>
          </w:p>
        </w:tc>
      </w:tr>
    </w:tbl>
    <w:p>
      <w:pPr>
        <w:spacing w:before="0" w:after="120"/>
      </w:pPr>
      <w:r>
        <w:rPr>
          <w:rFonts w:ascii="Arial Unicode MS" w:hAnsi="Arial Unicode MS" w:eastAsia="Arial Unicode MS"/>
          <w:b w:val="0"/>
          <w:color w:val="334155"/>
          <w:sz w:val="22"/>
        </w:rPr>
        <w:t>这份文档不是后台操作手册，而是站在顾客视角，解释门店里的大屏点播终端是怎么工作的，玩家到店后应该怎么完成体验。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0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E3A8A"/>
          <w:sz w:val="36"/>
        </w:rPr>
        <w:t>一、玩家到店后会经历什么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334155"/>
          <w:sz w:val="22"/>
        </w:rPr>
        <w:t>先在终端上浏览可玩的游戏，看封面、时长、价格和支持人数。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334155"/>
          <w:sz w:val="22"/>
        </w:rPr>
        <w:t>选定内容后进入支付环节，散客和会员的支付路径不同。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334155"/>
          <w:sz w:val="22"/>
        </w:rPr>
        <w:t>支付成功后终端会提示分配到的头显编号，玩家按引导佩戴设备并开始游戏。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334155"/>
          <w:sz w:val="22"/>
        </w:rPr>
        <w:t>游戏结束后终端回到首页，设备恢复空闲，玩家可以选择复玩或注册会员。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E3A8A"/>
          <w:sz w:val="36"/>
        </w:rPr>
        <w:t>二、如何选游戏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334155"/>
          <w:sz w:val="22"/>
        </w:rPr>
        <w:t>首页通常会展示推荐内容、游戏分类、搜索入口和游戏卡片。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334155"/>
          <w:sz w:val="22"/>
        </w:rPr>
        <w:t>点击游戏卡片后，可查看玩法介绍、时长、价格和适合几个人玩。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334155"/>
          <w:sz w:val="22"/>
        </w:rPr>
        <w:t>如果是多人游戏，终端或店员会在支付前确认需要几台设备。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09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payment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E3A8A"/>
          <w:sz w:val="36"/>
        </w:rPr>
        <w:t>三、支付方式怎么走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F766E"/>
          <w:sz w:val="30"/>
        </w:rPr>
        <w:t>1. 散客支付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334155"/>
          <w:sz w:val="22"/>
        </w:rPr>
        <w:t>散客不需要先注册会员。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334155"/>
          <w:sz w:val="22"/>
        </w:rPr>
        <w:t>终端会展示微信或支付宝二维码，直接用手机扫一扫完成付款。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334155"/>
          <w:sz w:val="22"/>
        </w:rPr>
        <w:t>支付成功后终端自动进入设备引导页。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F766E"/>
          <w:sz w:val="30"/>
        </w:rPr>
        <w:t>2. 会员支付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334155"/>
          <w:sz w:val="22"/>
        </w:rPr>
        <w:t>会员可以主动扫描终端上的支付码，在小程序中查看优惠、余额、游戏币和补差金额。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334155"/>
          <w:sz w:val="22"/>
        </w:rPr>
        <w:t>也可以出示会员码，让终端识别后再到小程序里确认支付。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334155"/>
          <w:sz w:val="22"/>
        </w:rPr>
        <w:t>如果是团客、测试或特殊场景，店员也可能用手机代玩家完成确认。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vAlign w:val="center"/>
            <w:shd w:fill="DBEAFE"/>
          </w:tcPr>
          <w:p>
            <w:pPr>
              <w:spacing w:before="0" w:after="60"/>
            </w:pPr>
            <w:r>
              <w:rPr>
                <w:rFonts w:ascii="Arial Unicode MS" w:hAnsi="Arial Unicode MS" w:eastAsia="Arial Unicode MS"/>
                <w:b/>
                <w:color w:val="1F2937"/>
                <w:sz w:val="21"/>
              </w:rPr>
              <w:t>玩家身份</w:t>
            </w:r>
          </w:p>
        </w:tc>
        <w:tc>
          <w:tcPr>
            <w:tcW w:type="dxa" w:w="3137"/>
            <w:vAlign w:val="center"/>
            <w:shd w:fill="DBEAFE"/>
          </w:tcPr>
          <w:p>
            <w:pPr>
              <w:spacing w:before="0" w:after="60"/>
            </w:pPr>
            <w:r>
              <w:rPr>
                <w:rFonts w:ascii="Arial Unicode MS" w:hAnsi="Arial Unicode MS" w:eastAsia="Arial Unicode MS"/>
                <w:b/>
                <w:color w:val="1F2937"/>
                <w:sz w:val="21"/>
              </w:rPr>
              <w:t>常见支付方式</w:t>
            </w:r>
          </w:p>
        </w:tc>
        <w:tc>
          <w:tcPr>
            <w:tcW w:type="dxa" w:w="3137"/>
            <w:vAlign w:val="center"/>
            <w:shd w:fill="DBEAFE"/>
          </w:tcPr>
          <w:p>
            <w:pPr>
              <w:spacing w:before="0" w:after="60"/>
            </w:pPr>
            <w:r>
              <w:rPr>
                <w:rFonts w:ascii="Arial Unicode MS" w:hAnsi="Arial Unicode MS" w:eastAsia="Arial Unicode MS"/>
                <w:b/>
                <w:color w:val="1F2937"/>
                <w:sz w:val="21"/>
              </w:rPr>
              <w:t>说明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before="0" w:after="6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21"/>
              </w:rPr>
              <w:t>散客</w:t>
            </w:r>
          </w:p>
        </w:tc>
        <w:tc>
          <w:tcPr>
            <w:tcW w:type="dxa" w:w="3137"/>
            <w:vAlign w:val="center"/>
          </w:tcPr>
          <w:p>
            <w:pPr>
              <w:spacing w:before="0" w:after="6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21"/>
              </w:rPr>
              <w:t>微信支付 / 支付宝支付</w:t>
            </w:r>
          </w:p>
        </w:tc>
        <w:tc>
          <w:tcPr>
            <w:tcW w:type="dxa" w:w="3137"/>
            <w:vAlign w:val="center"/>
          </w:tcPr>
          <w:p>
            <w:pPr>
              <w:spacing w:before="0" w:after="6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21"/>
              </w:rPr>
              <w:t>终端展示二维码后直接扫码付款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before="0" w:after="6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21"/>
              </w:rPr>
              <w:t>会员主动扫码</w:t>
            </w:r>
          </w:p>
        </w:tc>
        <w:tc>
          <w:tcPr>
            <w:tcW w:type="dxa" w:w="3137"/>
            <w:vAlign w:val="center"/>
          </w:tcPr>
          <w:p>
            <w:pPr>
              <w:spacing w:before="0" w:after="6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21"/>
              </w:rPr>
              <w:t>预存款、游戏币、微信补差</w:t>
            </w:r>
          </w:p>
        </w:tc>
        <w:tc>
          <w:tcPr>
            <w:tcW w:type="dxa" w:w="3137"/>
            <w:vAlign w:val="center"/>
          </w:tcPr>
          <w:p>
            <w:pPr>
              <w:spacing w:before="0" w:after="6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21"/>
              </w:rPr>
              <w:t>在小程序中查看明细后确认支付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before="0" w:after="6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21"/>
              </w:rPr>
              <w:t>会员码反扫</w:t>
            </w:r>
          </w:p>
        </w:tc>
        <w:tc>
          <w:tcPr>
            <w:tcW w:type="dxa" w:w="3137"/>
            <w:vAlign w:val="center"/>
          </w:tcPr>
          <w:p>
            <w:pPr>
              <w:spacing w:before="0" w:after="6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21"/>
              </w:rPr>
              <w:t>预存款、游戏币、微信补差</w:t>
            </w:r>
          </w:p>
        </w:tc>
        <w:tc>
          <w:tcPr>
            <w:tcW w:type="dxa" w:w="3137"/>
            <w:vAlign w:val="center"/>
          </w:tcPr>
          <w:p>
            <w:pPr>
              <w:spacing w:before="0" w:after="6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21"/>
              </w:rPr>
              <w:t>先识别会员身份，再确认扣款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color w:val="1E3A8A"/>
          <w:sz w:val="36"/>
        </w:rPr>
        <w:t>四、支付后怎么开始玩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334155"/>
          <w:sz w:val="22"/>
        </w:rPr>
        <w:t>终端会提示对应的头显编号，或由店员直接把设备递给玩家。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334155"/>
          <w:sz w:val="22"/>
        </w:rPr>
        <w:t>按图示把头显戴好，调整绑带、瞳距和清晰度；有不舒服就立刻找店员协助。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334155"/>
          <w:sz w:val="22"/>
        </w:rPr>
        <w:t>很多门店采用“终端选游戏，头显直接开局”的方式，头显内部不一定会显示复杂菜单。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E3A8A"/>
          <w:sz w:val="36"/>
        </w:rPr>
        <w:t>五、结束、复玩和会员注册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334155"/>
          <w:sz w:val="22"/>
        </w:rPr>
        <w:t>游戏结束后，终端会回到首页，可继续体验其他内容。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334155"/>
          <w:sz w:val="22"/>
        </w:rPr>
        <w:t>如果想继续玩，可以重新选游戏；支持续费的内容也可能允许追加时长。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334155"/>
          <w:sz w:val="22"/>
        </w:rPr>
        <w:t>如果想成为会员，可扫描门店注册码或打开头号空间小程序完成注册，领取新会员礼包。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E3A8A"/>
          <w:sz w:val="36"/>
        </w:rPr>
        <w:t>六、什么时候应该找店员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334155"/>
          <w:sz w:val="22"/>
        </w:rPr>
        <w:t>支付成功但终端没有进入佩戴引导。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334155"/>
          <w:sz w:val="22"/>
        </w:rPr>
        <w:t>头显戴上后看不清、太松、太紧或身体不适。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334155"/>
          <w:sz w:val="22"/>
        </w:rPr>
        <w:t>游戏中途异常退出、没有声音、没有画面或无法继续。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334155"/>
          <w:sz w:val="22"/>
        </w:rPr>
        <w:t>想退款、补开局、换内容或需要多人协助体验。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E3A8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F766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334155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0F172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