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Songti SC"/>
          <w:b/>
          <w:color w:val="0F172A"/>
          <w:sz w:val="42"/>
        </w:rPr>
        <w:t>头号空间 - 商家门店测试执行手册</w:t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22"/>
        </w:rPr>
        <w:t>Word 交付版｜面向测试人员、产品验收人员、门店联调人员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适用版本</w:t>
            </w:r>
          </w:p>
        </w:tc>
        <w:tc>
          <w:tcPr>
            <w:tcW w:type="dxa" w:w="4762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v2.20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更新日期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2026年7月28日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覆盖系统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商家后台 admin-dashboard Shop + PC 收银系统 cashier-ui + PC 点播系统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文档目标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测试人员按步骤执行，完成门店后台、收银、点播与首单开局的核心验收</w:t>
            </w:r>
          </w:p>
        </w:tc>
      </w:tr>
    </w:tbl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本文为测试执行版，不是培训材料。门店侧不能只测后台和收银，还要把后台配置结果真正串到点播系统，确认内容同步、游戏下载和首单开局都能走通。建议测试按“后台基线 → 设备 → 收银终端 → 点播系统 → 会员 → 收银 → 首单开局 → 异常订单”的顺序推进，并记录每个用例的实际结果与截图。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EF3C7"/>
          </w:tcPr>
          <w:p>
            <w:r>
              <w:rPr>
                <w:rFonts w:ascii="Songti SC" w:hAnsi="Songti SC" w:eastAsia="Songti SC"/>
                <w:b/>
                <w:color w:val="92400E"/>
                <w:sz w:val="21"/>
              </w:rPr>
              <w:t>截图建议：</w:t>
            </w:r>
            <w:r>
              <w:rPr>
                <w:rFonts w:ascii="Songti SC" w:hAnsi="Songti SC" w:eastAsia="Songti SC"/>
                <w:b w:val="0"/>
                <w:color w:val="78350F"/>
                <w:sz w:val="21"/>
              </w:rPr>
              <w:t>门店版文档应该配截图。当前版本已先放入流程图和关键页面示意图，后续如果你们要做正式测试包，建议再补真实后台页面截图。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一、测试前准备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检查项</w:t>
            </w:r>
          </w:p>
        </w:tc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要求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商家账号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已创建，状态正常，可登录商家后台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店铺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 1 家门店可用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主机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 1 台主机已分配到门店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头显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 1 台头显已分配到同门店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内容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 1 个游戏已完成分发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收银终端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商家后台可新建收银终端并复制 Token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测试账号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至少准备 1 个店长账号、1 个收银员账号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CFCE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测试会员场景</w:t>
            </w:r>
          </w:p>
        </w:tc>
        <w:tc>
          <w:tcPr>
            <w:tcW w:type="dxa" w:w="3175"/>
            <w:vAlign w:val="center"/>
            <w:shd w:fill="DCFCE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手机号</w:t>
            </w:r>
          </w:p>
        </w:tc>
        <w:tc>
          <w:tcPr>
            <w:tcW w:type="dxa" w:w="3175"/>
            <w:vAlign w:val="center"/>
            <w:shd w:fill="DCFCE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预期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已是本店会员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17600110765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不允许重复添加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全局已存在未关联本店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15812345678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自动关联到本店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全新会员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自备未使用手机号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创建最小档案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二、测试顺序总览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6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hant_pre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19"/>
        </w:rPr>
        <w:t>图 1：门店开业准备流程示意图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8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hant_system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b w:val="0"/>
          <w:color w:val="64748B"/>
          <w:sz w:val="19"/>
        </w:rPr>
        <w:t>图 2：商家后台与收银/点播终端协同示意图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链路阶段</w:t>
            </w:r>
          </w:p>
        </w:tc>
        <w:tc>
          <w:tcPr>
            <w:tcW w:type="dxa" w:w="3175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测试目标</w:t>
            </w:r>
          </w:p>
        </w:tc>
        <w:tc>
          <w:tcPr>
            <w:tcW w:type="dxa" w:w="3175"/>
            <w:vAlign w:val="center"/>
            <w:shd w:fill="E0F2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通过标准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商家后台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确认门店、设备、价格、会员和收银终端配置可用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后台配置项可见、可保存、可回查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收银终端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确认收银 Token、登录和会员 / 支付链路可用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可绑定、可登录、可下单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点播系统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确认主机 Token、内容同步、游戏下载与管理模式可用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可识别门店、可看到内容、可装游戏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玩家开局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确认点播成功后能进入设备引导或开局闭环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至少完成 1 次首单测试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BEAFE"/>
          </w:tcPr>
          <w:p>
            <w:r>
              <w:rPr>
                <w:rFonts w:ascii="Songti SC" w:hAnsi="Songti SC" w:eastAsia="Songti SC"/>
                <w:b/>
                <w:color w:val="92400E"/>
                <w:sz w:val="21"/>
              </w:rPr>
              <w:t>重点提醒：</w:t>
            </w:r>
            <w:r>
              <w:rPr>
                <w:rFonts w:ascii="Songti SC" w:hAnsi="Songti SC" w:eastAsia="Songti SC"/>
                <w:b w:val="0"/>
                <w:color w:val="78350F"/>
                <w:sz w:val="21"/>
              </w:rPr>
              <w:t>商家文档必须把“商家后台配置”与“点播系统执行”串起来。只有当门店在点播系统里完成 Token 写入、内容同步、游戏下载和首单开局后，门店链路才算真正通过。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三、菜单与入口基线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模块</w:t>
            </w:r>
          </w:p>
        </w:tc>
        <w:tc>
          <w:tcPr>
            <w:tcW w:type="dxa" w:w="4762"/>
            <w:vAlign w:val="center"/>
            <w:shd w:fill="DBEAFE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关键页面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商品管理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单次消费项目、实物商品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运营管理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充值套餐、优惠券、活动赠送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会员管理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会员列表、会员级别、会员储值变更、会员游戏币查询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订单管理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收银订单、点播系统订单、异常订单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系统设置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设备列表、收银终端、收银小票、用户列表、角色列表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EE2E2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当前版本不应出现的入口</w:t>
            </w:r>
          </w:p>
        </w:tc>
        <w:tc>
          <w:tcPr>
            <w:tcW w:type="dxa" w:w="4762"/>
            <w:vAlign w:val="center"/>
            <w:shd w:fill="FEE2E2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预期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IC 卡管理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不展示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员工卡设置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不展示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套票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不展示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第三方外围设备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不展示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商家后台支付设置 / 系统参数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不作为当前门店测试入口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四、核心测试用例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M01 商家后台登录成功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测试目标：确认门店账号可正常进入后台，首页和菜单加载正确。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打开商家后台登录页。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输入店长或管理员账号密码。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点击登录。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登录成功，进入“今日概况”。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页面无空白、无报错。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左侧菜单与本手册基线一致。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M02 设备列表与绑定关系正确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测试目标：确认门店可看到官方已分配的主机和头显，且归属关系正确。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操作路径：系统设置 → 设备列表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进入“主机设备”页签。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核对主机编号、名称、MAC 地址、所属门店、在线状态。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切换到“头显设备”页签，核对头显名称、SN 码、型号、绑定主机。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主机和头显都可见。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主机与头显所属门店一致。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绑定关系与现场预期一致。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头显详情页可查看电量、IPD、绑定主机等信息。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异店头显不能绑定到当前主机。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当店铺无主机时，绑定主机弹窗应给出明确提示。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M03 门店补绑头显成功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测试目标：确认商家可在同店铺范围内补做设备绑定。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操作路径：系统设置 → 设备列表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在“主机设备”中找到目标主机。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点击“绑定头显”。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输入同门店头显 SN 码并确认绑定。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绑定成功。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主机绑定头显数增加。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头显详情中的绑定主机更新为目标主机。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输入不存在的 SN 时提示未找到设备。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输入异店头显 SN 时提示不同门店，禁止绑定。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M04 设置点播系统密码成功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测试目标：确认门店可为主机设置点播系统管理密码。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操作路径：系统设置 → 设备列表 → 主机设备 → 修改点播系统密码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选择一台主机。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点击“修改点播系统密码”。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输入新密码并确认。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保存。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保存成功。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页面给出成功提示。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后续点播系统进入管理模式时要求输入该密码。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两次密码不一致时不允许保存。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留空保存的行为应与产品口径一致并可被记录。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M05 新建收银终端并复制 Token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测试目标：确认商家后台可以为收银机生成 Token。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操作路径：系统设置 → 收银终端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进入“收银终端”页面。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点击“新建收银设备”。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选择店铺并填写终端名称。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记录系统自动生成的 Token。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点击创建并复制 Token。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新设备创建成功。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列表出现新终端。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初始状态为“未使用”。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可复制。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终端名称为空时不允许创建。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重复 Token 应被阻止或自动重新生成。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M06 收银系统绑定本机成功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 PC 收银系统必须先绑定收银 Token，才能登录。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操作路径：PC 收银系统登录页 → 更多菜单 → 基础配置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打开收银系统登录页。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不绑定 Token，直接尝试登录。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进入“更多菜单 → 基础配置”。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粘贴从商家后台“收银终端”复制的 Token。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点击“绑定本机”。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绑定成功后再次登录。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未绑定时，登录被拦截。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绑定成功后，显示设备名称、门店、脱敏 Token。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再次登录可成功进入销售页。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无效 Token 提示 Token 无效。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别机已绑定 Token 提示已被其他设备使用。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已禁用 Token 提示该收银设备已被禁用。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M07 点播系统 Token 写入与门店识别成功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测试目标：确认商家能从后台拿到主机 / 点播系统 Token，并在点播系统完成门店识别。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操作路径：商家后台设备列表 → 主机设备 Token；PC 点播系统 → 基础配置 / 管理模式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进入商家后台“系统设置 → 设备列表 → 主机设备”。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找到目标主机并复制点播系统 Token。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打开 PC 点播系统，进入管理模式或基础配置。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粘贴点播系统 Token 并保存。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重启或刷新点播系统。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点播系统成功识别当前门店。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可看到门店名称或对应设备身份。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保存后不会报无效或未分配。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Token 无效时应提示重新核对。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主机未分配到门店时，点播系统不能正常识别门店。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M08 点播系统内容同步与游戏下载成功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测试目标：确认后台分发结果可以真正同步到点播系统，门店能看到并安装目标内容。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操作路径：PC 点播系统 → 同步内容 / 游戏列表 / 安装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完成点播系统 Token 写入。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在点播系统触发内容同步或重新加载。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查看是否出现平台已分发的游戏列表。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选择至少 1 个主推游戏执行安装。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如涉及一体机内容，再验证头显侧安装链路。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点播系统能看到目标门店已分发内容。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至少 1 个游戏安装成功。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安装状态、下载状态和完成提示清晰可见。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看不到新游戏时，先检查平台是否已分发。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安装失败时，应能记录失败状态并支持重试。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M09 新增会员仅允许手机号建档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 v2.20 的会员建档规则已经生效。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在收银系统进入“销售 → 新增会员”。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输入已是本店会员手机号。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输入全局已存在但未关联本店的手机号。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输入全新手机号。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本店已存在时提示该手机号已是本店会员。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全局已存在未关联时自动关联到本店。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全新手机号时创建最小档案。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整个流程中不要求填写姓名、性别、生日、备注。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M10 散客收银与会员收银成功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测试目标：确认无会员和有会员两类场景都可完成收银闭环。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在销售页添加商品或体验项目。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分别执行一次散客收银和一次会员收银。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会员场景观察优惠和资产抵扣结果。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完成结算。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两类订单都能创建成功。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成功页显示支付完成。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订单列表可查询到对应订单。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会员场景下优惠和补差结果正确。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M11 点播首单开局闭环成功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测试目标：确认门店完成后台配置、内容同步和支付后，至少能成功走通一次点播开局。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操作路径：PC 点播系统 → 选游戏 → 支付 → 开局 / 设备引导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在点播系统选择已安装游戏。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完成 1 次散客或会员支付确认。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观察点播系统是否进入设备分配、佩戴引导或开局状态。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如有头显编号提示，核对与后台绑定关系一致。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完成体验结束后的返回或订单回查。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支付成功后能进入开局链路，而不是停留在待支付。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设备编号或引导信息正确。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订单在后台或相关列表中可回查。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异常分支：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支付成功但未开局时，应记录订单号并回查点播系统订单。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设备编号错误时，优先回查主机与头显绑定关系。</w:t>
      </w:r>
    </w:p>
    <w:p>
      <w:pPr>
        <w:pStyle w:val="Heading2"/>
      </w:pPr>
      <w:r>
        <w:rPr>
          <w:rFonts w:ascii="Songti SC" w:hAnsi="Songti SC" w:eastAsia="Songti SC"/>
          <w:b/>
          <w:color w:val="0F766E"/>
          <w:sz w:val="27"/>
        </w:rPr>
        <w:t>M12 订单、营收、交班与异常订单闭环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测试目标：确认交易结果可回溯，异常订单流程可用。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操作步骤：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完成至少 1 笔散客单、1 笔会员单、1 笔充值单。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到订单页查询。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到营收页查看汇总。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执行一次交班。</w:t>
      </w:r>
    </w:p>
    <w:p>
      <w:pPr>
        <w:pStyle w:val="ListNumber"/>
      </w:pPr>
      <w:r>
        <w:rPr>
          <w:rFonts w:ascii="Songti SC" w:hAnsi="Songti SC" w:eastAsia="Songti SC"/>
          <w:b w:val="0"/>
          <w:color w:val="334155"/>
          <w:sz w:val="21"/>
        </w:rPr>
        <w:t>对一笔订单执行标记异常、取消标记或重新处理。</w:t>
      </w:r>
    </w:p>
    <w:p>
      <w:pPr>
        <w:spacing w:after="120"/>
      </w:pPr>
      <w:r>
        <w:rPr>
          <w:rFonts w:ascii="Songti SC" w:hAnsi="Songti SC" w:eastAsia="Songti SC"/>
          <w:b w:val="0"/>
          <w:color w:val="334155"/>
          <w:sz w:val="21"/>
        </w:rPr>
        <w:t>预期结果：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三类订单均可查到。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营收统计有数据变化。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交班记录生成成功。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异常订单支持标记、取消标记、查看驳回原因和重新处理。</w:t>
      </w:r>
    </w:p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五、测试完成标准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商家后台登录、设备查看、收银终端、主机 Token、商品、会员、订单、营收、交班均通过。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收银系统完成 Token 绑定、会员建档、散客收银、会员收银、充值测试。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点播系统完成 Token 写入、内容同步、游戏下载和至少 1 次首单开局测试。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当前版本暂隐能力未误开放。</w:t>
      </w:r>
    </w:p>
    <w:p>
      <w:pPr>
        <w:pStyle w:val="ListBullet"/>
      </w:pPr>
      <w:r>
        <w:rPr>
          <w:rFonts w:ascii="Songti SC" w:hAnsi="Songti SC" w:eastAsia="Songti SC"/>
          <w:b w:val="0"/>
          <w:color w:val="334155"/>
          <w:sz w:val="21"/>
        </w:rPr>
        <w:t>异常订单链路至少验证 1 次。</w:t>
      </w:r>
    </w:p>
    <w:p>
      <w:pPr>
        <w:pStyle w:val="Heading1"/>
      </w:pPr>
      <w:r>
        <w:rPr>
          <w:rFonts w:ascii="Songti SC" w:hAnsi="Songti SC" w:eastAsia="Songti SC"/>
          <w:b/>
          <w:color w:val="1E3A8A"/>
          <w:sz w:val="32"/>
        </w:rPr>
        <w:t>六、截图清单建议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EF3C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截图名称</w:t>
            </w:r>
          </w:p>
        </w:tc>
        <w:tc>
          <w:tcPr>
            <w:tcW w:type="dxa" w:w="4762"/>
            <w:vAlign w:val="center"/>
            <w:shd w:fill="FEF3C7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/>
                <w:color w:val="1F2937"/>
                <w:sz w:val="20"/>
              </w:rPr>
              <w:t>建议来源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商家后台首页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登录后今日概况页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设备列表页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主机设备 + 头显设备页签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收银终端页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新建终端并复制 Token 的页面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收银绑定页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登录页基础配置弹层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点播系统基础配置页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写入主机 / 点播系统 Token 的页面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点播系统内容列表页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同步后的游戏列表与安装状态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点播系统开局页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支付成功后设备引导 / 开局状态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新增会员页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仅手机号建档页面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异常订单页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60"/>
            </w:pPr>
            <w:r>
              <w:rPr>
                <w:rFonts w:ascii="Songti SC" w:hAnsi="Songti SC" w:eastAsia="Songti SC"/>
                <w:b w:val="0"/>
                <w:color w:val="1F2937"/>
                <w:sz w:val="20"/>
              </w:rPr>
              <w:t>标记异常 / 已驳回 / 重新处理状态</w:t>
            </w:r>
          </w:p>
        </w:tc>
      </w:tr>
    </w:tbl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F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