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B753A">
      <w:pPr>
        <w:jc w:val="center"/>
      </w:pPr>
      <w:r>
        <w:rPr>
          <w:rFonts w:ascii="Songti SC" w:hAnsi="Songti SC" w:eastAsia="Songti SC"/>
          <w:b/>
          <w:color w:val="0F172A"/>
          <w:sz w:val="42"/>
        </w:rPr>
        <w:t>头号空间 - 玩家全流程测试执行手册</w:t>
      </w:r>
    </w:p>
    <w:p w14:paraId="3118E31C">
      <w:pPr>
        <w:jc w:val="center"/>
      </w:pPr>
      <w:r>
        <w:rPr>
          <w:rFonts w:ascii="Songti SC" w:hAnsi="Songti SC" w:eastAsia="Songti SC"/>
          <w:b w:val="0"/>
          <w:color w:val="64748B"/>
          <w:sz w:val="22"/>
        </w:rPr>
        <w:t>Word 交付版｜面向测试人员、产品验收人员、现场联调人员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2"/>
        <w:gridCol w:w="4762"/>
      </w:tblGrid>
      <w:tr w14:paraId="3A5262A2">
        <w:trPr>
          <w:jc w:val="center"/>
        </w:trPr>
        <w:tc>
          <w:tcPr>
            <w:tcW w:w="4762" w:type="dxa"/>
            <w:shd w:val="clear" w:color="auto" w:fill="E0F2FE"/>
            <w:vAlign w:val="center"/>
          </w:tcPr>
          <w:p w14:paraId="17793D14">
            <w:pPr>
              <w:spacing w:before="0" w:after="60" w:line="240" w:lineRule="auto"/>
            </w:pPr>
            <w:r>
              <w:rPr>
                <w:rFonts w:ascii="Songti SC" w:hAnsi="Songti SC" w:eastAsia="Songti SC"/>
                <w:b/>
                <w:color w:val="1F2937"/>
                <w:sz w:val="20"/>
              </w:rPr>
              <w:t>适用版本</w:t>
            </w:r>
          </w:p>
        </w:tc>
        <w:tc>
          <w:tcPr>
            <w:tcW w:w="4762" w:type="dxa"/>
            <w:shd w:val="clear" w:color="auto" w:fill="E0F2FE"/>
            <w:vAlign w:val="center"/>
          </w:tcPr>
          <w:p w14:paraId="3B8D3445">
            <w:pPr>
              <w:spacing w:before="0" w:after="60" w:line="240" w:lineRule="auto"/>
            </w:pPr>
            <w:r>
              <w:rPr>
                <w:rFonts w:ascii="Songti SC" w:hAnsi="Songti SC" w:eastAsia="Songti SC"/>
                <w:b/>
                <w:color w:val="1F2937"/>
                <w:sz w:val="20"/>
              </w:rPr>
              <w:t>v2.20</w:t>
            </w:r>
          </w:p>
        </w:tc>
      </w:tr>
      <w:tr w14:paraId="099ED1D9">
        <w:trPr>
          <w:jc w:val="center"/>
        </w:trPr>
        <w:tc>
          <w:tcPr>
            <w:tcW w:w="4762" w:type="dxa"/>
            <w:vAlign w:val="center"/>
          </w:tcPr>
          <w:p w14:paraId="186AD6B0">
            <w:pPr>
              <w:spacing w:before="0" w:after="60" w:line="240" w:lineRule="auto"/>
            </w:pPr>
            <w:r>
              <w:rPr>
                <w:rFonts w:ascii="Songti SC" w:hAnsi="Songti SC" w:eastAsia="Songti SC"/>
                <w:b w:val="0"/>
                <w:color w:val="1F2937"/>
                <w:sz w:val="20"/>
              </w:rPr>
              <w:t>更新日期</w:t>
            </w:r>
          </w:p>
        </w:tc>
        <w:tc>
          <w:tcPr>
            <w:tcW w:w="4762" w:type="dxa"/>
            <w:vAlign w:val="center"/>
          </w:tcPr>
          <w:p w14:paraId="6FC08BB7">
            <w:pPr>
              <w:spacing w:before="0" w:after="60" w:line="240" w:lineRule="auto"/>
            </w:pPr>
            <w:r>
              <w:rPr>
                <w:rFonts w:ascii="Songti SC" w:hAnsi="Songti SC" w:eastAsia="Songti SC"/>
                <w:b w:val="0"/>
                <w:color w:val="1F2937"/>
                <w:sz w:val="20"/>
              </w:rPr>
              <w:t>2026年7月28日</w:t>
            </w:r>
          </w:p>
        </w:tc>
      </w:tr>
      <w:tr w14:paraId="252CE741">
        <w:trPr>
          <w:jc w:val="center"/>
        </w:trPr>
        <w:tc>
          <w:tcPr>
            <w:tcW w:w="4762" w:type="dxa"/>
            <w:vAlign w:val="center"/>
          </w:tcPr>
          <w:p w14:paraId="6E6DFA2C">
            <w:pPr>
              <w:spacing w:before="0" w:after="60" w:line="240" w:lineRule="auto"/>
            </w:pPr>
            <w:r>
              <w:rPr>
                <w:rFonts w:ascii="Songti SC" w:hAnsi="Songti SC" w:eastAsia="Songti SC"/>
                <w:b w:val="0"/>
                <w:color w:val="1F2937"/>
                <w:sz w:val="20"/>
              </w:rPr>
              <w:t>覆盖系统</w:t>
            </w:r>
          </w:p>
        </w:tc>
        <w:tc>
          <w:tcPr>
            <w:tcW w:w="4762" w:type="dxa"/>
            <w:vAlign w:val="center"/>
          </w:tcPr>
          <w:p w14:paraId="49B8C42A">
            <w:pPr>
              <w:spacing w:before="0" w:after="60" w:line="240" w:lineRule="auto"/>
            </w:pPr>
            <w:r>
              <w:rPr>
                <w:rFonts w:ascii="Songti SC" w:hAnsi="Songti SC" w:eastAsia="Songti SC"/>
                <w:b w:val="0"/>
                <w:color w:val="1F2937"/>
                <w:sz w:val="20"/>
              </w:rPr>
              <w:t>PC 点播系统 + 微信小程序 + VR 头显终端</w:t>
            </w:r>
          </w:p>
        </w:tc>
      </w:tr>
      <w:tr w14:paraId="60722455">
        <w:trPr>
          <w:jc w:val="center"/>
        </w:trPr>
        <w:tc>
          <w:tcPr>
            <w:tcW w:w="4762" w:type="dxa"/>
            <w:vAlign w:val="center"/>
          </w:tcPr>
          <w:p w14:paraId="11CC3353">
            <w:pPr>
              <w:spacing w:before="0" w:after="60" w:line="240" w:lineRule="auto"/>
            </w:pPr>
            <w:r>
              <w:rPr>
                <w:rFonts w:ascii="Songti SC" w:hAnsi="Songti SC" w:eastAsia="Songti SC"/>
                <w:b w:val="0"/>
                <w:color w:val="1F2937"/>
                <w:sz w:val="20"/>
              </w:rPr>
              <w:t>文档目标</w:t>
            </w:r>
          </w:p>
        </w:tc>
        <w:tc>
          <w:tcPr>
            <w:tcW w:w="4762" w:type="dxa"/>
            <w:vAlign w:val="center"/>
          </w:tcPr>
          <w:p w14:paraId="778AF27A">
            <w:pPr>
              <w:spacing w:before="0" w:after="60" w:line="240" w:lineRule="auto"/>
            </w:pPr>
            <w:r>
              <w:rPr>
                <w:rFonts w:ascii="Songti SC" w:hAnsi="Songti SC" w:eastAsia="Songti SC"/>
                <w:b w:val="0"/>
                <w:color w:val="1F2937"/>
                <w:sz w:val="20"/>
              </w:rPr>
              <w:t>测试人员按步骤执行，完成玩家到店、支付、开局、体验结束的全流程验收</w:t>
            </w:r>
          </w:p>
        </w:tc>
      </w:tr>
    </w:tbl>
    <w:p w14:paraId="35628F6D">
      <w:pPr>
        <w:spacing w:after="120"/>
      </w:pPr>
      <w:r>
        <w:rPr>
          <w:rFonts w:ascii="Songti SC" w:hAnsi="Songti SC" w:eastAsia="Songti SC"/>
          <w:b w:val="0"/>
          <w:color w:val="334155"/>
          <w:sz w:val="21"/>
        </w:rPr>
        <w:t>本文关注玩家真实体验路径，不能只验证“能支付”，还要验证“支付后能进入设备引导/开局，结束后能正确回流”。建议按“浏览游戏 → 选择内容 → 支付确认 → 佩戴设备 → 开局体验 → 结束返回 → 会员注册/复玩”的顺序执行。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4"/>
      </w:tblGrid>
      <w:tr w14:paraId="326F688E">
        <w:tc>
          <w:tcPr>
            <w:tcW w:w="9524" w:type="dxa"/>
            <w:shd w:val="clear" w:color="auto" w:fill="FEF3C7"/>
          </w:tcPr>
          <w:p w14:paraId="2C618B60">
            <w:pPr>
              <w:spacing w:after="0" w:line="240" w:lineRule="auto"/>
            </w:pPr>
            <w:r>
              <w:rPr>
                <w:rFonts w:ascii="Songti SC" w:hAnsi="Songti SC" w:eastAsia="Songti SC"/>
                <w:b/>
                <w:color w:val="92400E"/>
                <w:sz w:val="21"/>
              </w:rPr>
              <w:t>截图建议：</w:t>
            </w:r>
            <w:r>
              <w:rPr>
                <w:rFonts w:ascii="Songti SC" w:hAnsi="Songti SC" w:eastAsia="Songti SC"/>
                <w:b w:val="0"/>
                <w:color w:val="78350F"/>
                <w:sz w:val="21"/>
              </w:rPr>
              <w:t>玩家版适合同时放流程图和真实页面截图。当前版本已放入流程图，并补充了小程序支付确认页、支付成功页、支付失败页等现有素材。</w:t>
            </w:r>
          </w:p>
        </w:tc>
      </w:tr>
    </w:tbl>
    <w:p w14:paraId="3C1DB2C8">
      <w:pPr>
        <w:pStyle w:val="3"/>
      </w:pPr>
      <w:r>
        <w:rPr>
          <w:rFonts w:ascii="Songti SC" w:hAnsi="Songti SC" w:eastAsia="Songti SC"/>
          <w:b/>
          <w:color w:val="1E3A8A"/>
          <w:sz w:val="32"/>
        </w:rPr>
        <w:t>一、测试前准备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1587"/>
        <w:gridCol w:w="1588"/>
        <w:gridCol w:w="3175"/>
      </w:tblGrid>
      <w:tr w14:paraId="116E6504">
        <w:trPr>
          <w:jc w:val="center"/>
        </w:trPr>
        <w:tc>
          <w:tcPr>
            <w:tcW w:w="4762" w:type="dxa"/>
            <w:gridSpan w:val="2"/>
            <w:shd w:val="clear" w:color="auto" w:fill="DBEAFE"/>
            <w:vAlign w:val="center"/>
          </w:tcPr>
          <w:p w14:paraId="32F5710B">
            <w:pPr>
              <w:spacing w:before="0" w:after="60" w:line="240" w:lineRule="auto"/>
            </w:pPr>
            <w:r>
              <w:rPr>
                <w:rFonts w:ascii="Songti SC" w:hAnsi="Songti SC" w:eastAsia="Songti SC"/>
                <w:b/>
                <w:color w:val="1F2937"/>
                <w:sz w:val="20"/>
              </w:rPr>
              <w:t>检查项</w:t>
            </w:r>
          </w:p>
        </w:tc>
        <w:tc>
          <w:tcPr>
            <w:tcW w:w="4762" w:type="dxa"/>
            <w:gridSpan w:val="2"/>
            <w:shd w:val="clear" w:color="auto" w:fill="DBEAFE"/>
            <w:vAlign w:val="center"/>
          </w:tcPr>
          <w:p w14:paraId="4B54E654">
            <w:pPr>
              <w:spacing w:before="0" w:after="60" w:line="240" w:lineRule="auto"/>
            </w:pPr>
            <w:r>
              <w:rPr>
                <w:rFonts w:ascii="Songti SC" w:hAnsi="Songti SC" w:eastAsia="Songti SC"/>
                <w:b/>
                <w:color w:val="1F2937"/>
                <w:sz w:val="20"/>
              </w:rPr>
              <w:t>要求</w:t>
            </w:r>
          </w:p>
        </w:tc>
      </w:tr>
      <w:tr w14:paraId="1176AFC5">
        <w:trPr>
          <w:jc w:val="center"/>
        </w:trPr>
        <w:tc>
          <w:tcPr>
            <w:tcW w:w="4762" w:type="dxa"/>
            <w:gridSpan w:val="2"/>
            <w:vAlign w:val="center"/>
          </w:tcPr>
          <w:p w14:paraId="583FAAAA">
            <w:pPr>
              <w:spacing w:before="0" w:after="60" w:line="240" w:lineRule="auto"/>
            </w:pPr>
            <w:r>
              <w:rPr>
                <w:rFonts w:ascii="Songti SC" w:hAnsi="Songti SC" w:eastAsia="Songti SC"/>
                <w:b w:val="0"/>
                <w:color w:val="1F2937"/>
                <w:sz w:val="20"/>
              </w:rPr>
              <w:t>门店环境</w:t>
            </w:r>
          </w:p>
        </w:tc>
        <w:tc>
          <w:tcPr>
            <w:tcW w:w="4762" w:type="dxa"/>
            <w:gridSpan w:val="2"/>
            <w:vAlign w:val="center"/>
          </w:tcPr>
          <w:p w14:paraId="6273DFC6">
            <w:pPr>
              <w:spacing w:before="0" w:after="60" w:line="240" w:lineRule="auto"/>
            </w:pPr>
            <w:r>
              <w:rPr>
                <w:rFonts w:ascii="Songti SC" w:hAnsi="Songti SC" w:eastAsia="Songti SC"/>
                <w:b w:val="0"/>
                <w:color w:val="1F2937"/>
                <w:sz w:val="20"/>
              </w:rPr>
              <w:t>PC 点播系统可正常打开，至少 1 台头显可用</w:t>
            </w:r>
          </w:p>
        </w:tc>
      </w:tr>
      <w:tr w14:paraId="3ABB9B11">
        <w:trPr>
          <w:jc w:val="center"/>
        </w:trPr>
        <w:tc>
          <w:tcPr>
            <w:tcW w:w="4762" w:type="dxa"/>
            <w:gridSpan w:val="2"/>
            <w:vAlign w:val="center"/>
          </w:tcPr>
          <w:p w14:paraId="477F720E">
            <w:pPr>
              <w:spacing w:before="0" w:after="60" w:line="240" w:lineRule="auto"/>
            </w:pPr>
            <w:r>
              <w:rPr>
                <w:rFonts w:ascii="Songti SC" w:hAnsi="Songti SC" w:eastAsia="Songti SC"/>
                <w:b w:val="0"/>
                <w:color w:val="1F2937"/>
                <w:sz w:val="20"/>
              </w:rPr>
              <w:t>内容环境</w:t>
            </w:r>
          </w:p>
        </w:tc>
        <w:tc>
          <w:tcPr>
            <w:tcW w:w="4762" w:type="dxa"/>
            <w:gridSpan w:val="2"/>
            <w:vAlign w:val="center"/>
          </w:tcPr>
          <w:p w14:paraId="65BC22B4">
            <w:pPr>
              <w:spacing w:before="0" w:after="60" w:line="240" w:lineRule="auto"/>
            </w:pPr>
            <w:r>
              <w:rPr>
                <w:rFonts w:ascii="Songti SC" w:hAnsi="Songti SC" w:eastAsia="Songti SC"/>
                <w:b w:val="0"/>
                <w:color w:val="1F2937"/>
                <w:sz w:val="20"/>
              </w:rPr>
              <w:t>至少 1 个已安装、可体验的游戏</w:t>
            </w:r>
          </w:p>
        </w:tc>
      </w:tr>
      <w:tr w14:paraId="5F65B96A">
        <w:trPr>
          <w:jc w:val="center"/>
        </w:trPr>
        <w:tc>
          <w:tcPr>
            <w:tcW w:w="4762" w:type="dxa"/>
            <w:gridSpan w:val="2"/>
            <w:vAlign w:val="center"/>
          </w:tcPr>
          <w:p w14:paraId="46FD3DE1">
            <w:pPr>
              <w:spacing w:before="0" w:after="60" w:line="240" w:lineRule="auto"/>
            </w:pPr>
            <w:r>
              <w:rPr>
                <w:rFonts w:ascii="Songti SC" w:hAnsi="Songti SC" w:eastAsia="Songti SC"/>
                <w:b w:val="0"/>
                <w:color w:val="1F2937"/>
                <w:sz w:val="20"/>
              </w:rPr>
              <w:t>支付环境</w:t>
            </w:r>
          </w:p>
        </w:tc>
        <w:tc>
          <w:tcPr>
            <w:tcW w:w="4762" w:type="dxa"/>
            <w:gridSpan w:val="2"/>
            <w:vAlign w:val="center"/>
          </w:tcPr>
          <w:p w14:paraId="2D5D3B4F">
            <w:pPr>
              <w:spacing w:before="0" w:after="60" w:line="240" w:lineRule="auto"/>
            </w:pPr>
            <w:r>
              <w:rPr>
                <w:rFonts w:ascii="Songti SC" w:hAnsi="Songti SC" w:eastAsia="Songti SC"/>
                <w:b w:val="0"/>
                <w:color w:val="1F2937"/>
                <w:sz w:val="20"/>
              </w:rPr>
              <w:t>可发起散客扫码支付和会员支付</w:t>
            </w:r>
          </w:p>
        </w:tc>
      </w:tr>
      <w:tr w14:paraId="2280F8D6">
        <w:trPr>
          <w:jc w:val="center"/>
        </w:trPr>
        <w:tc>
          <w:tcPr>
            <w:tcW w:w="4762" w:type="dxa"/>
            <w:gridSpan w:val="2"/>
            <w:vAlign w:val="center"/>
          </w:tcPr>
          <w:p w14:paraId="1832908C">
            <w:pPr>
              <w:spacing w:before="0" w:after="60" w:line="240" w:lineRule="auto"/>
            </w:pPr>
            <w:r>
              <w:rPr>
                <w:rFonts w:ascii="Songti SC" w:hAnsi="Songti SC" w:eastAsia="Songti SC"/>
                <w:b w:val="0"/>
                <w:color w:val="1F2937"/>
                <w:sz w:val="20"/>
              </w:rPr>
              <w:t>会员环境</w:t>
            </w:r>
          </w:p>
        </w:tc>
        <w:tc>
          <w:tcPr>
            <w:tcW w:w="4762" w:type="dxa"/>
            <w:gridSpan w:val="2"/>
            <w:vAlign w:val="center"/>
          </w:tcPr>
          <w:p w14:paraId="5D71822B">
            <w:pPr>
              <w:spacing w:before="0" w:after="60" w:line="240" w:lineRule="auto"/>
            </w:pPr>
            <w:r>
              <w:rPr>
                <w:rFonts w:ascii="Songti SC" w:hAnsi="Songti SC" w:eastAsia="Songti SC"/>
                <w:b w:val="0"/>
                <w:color w:val="1F2937"/>
                <w:sz w:val="20"/>
              </w:rPr>
              <w:t>至少准备 1 个已有余额 / 游戏币会员，1 个可注册新会员</w:t>
            </w:r>
          </w:p>
        </w:tc>
      </w:tr>
      <w:tr w14:paraId="2E2C3861">
        <w:trPr>
          <w:jc w:val="center"/>
        </w:trPr>
        <w:tc>
          <w:tcPr>
            <w:tcW w:w="4762" w:type="dxa"/>
            <w:gridSpan w:val="2"/>
            <w:vAlign w:val="center"/>
          </w:tcPr>
          <w:p w14:paraId="7A752397">
            <w:pPr>
              <w:spacing w:before="0" w:after="60" w:line="240" w:lineRule="auto"/>
            </w:pPr>
            <w:r>
              <w:rPr>
                <w:rFonts w:ascii="Songti SC" w:hAnsi="Songti SC" w:eastAsia="Songti SC"/>
                <w:b w:val="0"/>
                <w:color w:val="1F2937"/>
                <w:sz w:val="20"/>
              </w:rPr>
              <w:t>观察点</w:t>
            </w:r>
          </w:p>
        </w:tc>
        <w:tc>
          <w:tcPr>
            <w:tcW w:w="4762" w:type="dxa"/>
            <w:gridSpan w:val="2"/>
            <w:vAlign w:val="center"/>
          </w:tcPr>
          <w:p w14:paraId="7A0D8066">
            <w:pPr>
              <w:spacing w:before="0" w:after="60" w:line="240" w:lineRule="auto"/>
            </w:pPr>
            <w:r>
              <w:rPr>
                <w:rFonts w:ascii="Songti SC" w:hAnsi="Songti SC" w:eastAsia="Songti SC"/>
                <w:b w:val="0"/>
                <w:color w:val="1F2937"/>
                <w:sz w:val="20"/>
              </w:rPr>
              <w:t>要能看到支付确认结果、设备引导结果、体验结束回流结果</w:t>
            </w:r>
          </w:p>
        </w:tc>
      </w:tr>
      <w:tr w14:paraId="6C570C2E">
        <w:trPr>
          <w:jc w:val="center"/>
        </w:trPr>
        <w:tc>
          <w:tcPr>
            <w:tcW w:w="3175" w:type="dxa"/>
            <w:shd w:val="clear" w:color="auto" w:fill="DCFCE7"/>
            <w:vAlign w:val="center"/>
          </w:tcPr>
          <w:p w14:paraId="48EAB8CF">
            <w:pPr>
              <w:spacing w:before="0" w:after="60" w:line="240" w:lineRule="auto"/>
            </w:pPr>
            <w:r>
              <w:rPr>
                <w:rFonts w:ascii="Songti SC" w:hAnsi="Songti SC" w:eastAsia="Songti SC"/>
                <w:b/>
                <w:color w:val="1F2937"/>
                <w:sz w:val="20"/>
              </w:rPr>
              <w:t>玩家场景</w:t>
            </w:r>
          </w:p>
        </w:tc>
        <w:tc>
          <w:tcPr>
            <w:tcW w:w="3175" w:type="dxa"/>
            <w:gridSpan w:val="2"/>
            <w:shd w:val="clear" w:color="auto" w:fill="DCFCE7"/>
            <w:vAlign w:val="center"/>
          </w:tcPr>
          <w:p w14:paraId="419EDA58">
            <w:pPr>
              <w:spacing w:before="0" w:after="60" w:line="240" w:lineRule="auto"/>
            </w:pPr>
            <w:r>
              <w:rPr>
                <w:rFonts w:ascii="Songti SC" w:hAnsi="Songti SC" w:eastAsia="Songti SC"/>
                <w:b/>
                <w:color w:val="1F2937"/>
                <w:sz w:val="20"/>
              </w:rPr>
              <w:t>重点验证内容</w:t>
            </w:r>
          </w:p>
        </w:tc>
        <w:tc>
          <w:tcPr>
            <w:tcW w:w="3175" w:type="dxa"/>
            <w:shd w:val="clear" w:color="auto" w:fill="DCFCE7"/>
            <w:vAlign w:val="center"/>
          </w:tcPr>
          <w:p w14:paraId="25E98C71">
            <w:pPr>
              <w:spacing w:before="0" w:after="60" w:line="240" w:lineRule="auto"/>
            </w:pPr>
            <w:r>
              <w:rPr>
                <w:rFonts w:ascii="Songti SC" w:hAnsi="Songti SC" w:eastAsia="Songti SC"/>
                <w:b/>
                <w:color w:val="1F2937"/>
                <w:sz w:val="20"/>
              </w:rPr>
              <w:t>通过标准</w:t>
            </w:r>
          </w:p>
        </w:tc>
      </w:tr>
      <w:tr w14:paraId="0E9079BA">
        <w:trPr>
          <w:jc w:val="center"/>
        </w:trPr>
        <w:tc>
          <w:tcPr>
            <w:tcW w:w="3175" w:type="dxa"/>
            <w:vAlign w:val="center"/>
          </w:tcPr>
          <w:p w14:paraId="15F7F336">
            <w:pPr>
              <w:spacing w:before="0" w:after="60" w:line="240" w:lineRule="auto"/>
            </w:pPr>
            <w:r>
              <w:rPr>
                <w:rFonts w:ascii="Songti SC" w:hAnsi="Songti SC" w:eastAsia="Songti SC"/>
                <w:b w:val="0"/>
                <w:color w:val="1F2937"/>
                <w:sz w:val="20"/>
              </w:rPr>
              <w:t>散客</w:t>
            </w:r>
          </w:p>
        </w:tc>
        <w:tc>
          <w:tcPr>
            <w:tcW w:w="3175" w:type="dxa"/>
            <w:gridSpan w:val="2"/>
            <w:vAlign w:val="center"/>
          </w:tcPr>
          <w:p w14:paraId="13F7D44A">
            <w:pPr>
              <w:spacing w:before="0" w:after="60" w:line="240" w:lineRule="auto"/>
            </w:pPr>
            <w:r>
              <w:rPr>
                <w:rFonts w:ascii="Songti SC" w:hAnsi="Songti SC" w:eastAsia="Songti SC"/>
                <w:b w:val="0"/>
                <w:color w:val="1F2937"/>
                <w:sz w:val="20"/>
              </w:rPr>
              <w:t>浏览、扫码支付、开局、结束返回</w:t>
            </w:r>
          </w:p>
        </w:tc>
        <w:tc>
          <w:tcPr>
            <w:tcW w:w="3175" w:type="dxa"/>
            <w:vAlign w:val="center"/>
          </w:tcPr>
          <w:p w14:paraId="6FC810E3">
            <w:pPr>
              <w:spacing w:before="0" w:after="60" w:line="240" w:lineRule="auto"/>
            </w:pPr>
            <w:r>
              <w:rPr>
                <w:rFonts w:ascii="Songti SC" w:hAnsi="Songti SC" w:eastAsia="Songti SC"/>
                <w:b w:val="0"/>
                <w:color w:val="1F2937"/>
                <w:sz w:val="20"/>
              </w:rPr>
              <w:t>无需登录也可完成闭环</w:t>
            </w:r>
          </w:p>
        </w:tc>
      </w:tr>
      <w:tr w14:paraId="2CA25F34">
        <w:trPr>
          <w:jc w:val="center"/>
        </w:trPr>
        <w:tc>
          <w:tcPr>
            <w:tcW w:w="3175" w:type="dxa"/>
            <w:vAlign w:val="center"/>
          </w:tcPr>
          <w:p w14:paraId="05DFFA6F">
            <w:pPr>
              <w:spacing w:before="0" w:after="60" w:line="240" w:lineRule="auto"/>
            </w:pPr>
            <w:r>
              <w:rPr>
                <w:rFonts w:ascii="Songti SC" w:hAnsi="Songti SC" w:eastAsia="Songti SC"/>
                <w:b w:val="0"/>
                <w:color w:val="1F2937"/>
                <w:sz w:val="20"/>
              </w:rPr>
              <w:t>会员主动扫码</w:t>
            </w:r>
          </w:p>
        </w:tc>
        <w:tc>
          <w:tcPr>
            <w:tcW w:w="3175" w:type="dxa"/>
            <w:gridSpan w:val="2"/>
            <w:vAlign w:val="center"/>
          </w:tcPr>
          <w:p w14:paraId="1F1A63C1">
            <w:pPr>
              <w:spacing w:before="0" w:after="60" w:line="240" w:lineRule="auto"/>
            </w:pPr>
            <w:r>
              <w:rPr>
                <w:rFonts w:ascii="Songti SC" w:hAnsi="Songti SC" w:eastAsia="Songti SC"/>
                <w:b w:val="0"/>
                <w:color w:val="1F2937"/>
                <w:sz w:val="20"/>
              </w:rPr>
              <w:t>优惠、预存款、游戏币、补差</w:t>
            </w:r>
          </w:p>
        </w:tc>
        <w:tc>
          <w:tcPr>
            <w:tcW w:w="3175" w:type="dxa"/>
            <w:vAlign w:val="center"/>
          </w:tcPr>
          <w:p w14:paraId="56C411DA">
            <w:pPr>
              <w:spacing w:before="0" w:after="60" w:line="240" w:lineRule="auto"/>
            </w:pPr>
            <w:r>
              <w:rPr>
                <w:rFonts w:ascii="Songti SC" w:hAnsi="Songti SC" w:eastAsia="Songti SC"/>
                <w:b w:val="0"/>
                <w:color w:val="1F2937"/>
                <w:sz w:val="20"/>
              </w:rPr>
              <w:t>扣费和展示结果正确</w:t>
            </w:r>
          </w:p>
        </w:tc>
      </w:tr>
      <w:tr w14:paraId="30A98FB6">
        <w:trPr>
          <w:jc w:val="center"/>
        </w:trPr>
        <w:tc>
          <w:tcPr>
            <w:tcW w:w="3175" w:type="dxa"/>
            <w:vAlign w:val="center"/>
          </w:tcPr>
          <w:p w14:paraId="7BC11F09">
            <w:pPr>
              <w:spacing w:before="0" w:after="60" w:line="240" w:lineRule="auto"/>
            </w:pPr>
            <w:r>
              <w:rPr>
                <w:rFonts w:ascii="Songti SC" w:hAnsi="Songti SC" w:eastAsia="Songti SC"/>
                <w:b w:val="0"/>
                <w:color w:val="1F2937"/>
                <w:sz w:val="20"/>
              </w:rPr>
              <w:t>会员码反扫 / 店员协助</w:t>
            </w:r>
          </w:p>
        </w:tc>
        <w:tc>
          <w:tcPr>
            <w:tcW w:w="3175" w:type="dxa"/>
            <w:gridSpan w:val="2"/>
            <w:vAlign w:val="center"/>
          </w:tcPr>
          <w:p w14:paraId="7B158E08">
            <w:pPr>
              <w:spacing w:before="0" w:after="60" w:line="240" w:lineRule="auto"/>
            </w:pPr>
            <w:r>
              <w:rPr>
                <w:rFonts w:ascii="Songti SC" w:hAnsi="Songti SC" w:eastAsia="Songti SC"/>
                <w:b w:val="0"/>
                <w:color w:val="1F2937"/>
                <w:sz w:val="20"/>
              </w:rPr>
              <w:t>识别会员、确认扣费、进入开局</w:t>
            </w:r>
          </w:p>
        </w:tc>
        <w:tc>
          <w:tcPr>
            <w:tcW w:w="3175" w:type="dxa"/>
            <w:vAlign w:val="center"/>
          </w:tcPr>
          <w:p w14:paraId="6DEE416C">
            <w:pPr>
              <w:spacing w:before="0" w:after="60" w:line="240" w:lineRule="auto"/>
            </w:pPr>
            <w:r>
              <w:rPr>
                <w:rFonts w:ascii="Songti SC" w:hAnsi="Songti SC" w:eastAsia="Songti SC"/>
                <w:b w:val="0"/>
                <w:color w:val="1F2937"/>
                <w:sz w:val="20"/>
              </w:rPr>
              <w:t>会员身份和支付链路正确</w:t>
            </w:r>
          </w:p>
        </w:tc>
      </w:tr>
      <w:tr w14:paraId="7C2FCE49">
        <w:trPr>
          <w:jc w:val="center"/>
        </w:trPr>
        <w:tc>
          <w:tcPr>
            <w:tcW w:w="3175" w:type="dxa"/>
            <w:vAlign w:val="center"/>
          </w:tcPr>
          <w:p w14:paraId="5CBE26C2">
            <w:pPr>
              <w:spacing w:before="0" w:after="60" w:line="240" w:lineRule="auto"/>
            </w:pPr>
            <w:r>
              <w:rPr>
                <w:rFonts w:ascii="Songti SC" w:hAnsi="Songti SC" w:eastAsia="Songti SC"/>
                <w:b w:val="0"/>
                <w:color w:val="1F2937"/>
                <w:sz w:val="20"/>
              </w:rPr>
              <w:t>新玩家注册</w:t>
            </w:r>
          </w:p>
        </w:tc>
        <w:tc>
          <w:tcPr>
            <w:tcW w:w="3175" w:type="dxa"/>
            <w:gridSpan w:val="2"/>
            <w:vAlign w:val="center"/>
          </w:tcPr>
          <w:p w14:paraId="09D12554">
            <w:pPr>
              <w:spacing w:before="0" w:after="60" w:line="240" w:lineRule="auto"/>
            </w:pPr>
            <w:r>
              <w:rPr>
                <w:rFonts w:ascii="Songti SC" w:hAnsi="Songti SC" w:eastAsia="Songti SC"/>
                <w:b w:val="0"/>
                <w:color w:val="1F2937"/>
                <w:sz w:val="20"/>
              </w:rPr>
              <w:t>注册二维码 / 小程序入会</w:t>
            </w:r>
          </w:p>
        </w:tc>
        <w:tc>
          <w:tcPr>
            <w:tcW w:w="3175" w:type="dxa"/>
            <w:vAlign w:val="center"/>
          </w:tcPr>
          <w:p w14:paraId="4DA34E30">
            <w:pPr>
              <w:spacing w:before="0" w:after="60" w:line="240" w:lineRule="auto"/>
            </w:pPr>
            <w:r>
              <w:rPr>
                <w:rFonts w:ascii="Songti SC" w:hAnsi="Songti SC" w:eastAsia="Songti SC"/>
                <w:b w:val="0"/>
                <w:color w:val="1F2937"/>
                <w:sz w:val="20"/>
              </w:rPr>
              <w:t>可成功建档并进入会员链路</w:t>
            </w:r>
          </w:p>
        </w:tc>
      </w:tr>
    </w:tbl>
    <w:p w14:paraId="1B5EBCD6">
      <w:pPr>
        <w:pStyle w:val="3"/>
      </w:pPr>
      <w:r>
        <w:rPr>
          <w:rFonts w:ascii="Songti SC" w:hAnsi="Songti SC" w:eastAsia="Songti SC"/>
          <w:b/>
          <w:color w:val="1E3A8A"/>
          <w:sz w:val="32"/>
        </w:rPr>
        <w:t>二、玩家全流程总览</w:t>
      </w:r>
    </w:p>
    <w:p w14:paraId="0951A713">
      <w:pPr>
        <w:jc w:val="center"/>
      </w:pPr>
      <w:r>
        <w:drawing>
          <wp:inline distT="0" distB="0" distL="114300" distR="114300">
            <wp:extent cx="5831840" cy="3061335"/>
            <wp:effectExtent l="0" t="0" r="1016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32000" cy="3061800"/>
                    </a:xfrm>
                    <a:prstGeom prst="rect">
                      <a:avLst/>
                    </a:prstGeom>
                  </pic:spPr>
                </pic:pic>
              </a:graphicData>
            </a:graphic>
          </wp:inline>
        </w:drawing>
      </w:r>
    </w:p>
    <w:p w14:paraId="6E79F4FD">
      <w:pPr>
        <w:jc w:val="center"/>
      </w:pPr>
      <w:r>
        <w:rPr>
          <w:rFonts w:ascii="Songti SC" w:hAnsi="Songti SC" w:eastAsia="Songti SC"/>
          <w:b w:val="0"/>
          <w:color w:val="64748B"/>
          <w:sz w:val="19"/>
        </w:rPr>
        <w:t>图 1：玩家体验主流程示意图</w:t>
      </w:r>
    </w:p>
    <w:p w14:paraId="5C3A5357">
      <w:pPr>
        <w:jc w:val="center"/>
      </w:pPr>
      <w:r>
        <w:drawing>
          <wp:inline distT="0" distB="0" distL="114300" distR="114300">
            <wp:extent cx="5831840" cy="3134360"/>
            <wp:effectExtent l="0" t="0" r="101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32000" cy="3134700"/>
                    </a:xfrm>
                    <a:prstGeom prst="rect">
                      <a:avLst/>
                    </a:prstGeom>
                  </pic:spPr>
                </pic:pic>
              </a:graphicData>
            </a:graphic>
          </wp:inline>
        </w:drawing>
      </w:r>
    </w:p>
    <w:p w14:paraId="4FEED02D">
      <w:pPr>
        <w:jc w:val="center"/>
      </w:pPr>
      <w:r>
        <w:rPr>
          <w:rFonts w:ascii="Songti SC" w:hAnsi="Songti SC" w:eastAsia="Songti SC"/>
          <w:b w:val="0"/>
          <w:color w:val="64748B"/>
          <w:sz w:val="19"/>
        </w:rPr>
        <w:t>图 2：玩家支付路径示意图</w:t>
      </w:r>
    </w:p>
    <w:p w14:paraId="5CDE4E33">
      <w:pPr>
        <w:pStyle w:val="3"/>
      </w:pPr>
      <w:r>
        <w:rPr>
          <w:rFonts w:ascii="Songti SC" w:hAnsi="Songti SC" w:eastAsia="Songti SC"/>
          <w:b/>
          <w:color w:val="1E3A8A"/>
          <w:sz w:val="32"/>
        </w:rPr>
        <w:t>三、支付页面素材参考</w:t>
      </w:r>
    </w:p>
    <w:p w14:paraId="09BF2D8F">
      <w:pPr>
        <w:spacing w:after="120"/>
      </w:pPr>
      <w:r>
        <w:rPr>
          <w:rFonts w:ascii="Songti SC" w:hAnsi="Songti SC" w:eastAsia="Songti SC"/>
          <w:b w:val="0"/>
          <w:color w:val="334155"/>
          <w:sz w:val="21"/>
        </w:rPr>
        <w:t>以下截图用于帮助测试人员理解玩家在小程序或支付确认页会看到的关键状态。</w:t>
      </w:r>
    </w:p>
    <w:p w14:paraId="62242441">
      <w:pPr>
        <w:jc w:val="center"/>
      </w:pPr>
      <w:r>
        <w:drawing>
          <wp:inline distT="0" distB="0" distL="114300" distR="114300">
            <wp:extent cx="3627120" cy="7849870"/>
            <wp:effectExtent l="0" t="0" r="508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627120" cy="7849870"/>
                    </a:xfrm>
                    <a:prstGeom prst="rect">
                      <a:avLst/>
                    </a:prstGeom>
                  </pic:spPr>
                </pic:pic>
              </a:graphicData>
            </a:graphic>
          </wp:inline>
        </w:drawing>
      </w:r>
    </w:p>
    <w:p w14:paraId="79D04B9C">
      <w:pPr>
        <w:jc w:val="center"/>
      </w:pPr>
      <w:r>
        <w:rPr>
          <w:rFonts w:ascii="Songti SC" w:hAnsi="Songti SC" w:eastAsia="Songti SC"/>
          <w:b w:val="0"/>
          <w:color w:val="64748B"/>
          <w:sz w:val="19"/>
        </w:rPr>
        <w:t>图 3：会员支付确认页示例（优惠券 + 折扣 + 全额覆盖）</w:t>
      </w:r>
    </w:p>
    <w:p w14:paraId="405DB192">
      <w:pPr>
        <w:jc w:val="center"/>
      </w:pPr>
      <w:r>
        <w:drawing>
          <wp:inline distT="0" distB="0" distL="114300" distR="114300">
            <wp:extent cx="3552190" cy="768985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552190" cy="7689850"/>
                    </a:xfrm>
                    <a:prstGeom prst="rect">
                      <a:avLst/>
                    </a:prstGeom>
                  </pic:spPr>
                </pic:pic>
              </a:graphicData>
            </a:graphic>
          </wp:inline>
        </w:drawing>
      </w:r>
    </w:p>
    <w:p w14:paraId="639767B1">
      <w:pPr>
        <w:jc w:val="center"/>
      </w:pPr>
      <w:r>
        <w:rPr>
          <w:rFonts w:ascii="Songti SC" w:hAnsi="Songti SC" w:eastAsia="Songti SC"/>
          <w:b w:val="0"/>
          <w:color w:val="64748B"/>
          <w:sz w:val="19"/>
        </w:rPr>
        <w:t>图 4：会员支付成功页示例（优惠后补差）</w:t>
      </w:r>
    </w:p>
    <w:p w14:paraId="56492C29">
      <w:pPr>
        <w:jc w:val="center"/>
      </w:pPr>
      <w:r>
        <w:drawing>
          <wp:inline distT="0" distB="0" distL="114300" distR="114300">
            <wp:extent cx="3561080" cy="7706995"/>
            <wp:effectExtent l="0" t="0" r="2032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561080" cy="7706995"/>
                    </a:xfrm>
                    <a:prstGeom prst="rect">
                      <a:avLst/>
                    </a:prstGeom>
                  </pic:spPr>
                </pic:pic>
              </a:graphicData>
            </a:graphic>
          </wp:inline>
        </w:drawing>
      </w:r>
    </w:p>
    <w:p w14:paraId="1991AC3B">
      <w:pPr>
        <w:jc w:val="center"/>
      </w:pPr>
      <w:r>
        <w:rPr>
          <w:rFonts w:ascii="Songti SC" w:hAnsi="Songti SC" w:eastAsia="Songti SC"/>
          <w:b w:val="0"/>
          <w:color w:val="64748B"/>
          <w:sz w:val="19"/>
        </w:rPr>
        <w:t>图 5：支付失败页示例</w:t>
      </w:r>
    </w:p>
    <w:p w14:paraId="0BE794A3">
      <w:pPr>
        <w:pStyle w:val="3"/>
      </w:pPr>
      <w:r>
        <w:rPr>
          <w:rFonts w:ascii="Songti SC" w:hAnsi="Songti SC" w:eastAsia="Songti SC"/>
          <w:b/>
          <w:color w:val="1E3A8A"/>
          <w:sz w:val="32"/>
        </w:rPr>
        <w:t>四、核心测试用例</w:t>
      </w:r>
    </w:p>
    <w:p w14:paraId="2F88FD79">
      <w:pPr>
        <w:pStyle w:val="4"/>
      </w:pPr>
      <w:r>
        <w:rPr>
          <w:rFonts w:ascii="Songti SC" w:hAnsi="Songti SC" w:eastAsia="Songti SC"/>
          <w:b/>
          <w:color w:val="0F766E"/>
          <w:sz w:val="27"/>
        </w:rPr>
        <w:t>P01 玩家可从首页浏览游戏并进入详情页</w:t>
      </w:r>
    </w:p>
    <w:p w14:paraId="7EAD2B8D">
      <w:pPr>
        <w:spacing w:after="120"/>
      </w:pPr>
      <w:r>
        <w:rPr>
          <w:rFonts w:ascii="Songti SC" w:hAnsi="Songti SC" w:eastAsia="Songti SC"/>
          <w:b w:val="0"/>
          <w:color w:val="334155"/>
          <w:sz w:val="21"/>
        </w:rPr>
        <w:t>测试目标：确认玩家到店后可以顺利从终端首页浏览内容，并进入目标游戏详情页。</w:t>
      </w:r>
    </w:p>
    <w:p w14:paraId="61F551F0">
      <w:pPr>
        <w:spacing w:after="120"/>
      </w:pPr>
      <w:r>
        <w:rPr>
          <w:rFonts w:ascii="Songti SC" w:hAnsi="Songti SC" w:eastAsia="Songti SC"/>
          <w:b w:val="0"/>
          <w:color w:val="334155"/>
          <w:sz w:val="21"/>
        </w:rPr>
        <w:t>操作路径：PC 点播系统首页 → 游戏详情页</w:t>
      </w:r>
    </w:p>
    <w:p w14:paraId="29A5B7CF">
      <w:pPr>
        <w:spacing w:after="120"/>
      </w:pPr>
      <w:r>
        <w:rPr>
          <w:rFonts w:ascii="Songti SC" w:hAnsi="Songti SC" w:eastAsia="Songti SC"/>
          <w:b w:val="0"/>
          <w:color w:val="334155"/>
          <w:sz w:val="21"/>
        </w:rPr>
        <w:t>操作步骤：</w:t>
      </w:r>
      <w:bookmarkStart w:id="0" w:name="_GoBack"/>
      <w:bookmarkEnd w:id="0"/>
    </w:p>
    <w:p w14:paraId="7148E6AC">
      <w:pPr>
        <w:pStyle w:val="14"/>
      </w:pPr>
      <w:r>
        <w:rPr>
          <w:rFonts w:ascii="Songti SC" w:hAnsi="Songti SC" w:eastAsia="Songti SC"/>
          <w:b w:val="0"/>
          <w:color w:val="334155"/>
          <w:sz w:val="21"/>
        </w:rPr>
        <w:t>打开 PC 点播系统首页。</w:t>
      </w:r>
    </w:p>
    <w:p w14:paraId="49A5AD18">
      <w:pPr>
        <w:pStyle w:val="14"/>
      </w:pPr>
      <w:r>
        <w:rPr>
          <w:rFonts w:ascii="Songti SC" w:hAnsi="Songti SC" w:eastAsia="Songti SC"/>
          <w:b w:val="0"/>
          <w:color w:val="334155"/>
          <w:sz w:val="21"/>
        </w:rPr>
        <w:t>观察首页是否展示可玩游戏。</w:t>
      </w:r>
    </w:p>
    <w:p w14:paraId="3235CE4A">
      <w:pPr>
        <w:pStyle w:val="14"/>
      </w:pPr>
      <w:r>
        <w:rPr>
          <w:rFonts w:ascii="Songti SC" w:hAnsi="Songti SC" w:eastAsia="Songti SC"/>
          <w:b w:val="0"/>
          <w:color w:val="334155"/>
          <w:sz w:val="21"/>
        </w:rPr>
        <w:t>点击任意一款游戏卡片。</w:t>
      </w:r>
    </w:p>
    <w:p w14:paraId="316C4A45">
      <w:pPr>
        <w:pStyle w:val="14"/>
      </w:pPr>
      <w:r>
        <w:rPr>
          <w:rFonts w:ascii="Songti SC" w:hAnsi="Songti SC" w:eastAsia="Songti SC"/>
          <w:b w:val="0"/>
          <w:color w:val="334155"/>
          <w:sz w:val="21"/>
        </w:rPr>
        <w:t>进入详情页后查看标题、价格、时长、人数等信息。</w:t>
      </w:r>
    </w:p>
    <w:p w14:paraId="1E05D465">
      <w:pPr>
        <w:spacing w:after="120"/>
      </w:pPr>
      <w:r>
        <w:rPr>
          <w:rFonts w:ascii="Songti SC" w:hAnsi="Songti SC" w:eastAsia="Songti SC"/>
          <w:b w:val="0"/>
          <w:color w:val="334155"/>
          <w:sz w:val="21"/>
        </w:rPr>
        <w:t>预期结果：</w:t>
      </w:r>
    </w:p>
    <w:p w14:paraId="3F23F9F1">
      <w:pPr>
        <w:pStyle w:val="16"/>
      </w:pPr>
      <w:r>
        <w:rPr>
          <w:rFonts w:ascii="Songti SC" w:hAnsi="Songti SC" w:eastAsia="Songti SC"/>
          <w:b w:val="0"/>
          <w:color w:val="334155"/>
          <w:sz w:val="21"/>
        </w:rPr>
        <w:t>首页可正常展示游戏列表。</w:t>
      </w:r>
    </w:p>
    <w:p w14:paraId="651E3DA6">
      <w:pPr>
        <w:pStyle w:val="16"/>
      </w:pPr>
      <w:r>
        <w:rPr>
          <w:rFonts w:ascii="Songti SC" w:hAnsi="Songti SC" w:eastAsia="Songti SC"/>
          <w:b w:val="0"/>
          <w:color w:val="334155"/>
          <w:sz w:val="21"/>
        </w:rPr>
        <w:t>详情页能正常打开。</w:t>
      </w:r>
    </w:p>
    <w:p w14:paraId="4695AB36">
      <w:pPr>
        <w:pStyle w:val="16"/>
      </w:pPr>
      <w:r>
        <w:rPr>
          <w:rFonts w:ascii="Songti SC" w:hAnsi="Songti SC" w:eastAsia="Songti SC"/>
          <w:b w:val="0"/>
          <w:color w:val="334155"/>
          <w:sz w:val="21"/>
        </w:rPr>
        <w:t>价格、时长、支持人数等基础信息可见。</w:t>
      </w:r>
    </w:p>
    <w:p w14:paraId="3260F37F">
      <w:pPr>
        <w:pStyle w:val="4"/>
      </w:pPr>
      <w:r>
        <w:rPr>
          <w:rFonts w:ascii="Songti SC" w:hAnsi="Songti SC" w:eastAsia="Songti SC"/>
          <w:b/>
          <w:color w:val="0F766E"/>
          <w:sz w:val="27"/>
        </w:rPr>
        <w:t>P02 玩家可选择体验配置并进入支付环节</w:t>
      </w:r>
    </w:p>
    <w:p w14:paraId="28C00791">
      <w:pPr>
        <w:spacing w:after="120"/>
      </w:pPr>
      <w:r>
        <w:rPr>
          <w:rFonts w:ascii="Songti SC" w:hAnsi="Songti SC" w:eastAsia="Songti SC"/>
          <w:b w:val="0"/>
          <w:color w:val="334155"/>
          <w:sz w:val="21"/>
        </w:rPr>
        <w:t>测试目标：确认玩家可以从详情页选择时长、人数或设备数，并进入支付确认页。</w:t>
      </w:r>
    </w:p>
    <w:p w14:paraId="720C46EF">
      <w:pPr>
        <w:spacing w:after="120"/>
      </w:pPr>
      <w:r>
        <w:rPr>
          <w:rFonts w:ascii="Songti SC" w:hAnsi="Songti SC" w:eastAsia="Songti SC"/>
          <w:b w:val="0"/>
          <w:color w:val="334155"/>
          <w:sz w:val="21"/>
        </w:rPr>
        <w:t>操作路径：游戏详情页 → 支付确认页</w:t>
      </w:r>
    </w:p>
    <w:p w14:paraId="622D0524">
      <w:pPr>
        <w:spacing w:after="120"/>
      </w:pPr>
      <w:r>
        <w:rPr>
          <w:rFonts w:ascii="Songti SC" w:hAnsi="Songti SC" w:eastAsia="Songti SC"/>
          <w:b w:val="0"/>
          <w:color w:val="334155"/>
          <w:sz w:val="21"/>
        </w:rPr>
        <w:t>操作步骤：</w:t>
      </w:r>
    </w:p>
    <w:p w14:paraId="0D1673A6">
      <w:pPr>
        <w:pStyle w:val="14"/>
      </w:pPr>
      <w:r>
        <w:rPr>
          <w:rFonts w:ascii="Songti SC" w:hAnsi="Songti SC" w:eastAsia="Songti SC"/>
          <w:b w:val="0"/>
          <w:color w:val="334155"/>
          <w:sz w:val="21"/>
        </w:rPr>
        <w:t>在详情页选择体验时长。</w:t>
      </w:r>
    </w:p>
    <w:p w14:paraId="667958AF">
      <w:pPr>
        <w:pStyle w:val="14"/>
      </w:pPr>
      <w:r>
        <w:rPr>
          <w:rFonts w:ascii="Songti SC" w:hAnsi="Songti SC" w:eastAsia="Songti SC"/>
          <w:b w:val="0"/>
          <w:color w:val="334155"/>
          <w:sz w:val="21"/>
        </w:rPr>
        <w:t>如为多人项目，选择人数或设备数。</w:t>
      </w:r>
    </w:p>
    <w:p w14:paraId="4027EE79">
      <w:pPr>
        <w:pStyle w:val="14"/>
      </w:pPr>
      <w:r>
        <w:rPr>
          <w:rFonts w:ascii="Songti SC" w:hAnsi="Songti SC" w:eastAsia="Songti SC"/>
          <w:b w:val="0"/>
          <w:color w:val="334155"/>
          <w:sz w:val="21"/>
        </w:rPr>
        <w:t>点击“开始游戏”或等效按钮。</w:t>
      </w:r>
    </w:p>
    <w:p w14:paraId="7BCE0946">
      <w:pPr>
        <w:spacing w:after="120"/>
      </w:pPr>
      <w:r>
        <w:rPr>
          <w:rFonts w:ascii="Songti SC" w:hAnsi="Songti SC" w:eastAsia="Songti SC"/>
          <w:b w:val="0"/>
          <w:color w:val="334155"/>
          <w:sz w:val="21"/>
        </w:rPr>
        <w:t>预期结果：</w:t>
      </w:r>
    </w:p>
    <w:p w14:paraId="605FA809">
      <w:pPr>
        <w:pStyle w:val="16"/>
      </w:pPr>
      <w:r>
        <w:rPr>
          <w:rFonts w:ascii="Songti SC" w:hAnsi="Songti SC" w:eastAsia="Songti SC"/>
          <w:b w:val="0"/>
          <w:color w:val="334155"/>
          <w:sz w:val="21"/>
        </w:rPr>
        <w:t>能进入支付环节。</w:t>
      </w:r>
    </w:p>
    <w:p w14:paraId="08AA2FA0">
      <w:pPr>
        <w:pStyle w:val="16"/>
      </w:pPr>
      <w:r>
        <w:rPr>
          <w:rFonts w:ascii="Songti SC" w:hAnsi="Songti SC" w:eastAsia="Songti SC"/>
          <w:b w:val="0"/>
          <w:color w:val="334155"/>
          <w:sz w:val="21"/>
        </w:rPr>
        <w:t>支付前展示的项目名称、价格、时长与选择结果一致。</w:t>
      </w:r>
    </w:p>
    <w:p w14:paraId="088796BC">
      <w:pPr>
        <w:pStyle w:val="4"/>
      </w:pPr>
      <w:r>
        <w:rPr>
          <w:rFonts w:ascii="Songti SC" w:hAnsi="Songti SC" w:eastAsia="Songti SC"/>
          <w:b/>
          <w:color w:val="0F766E"/>
          <w:sz w:val="27"/>
        </w:rPr>
        <w:t>P03 散客扫码支付成功</w:t>
      </w:r>
    </w:p>
    <w:p w14:paraId="77BCB4C4">
      <w:pPr>
        <w:spacing w:after="120"/>
      </w:pPr>
      <w:r>
        <w:rPr>
          <w:rFonts w:ascii="Songti SC" w:hAnsi="Songti SC" w:eastAsia="Songti SC"/>
          <w:b w:val="0"/>
          <w:color w:val="334155"/>
          <w:sz w:val="21"/>
        </w:rPr>
        <w:t>测试目标：确认未注册玩家可以直接扫码支付并进入后续开局链路。</w:t>
      </w:r>
    </w:p>
    <w:p w14:paraId="0EB7CA08">
      <w:pPr>
        <w:spacing w:after="120"/>
      </w:pPr>
      <w:r>
        <w:rPr>
          <w:rFonts w:ascii="Songti SC" w:hAnsi="Songti SC" w:eastAsia="Songti SC"/>
          <w:b w:val="0"/>
          <w:color w:val="334155"/>
          <w:sz w:val="21"/>
        </w:rPr>
        <w:t>操作路径：PC 点播系统支付页 → 微信 / 支付宝扫码 → 支付成功</w:t>
      </w:r>
    </w:p>
    <w:p w14:paraId="42287F86">
      <w:pPr>
        <w:spacing w:after="120"/>
      </w:pPr>
      <w:r>
        <w:rPr>
          <w:rFonts w:ascii="Songti SC" w:hAnsi="Songti SC" w:eastAsia="Songti SC"/>
          <w:b w:val="0"/>
          <w:color w:val="334155"/>
          <w:sz w:val="21"/>
        </w:rPr>
        <w:t>操作步骤：</w:t>
      </w:r>
    </w:p>
    <w:p w14:paraId="57D03B9F">
      <w:pPr>
        <w:pStyle w:val="14"/>
      </w:pPr>
      <w:r>
        <w:rPr>
          <w:rFonts w:ascii="Songti SC" w:hAnsi="Songti SC" w:eastAsia="Songti SC"/>
          <w:b w:val="0"/>
          <w:color w:val="334155"/>
          <w:sz w:val="21"/>
        </w:rPr>
        <w:t>在支付页选择散客支付。</w:t>
      </w:r>
    </w:p>
    <w:p w14:paraId="5AC6BA4D">
      <w:pPr>
        <w:pStyle w:val="14"/>
      </w:pPr>
      <w:r>
        <w:rPr>
          <w:rFonts w:ascii="Songti SC" w:hAnsi="Songti SC" w:eastAsia="Songti SC"/>
          <w:b w:val="0"/>
          <w:color w:val="334155"/>
          <w:sz w:val="21"/>
        </w:rPr>
        <w:t>使用微信或支付宝扫一扫终端二维码。</w:t>
      </w:r>
    </w:p>
    <w:p w14:paraId="5775A084">
      <w:pPr>
        <w:pStyle w:val="14"/>
      </w:pPr>
      <w:r>
        <w:rPr>
          <w:rFonts w:ascii="Songti SC" w:hAnsi="Songti SC" w:eastAsia="Songti SC"/>
          <w:b w:val="0"/>
          <w:color w:val="334155"/>
          <w:sz w:val="21"/>
        </w:rPr>
        <w:t>在手机侧完成支付。</w:t>
      </w:r>
    </w:p>
    <w:p w14:paraId="3DD5558E">
      <w:pPr>
        <w:pStyle w:val="14"/>
      </w:pPr>
      <w:r>
        <w:rPr>
          <w:rFonts w:ascii="Songti SC" w:hAnsi="Songti SC" w:eastAsia="Songti SC"/>
          <w:b w:val="0"/>
          <w:color w:val="334155"/>
          <w:sz w:val="21"/>
        </w:rPr>
        <w:t>观察终端支付完成后的状态变化。</w:t>
      </w:r>
    </w:p>
    <w:p w14:paraId="0521C0E3">
      <w:pPr>
        <w:spacing w:after="120"/>
      </w:pPr>
      <w:r>
        <w:rPr>
          <w:rFonts w:ascii="Songti SC" w:hAnsi="Songti SC" w:eastAsia="Songti SC"/>
          <w:b w:val="0"/>
          <w:color w:val="334155"/>
          <w:sz w:val="21"/>
        </w:rPr>
        <w:t>预期结果：</w:t>
      </w:r>
    </w:p>
    <w:p w14:paraId="4C7F84A0">
      <w:pPr>
        <w:pStyle w:val="16"/>
      </w:pPr>
      <w:r>
        <w:rPr>
          <w:rFonts w:ascii="Songti SC" w:hAnsi="Songti SC" w:eastAsia="Songti SC"/>
          <w:b w:val="0"/>
          <w:color w:val="334155"/>
          <w:sz w:val="21"/>
        </w:rPr>
        <w:t>散客无需先注册或登录。</w:t>
      </w:r>
    </w:p>
    <w:p w14:paraId="452E1A9A">
      <w:pPr>
        <w:pStyle w:val="16"/>
      </w:pPr>
      <w:r>
        <w:rPr>
          <w:rFonts w:ascii="Songti SC" w:hAnsi="Songti SC" w:eastAsia="Songti SC"/>
          <w:b w:val="0"/>
          <w:color w:val="334155"/>
          <w:sz w:val="21"/>
        </w:rPr>
        <w:t>支付成功后，终端不再停留在待支付状态。</w:t>
      </w:r>
    </w:p>
    <w:p w14:paraId="67FDBAEA">
      <w:pPr>
        <w:pStyle w:val="16"/>
      </w:pPr>
      <w:r>
        <w:rPr>
          <w:rFonts w:ascii="Songti SC" w:hAnsi="Songti SC" w:eastAsia="Songti SC"/>
          <w:b w:val="0"/>
          <w:color w:val="334155"/>
          <w:sz w:val="21"/>
        </w:rPr>
        <w:t>终端进入设备引导、开局准备或等效下一步。</w:t>
      </w:r>
    </w:p>
    <w:p w14:paraId="7E0C751A">
      <w:pPr>
        <w:spacing w:after="120"/>
      </w:pPr>
      <w:r>
        <w:rPr>
          <w:rFonts w:ascii="Songti SC" w:hAnsi="Songti SC" w:eastAsia="Songti SC"/>
          <w:b w:val="0"/>
          <w:color w:val="334155"/>
          <w:sz w:val="21"/>
        </w:rPr>
        <w:t>异常分支：</w:t>
      </w:r>
    </w:p>
    <w:p w14:paraId="22FBD6D7">
      <w:pPr>
        <w:pStyle w:val="16"/>
      </w:pPr>
      <w:r>
        <w:rPr>
          <w:rFonts w:ascii="Songti SC" w:hAnsi="Songti SC" w:eastAsia="Songti SC"/>
          <w:b w:val="0"/>
          <w:color w:val="334155"/>
          <w:sz w:val="21"/>
        </w:rPr>
        <w:t>二维码无效或支付失败时，终端要有清晰失败状态或可重试提示。</w:t>
      </w:r>
    </w:p>
    <w:p w14:paraId="5C32A639">
      <w:pPr>
        <w:pStyle w:val="4"/>
      </w:pPr>
      <w:r>
        <w:rPr>
          <w:rFonts w:ascii="Songti SC" w:hAnsi="Songti SC" w:eastAsia="Songti SC"/>
          <w:b/>
          <w:color w:val="0F766E"/>
          <w:sz w:val="27"/>
        </w:rPr>
        <w:t>P04 会员主动扫码支付成功</w:t>
      </w:r>
    </w:p>
    <w:p w14:paraId="2CABCCAF">
      <w:pPr>
        <w:spacing w:after="120"/>
      </w:pPr>
      <w:r>
        <w:rPr>
          <w:rFonts w:ascii="Songti SC" w:hAnsi="Songti SC" w:eastAsia="Songti SC"/>
          <w:b w:val="0"/>
          <w:color w:val="334155"/>
          <w:sz w:val="21"/>
        </w:rPr>
        <w:t>测试目标：确认会员主动扫终端码时，小程序能正确展示优惠、预存款、游戏币和补差结果。</w:t>
      </w:r>
    </w:p>
    <w:p w14:paraId="4B67ED11">
      <w:pPr>
        <w:spacing w:after="120"/>
      </w:pPr>
      <w:r>
        <w:rPr>
          <w:rFonts w:ascii="Songti SC" w:hAnsi="Songti SC" w:eastAsia="Songti SC"/>
          <w:b w:val="0"/>
          <w:color w:val="334155"/>
          <w:sz w:val="21"/>
        </w:rPr>
        <w:t>操作路径：终端支付页 → 小程序扫一扫 → 小程序确认支付</w:t>
      </w:r>
    </w:p>
    <w:p w14:paraId="12499FDC">
      <w:pPr>
        <w:spacing w:after="120"/>
      </w:pPr>
      <w:r>
        <w:rPr>
          <w:rFonts w:ascii="Songti SC" w:hAnsi="Songti SC" w:eastAsia="Songti SC"/>
          <w:b w:val="0"/>
          <w:color w:val="334155"/>
          <w:sz w:val="21"/>
        </w:rPr>
        <w:t>操作步骤：</w:t>
      </w:r>
    </w:p>
    <w:p w14:paraId="2BC52A5F">
      <w:pPr>
        <w:pStyle w:val="14"/>
      </w:pPr>
      <w:r>
        <w:rPr>
          <w:rFonts w:ascii="Songti SC" w:hAnsi="Songti SC" w:eastAsia="Songti SC"/>
          <w:b w:val="0"/>
          <w:color w:val="334155"/>
          <w:sz w:val="21"/>
        </w:rPr>
        <w:t>在终端选择会员主动扫码支付。</w:t>
      </w:r>
    </w:p>
    <w:p w14:paraId="70FF883E">
      <w:pPr>
        <w:pStyle w:val="14"/>
      </w:pPr>
      <w:r>
        <w:rPr>
          <w:rFonts w:ascii="Songti SC" w:hAnsi="Songti SC" w:eastAsia="Songti SC"/>
          <w:b w:val="0"/>
          <w:color w:val="334155"/>
          <w:sz w:val="21"/>
        </w:rPr>
        <w:t>使用头号空间小程序扫一扫。</w:t>
      </w:r>
    </w:p>
    <w:p w14:paraId="3F7BBF7D">
      <w:pPr>
        <w:pStyle w:val="14"/>
      </w:pPr>
      <w:r>
        <w:rPr>
          <w:rFonts w:ascii="Songti SC" w:hAnsi="Songti SC" w:eastAsia="Songti SC"/>
          <w:b w:val="0"/>
          <w:color w:val="334155"/>
          <w:sz w:val="21"/>
        </w:rPr>
        <w:t>观察小程序支付确认页中的优惠、预存款、游戏币和补差金额。</w:t>
      </w:r>
    </w:p>
    <w:p w14:paraId="22E07B2B">
      <w:pPr>
        <w:pStyle w:val="14"/>
      </w:pPr>
      <w:r>
        <w:rPr>
          <w:rFonts w:ascii="Songti SC" w:hAnsi="Songti SC" w:eastAsia="Songti SC"/>
          <w:b w:val="0"/>
          <w:color w:val="334155"/>
          <w:sz w:val="21"/>
        </w:rPr>
        <w:t>完成支付。</w:t>
      </w:r>
    </w:p>
    <w:p w14:paraId="36FF22E7">
      <w:pPr>
        <w:spacing w:after="120"/>
      </w:pPr>
      <w:r>
        <w:rPr>
          <w:rFonts w:ascii="Songti SC" w:hAnsi="Songti SC" w:eastAsia="Songti SC"/>
          <w:b w:val="0"/>
          <w:color w:val="334155"/>
          <w:sz w:val="21"/>
        </w:rPr>
        <w:t>预期结果：</w:t>
      </w:r>
    </w:p>
    <w:p w14:paraId="42CD3DF6">
      <w:pPr>
        <w:pStyle w:val="16"/>
      </w:pPr>
      <w:r>
        <w:rPr>
          <w:rFonts w:ascii="Songti SC" w:hAnsi="Songti SC" w:eastAsia="Songti SC"/>
          <w:b w:val="0"/>
          <w:color w:val="334155"/>
          <w:sz w:val="21"/>
        </w:rPr>
        <w:t>小程序能识别会员身份。</w:t>
      </w:r>
    </w:p>
    <w:p w14:paraId="272879E0">
      <w:pPr>
        <w:pStyle w:val="16"/>
      </w:pPr>
      <w:r>
        <w:rPr>
          <w:rFonts w:ascii="Songti SC" w:hAnsi="Songti SC" w:eastAsia="Songti SC"/>
          <w:b w:val="0"/>
          <w:color w:val="334155"/>
          <w:sz w:val="21"/>
        </w:rPr>
        <w:t>优惠、会员资产和补差金额展示正确。</w:t>
      </w:r>
    </w:p>
    <w:p w14:paraId="626037FA">
      <w:pPr>
        <w:pStyle w:val="16"/>
      </w:pPr>
      <w:r>
        <w:rPr>
          <w:rFonts w:ascii="Songti SC" w:hAnsi="Songti SC" w:eastAsia="Songti SC"/>
          <w:b w:val="0"/>
          <w:color w:val="334155"/>
          <w:sz w:val="21"/>
        </w:rPr>
        <w:t>支付成功后，终端进入设备引导或开局链路。</w:t>
      </w:r>
    </w:p>
    <w:p w14:paraId="4FF19138">
      <w:pPr>
        <w:spacing w:after="120"/>
      </w:pPr>
      <w:r>
        <w:rPr>
          <w:rFonts w:ascii="Songti SC" w:hAnsi="Songti SC" w:eastAsia="Songti SC"/>
          <w:b w:val="0"/>
          <w:color w:val="334155"/>
          <w:sz w:val="21"/>
        </w:rPr>
        <w:t>异常分支：</w:t>
      </w:r>
    </w:p>
    <w:p w14:paraId="3222EB56">
      <w:pPr>
        <w:pStyle w:val="16"/>
      </w:pPr>
      <w:r>
        <w:rPr>
          <w:rFonts w:ascii="Songti SC" w:hAnsi="Songti SC" w:eastAsia="Songti SC"/>
          <w:b w:val="0"/>
          <w:color w:val="334155"/>
          <w:sz w:val="21"/>
        </w:rPr>
        <w:t>余额或游戏币不足时，应正确显示补差。</w:t>
      </w:r>
    </w:p>
    <w:p w14:paraId="1EC8C6DB">
      <w:pPr>
        <w:pStyle w:val="16"/>
      </w:pPr>
      <w:r>
        <w:rPr>
          <w:rFonts w:ascii="Songti SC" w:hAnsi="Songti SC" w:eastAsia="Songti SC"/>
          <w:b w:val="0"/>
          <w:color w:val="334155"/>
          <w:sz w:val="21"/>
        </w:rPr>
        <w:t>支付失败时应停留在可重试状态。</w:t>
      </w:r>
    </w:p>
    <w:p w14:paraId="01535820">
      <w:pPr>
        <w:pStyle w:val="4"/>
      </w:pPr>
      <w:r>
        <w:rPr>
          <w:rFonts w:ascii="Songti SC" w:hAnsi="Songti SC" w:eastAsia="Songti SC"/>
          <w:b/>
          <w:color w:val="0F766E"/>
          <w:sz w:val="27"/>
        </w:rPr>
        <w:t>P05 会员码反扫 / 店员协助支付成功</w:t>
      </w:r>
    </w:p>
    <w:p w14:paraId="41383469">
      <w:pPr>
        <w:spacing w:after="120"/>
      </w:pPr>
      <w:r>
        <w:rPr>
          <w:rFonts w:ascii="Songti SC" w:hAnsi="Songti SC" w:eastAsia="Songti SC"/>
          <w:b w:val="0"/>
          <w:color w:val="334155"/>
          <w:sz w:val="21"/>
        </w:rPr>
        <w:t>测试目标：确认玩家出示会员码或由店员协助时，仍可完成正确的会员支付闭环。</w:t>
      </w:r>
    </w:p>
    <w:p w14:paraId="0E3BF735">
      <w:pPr>
        <w:spacing w:after="120"/>
      </w:pPr>
      <w:r>
        <w:rPr>
          <w:rFonts w:ascii="Songti SC" w:hAnsi="Songti SC" w:eastAsia="Songti SC"/>
          <w:b w:val="0"/>
          <w:color w:val="334155"/>
          <w:sz w:val="21"/>
        </w:rPr>
        <w:t>操作路径：小程序会员码 → 终端识别 → 支付确认</w:t>
      </w:r>
    </w:p>
    <w:p w14:paraId="465C5001">
      <w:pPr>
        <w:spacing w:after="120"/>
      </w:pPr>
      <w:r>
        <w:rPr>
          <w:rFonts w:ascii="Songti SC" w:hAnsi="Songti SC" w:eastAsia="Songti SC"/>
          <w:b w:val="0"/>
          <w:color w:val="334155"/>
          <w:sz w:val="21"/>
        </w:rPr>
        <w:t>操作步骤：</w:t>
      </w:r>
    </w:p>
    <w:p w14:paraId="60E19795">
      <w:pPr>
        <w:pStyle w:val="14"/>
      </w:pPr>
      <w:r>
        <w:rPr>
          <w:rFonts w:ascii="Songti SC" w:hAnsi="Songti SC" w:eastAsia="Songti SC"/>
          <w:b w:val="0"/>
          <w:color w:val="334155"/>
          <w:sz w:val="21"/>
        </w:rPr>
        <w:t>打开玩家小程序会员码。</w:t>
      </w:r>
    </w:p>
    <w:p w14:paraId="736E0F42">
      <w:pPr>
        <w:pStyle w:val="14"/>
      </w:pPr>
      <w:r>
        <w:rPr>
          <w:rFonts w:ascii="Songti SC" w:hAnsi="Songti SC" w:eastAsia="Songti SC"/>
          <w:b w:val="0"/>
          <w:color w:val="334155"/>
          <w:sz w:val="21"/>
        </w:rPr>
        <w:t>由终端或店员侧识别会员码。</w:t>
      </w:r>
    </w:p>
    <w:p w14:paraId="3E9555CB">
      <w:pPr>
        <w:pStyle w:val="14"/>
      </w:pPr>
      <w:r>
        <w:rPr>
          <w:rFonts w:ascii="Songti SC" w:hAnsi="Songti SC" w:eastAsia="Songti SC"/>
          <w:b w:val="0"/>
          <w:color w:val="334155"/>
          <w:sz w:val="21"/>
        </w:rPr>
        <w:t>确认支付明细。</w:t>
      </w:r>
    </w:p>
    <w:p w14:paraId="58B0CDAE">
      <w:pPr>
        <w:pStyle w:val="14"/>
      </w:pPr>
      <w:r>
        <w:rPr>
          <w:rFonts w:ascii="Songti SC" w:hAnsi="Songti SC" w:eastAsia="Songti SC"/>
          <w:b w:val="0"/>
          <w:color w:val="334155"/>
          <w:sz w:val="21"/>
        </w:rPr>
        <w:t>完成支付并观察终端状态。</w:t>
      </w:r>
    </w:p>
    <w:p w14:paraId="655AFE60">
      <w:pPr>
        <w:spacing w:after="120"/>
      </w:pPr>
      <w:r>
        <w:rPr>
          <w:rFonts w:ascii="Songti SC" w:hAnsi="Songti SC" w:eastAsia="Songti SC"/>
          <w:b w:val="0"/>
          <w:color w:val="334155"/>
          <w:sz w:val="21"/>
        </w:rPr>
        <w:t>预期结果：</w:t>
      </w:r>
    </w:p>
    <w:p w14:paraId="67181D98">
      <w:pPr>
        <w:pStyle w:val="16"/>
      </w:pPr>
      <w:r>
        <w:rPr>
          <w:rFonts w:ascii="Songti SC" w:hAnsi="Songti SC" w:eastAsia="Songti SC"/>
          <w:b w:val="0"/>
          <w:color w:val="334155"/>
          <w:sz w:val="21"/>
        </w:rPr>
        <w:t>会员身份识别成功。</w:t>
      </w:r>
    </w:p>
    <w:p w14:paraId="2A8C47FB">
      <w:pPr>
        <w:pStyle w:val="16"/>
      </w:pPr>
      <w:r>
        <w:rPr>
          <w:rFonts w:ascii="Songti SC" w:hAnsi="Songti SC" w:eastAsia="Songti SC"/>
          <w:b w:val="0"/>
          <w:color w:val="334155"/>
          <w:sz w:val="21"/>
        </w:rPr>
        <w:t>支付明细正确。</w:t>
      </w:r>
    </w:p>
    <w:p w14:paraId="62EEE705">
      <w:pPr>
        <w:pStyle w:val="16"/>
      </w:pPr>
      <w:r>
        <w:rPr>
          <w:rFonts w:ascii="Songti SC" w:hAnsi="Songti SC" w:eastAsia="Songti SC"/>
          <w:b w:val="0"/>
          <w:color w:val="334155"/>
          <w:sz w:val="21"/>
        </w:rPr>
        <w:t>支付成功后可继续进入开局链路。</w:t>
      </w:r>
    </w:p>
    <w:p w14:paraId="2EF8C210">
      <w:pPr>
        <w:pStyle w:val="4"/>
      </w:pPr>
      <w:r>
        <w:rPr>
          <w:rFonts w:ascii="Songti SC" w:hAnsi="Songti SC" w:eastAsia="Songti SC"/>
          <w:b/>
          <w:color w:val="0F766E"/>
          <w:sz w:val="27"/>
        </w:rPr>
        <w:t>P06 支付成功后进入设备引导或开局状态</w:t>
      </w:r>
    </w:p>
    <w:p w14:paraId="1A4A71FE">
      <w:pPr>
        <w:spacing w:after="120"/>
      </w:pPr>
      <w:r>
        <w:rPr>
          <w:rFonts w:ascii="Songti SC" w:hAnsi="Songti SC" w:eastAsia="Songti SC"/>
          <w:b w:val="0"/>
          <w:color w:val="334155"/>
          <w:sz w:val="21"/>
        </w:rPr>
        <w:t>测试目标：确认玩家支付成功后不会断链，而是能继续进入佩戴设备和开局环节。</w:t>
      </w:r>
    </w:p>
    <w:p w14:paraId="5C0D01FE">
      <w:pPr>
        <w:spacing w:after="120"/>
      </w:pPr>
      <w:r>
        <w:rPr>
          <w:rFonts w:ascii="Songti SC" w:hAnsi="Songti SC" w:eastAsia="Songti SC"/>
          <w:b w:val="0"/>
          <w:color w:val="334155"/>
          <w:sz w:val="21"/>
        </w:rPr>
        <w:t>操作路径：支付成功页 → 设备引导 / 开局准备</w:t>
      </w:r>
    </w:p>
    <w:p w14:paraId="3CF13FE8">
      <w:pPr>
        <w:spacing w:after="120"/>
      </w:pPr>
      <w:r>
        <w:rPr>
          <w:rFonts w:ascii="Songti SC" w:hAnsi="Songti SC" w:eastAsia="Songti SC"/>
          <w:b w:val="0"/>
          <w:color w:val="334155"/>
          <w:sz w:val="21"/>
        </w:rPr>
        <w:t>操作步骤：</w:t>
      </w:r>
    </w:p>
    <w:p w14:paraId="37277B69">
      <w:pPr>
        <w:pStyle w:val="14"/>
      </w:pPr>
      <w:r>
        <w:rPr>
          <w:rFonts w:ascii="Songti SC" w:hAnsi="Songti SC" w:eastAsia="Songti SC"/>
          <w:b w:val="0"/>
          <w:color w:val="334155"/>
          <w:sz w:val="21"/>
        </w:rPr>
        <w:t>完成任意一种支付成功场景。</w:t>
      </w:r>
    </w:p>
    <w:p w14:paraId="7D544A16">
      <w:pPr>
        <w:pStyle w:val="14"/>
      </w:pPr>
      <w:r>
        <w:rPr>
          <w:rFonts w:ascii="Songti SC" w:hAnsi="Songti SC" w:eastAsia="Songti SC"/>
          <w:b w:val="0"/>
          <w:color w:val="334155"/>
          <w:sz w:val="21"/>
        </w:rPr>
        <w:t>观察终端是否展示设备编号、佩戴提示或开局倒计时。</w:t>
      </w:r>
    </w:p>
    <w:p w14:paraId="08B6AD42">
      <w:pPr>
        <w:pStyle w:val="14"/>
      </w:pPr>
      <w:r>
        <w:rPr>
          <w:rFonts w:ascii="Songti SC" w:hAnsi="Songti SC" w:eastAsia="Songti SC"/>
          <w:b w:val="0"/>
          <w:color w:val="334155"/>
          <w:sz w:val="21"/>
        </w:rPr>
        <w:t>核对设备编号是否与门店现场安排一致。</w:t>
      </w:r>
    </w:p>
    <w:p w14:paraId="0CA17661">
      <w:pPr>
        <w:spacing w:after="120"/>
      </w:pPr>
      <w:r>
        <w:rPr>
          <w:rFonts w:ascii="Songti SC" w:hAnsi="Songti SC" w:eastAsia="Songti SC"/>
          <w:b w:val="0"/>
          <w:color w:val="334155"/>
          <w:sz w:val="21"/>
        </w:rPr>
        <w:t>预期结果：</w:t>
      </w:r>
    </w:p>
    <w:p w14:paraId="75B7CEFC">
      <w:pPr>
        <w:pStyle w:val="16"/>
      </w:pPr>
      <w:r>
        <w:rPr>
          <w:rFonts w:ascii="Songti SC" w:hAnsi="Songti SC" w:eastAsia="Songti SC"/>
          <w:b w:val="0"/>
          <w:color w:val="334155"/>
          <w:sz w:val="21"/>
        </w:rPr>
        <w:t>支付成功后有明确后续动作。</w:t>
      </w:r>
    </w:p>
    <w:p w14:paraId="295E6546">
      <w:pPr>
        <w:pStyle w:val="16"/>
      </w:pPr>
      <w:r>
        <w:rPr>
          <w:rFonts w:ascii="Songti SC" w:hAnsi="Songti SC" w:eastAsia="Songti SC"/>
          <w:b w:val="0"/>
          <w:color w:val="334155"/>
          <w:sz w:val="21"/>
        </w:rPr>
        <w:t>玩家能知道自己该佩戴哪台设备。</w:t>
      </w:r>
    </w:p>
    <w:p w14:paraId="5016575A">
      <w:pPr>
        <w:pStyle w:val="16"/>
      </w:pPr>
      <w:r>
        <w:rPr>
          <w:rFonts w:ascii="Songti SC" w:hAnsi="Songti SC" w:eastAsia="Songti SC"/>
          <w:b w:val="0"/>
          <w:color w:val="334155"/>
          <w:sz w:val="21"/>
        </w:rPr>
        <w:t>不会出现支付成功但终端无响应的状态。</w:t>
      </w:r>
    </w:p>
    <w:p w14:paraId="0182AA08">
      <w:pPr>
        <w:spacing w:after="120"/>
      </w:pPr>
      <w:r>
        <w:rPr>
          <w:rFonts w:ascii="Songti SC" w:hAnsi="Songti SC" w:eastAsia="Songti SC"/>
          <w:b w:val="0"/>
          <w:color w:val="334155"/>
          <w:sz w:val="21"/>
        </w:rPr>
        <w:t>异常分支：</w:t>
      </w:r>
    </w:p>
    <w:p w14:paraId="43C8438D">
      <w:pPr>
        <w:pStyle w:val="16"/>
      </w:pPr>
      <w:r>
        <w:rPr>
          <w:rFonts w:ascii="Songti SC" w:hAnsi="Songti SC" w:eastAsia="Songti SC"/>
          <w:b w:val="0"/>
          <w:color w:val="334155"/>
          <w:sz w:val="21"/>
        </w:rPr>
        <w:t>支付成功但未开局时，应记录订单号并回查门店点播系统订单。</w:t>
      </w:r>
    </w:p>
    <w:p w14:paraId="678D2D38">
      <w:pPr>
        <w:pStyle w:val="4"/>
      </w:pPr>
      <w:r>
        <w:rPr>
          <w:rFonts w:ascii="Songti SC" w:hAnsi="Songti SC" w:eastAsia="Songti SC"/>
          <w:b/>
          <w:color w:val="0F766E"/>
          <w:sz w:val="27"/>
        </w:rPr>
        <w:t>P07 佩戴设备后成功开始体验</w:t>
      </w:r>
    </w:p>
    <w:p w14:paraId="66EED206">
      <w:pPr>
        <w:spacing w:after="120"/>
      </w:pPr>
      <w:r>
        <w:rPr>
          <w:rFonts w:ascii="Songti SC" w:hAnsi="Songti SC" w:eastAsia="Songti SC"/>
          <w:b w:val="0"/>
          <w:color w:val="334155"/>
          <w:sz w:val="21"/>
        </w:rPr>
        <w:t>测试目标：确认玩家戴上头显后，可以进入实际体验状态。</w:t>
      </w:r>
    </w:p>
    <w:p w14:paraId="38C88FF3">
      <w:pPr>
        <w:spacing w:after="120"/>
      </w:pPr>
      <w:r>
        <w:rPr>
          <w:rFonts w:ascii="Songti SC" w:hAnsi="Songti SC" w:eastAsia="Songti SC"/>
          <w:b w:val="0"/>
          <w:color w:val="334155"/>
          <w:sz w:val="21"/>
        </w:rPr>
        <w:t>操作路径：设备引导 → 佩戴头显 → 开始游玩</w:t>
      </w:r>
    </w:p>
    <w:p w14:paraId="080F178C">
      <w:pPr>
        <w:spacing w:after="120"/>
      </w:pPr>
      <w:r>
        <w:rPr>
          <w:rFonts w:ascii="Songti SC" w:hAnsi="Songti SC" w:eastAsia="Songti SC"/>
          <w:b w:val="0"/>
          <w:color w:val="334155"/>
          <w:sz w:val="21"/>
        </w:rPr>
        <w:t>操作步骤：</w:t>
      </w:r>
    </w:p>
    <w:p w14:paraId="1D4DCE4A">
      <w:pPr>
        <w:pStyle w:val="14"/>
      </w:pPr>
      <w:r>
        <w:rPr>
          <w:rFonts w:ascii="Songti SC" w:hAnsi="Songti SC" w:eastAsia="Songti SC"/>
          <w:b w:val="0"/>
          <w:color w:val="334155"/>
          <w:sz w:val="21"/>
        </w:rPr>
        <w:t>根据终端提示佩戴头显。</w:t>
      </w:r>
    </w:p>
    <w:p w14:paraId="70524823">
      <w:pPr>
        <w:pStyle w:val="14"/>
      </w:pPr>
      <w:r>
        <w:rPr>
          <w:rFonts w:ascii="Songti SC" w:hAnsi="Songti SC" w:eastAsia="Songti SC"/>
          <w:b w:val="0"/>
          <w:color w:val="334155"/>
          <w:sz w:val="21"/>
        </w:rPr>
        <w:t>如门店需要店员辅助，完成辅助后等待系统启动。</w:t>
      </w:r>
    </w:p>
    <w:p w14:paraId="68F55586">
      <w:pPr>
        <w:pStyle w:val="14"/>
      </w:pPr>
      <w:r>
        <w:rPr>
          <w:rFonts w:ascii="Songti SC" w:hAnsi="Songti SC" w:eastAsia="Songti SC"/>
          <w:b w:val="0"/>
          <w:color w:val="334155"/>
          <w:sz w:val="21"/>
        </w:rPr>
        <w:t>观察头显或终端是否进入游戏中状态。</w:t>
      </w:r>
    </w:p>
    <w:p w14:paraId="66EE195B">
      <w:pPr>
        <w:spacing w:after="120"/>
      </w:pPr>
      <w:r>
        <w:rPr>
          <w:rFonts w:ascii="Songti SC" w:hAnsi="Songti SC" w:eastAsia="Songti SC"/>
          <w:b w:val="0"/>
          <w:color w:val="334155"/>
          <w:sz w:val="21"/>
        </w:rPr>
        <w:t>预期结果：</w:t>
      </w:r>
    </w:p>
    <w:p w14:paraId="302A268C">
      <w:pPr>
        <w:pStyle w:val="16"/>
      </w:pPr>
      <w:r>
        <w:rPr>
          <w:rFonts w:ascii="Songti SC" w:hAnsi="Songti SC" w:eastAsia="Songti SC"/>
          <w:b w:val="0"/>
          <w:color w:val="334155"/>
          <w:sz w:val="21"/>
        </w:rPr>
        <w:t>玩家能进入实际游戏体验。</w:t>
      </w:r>
    </w:p>
    <w:p w14:paraId="3EF15C51">
      <w:pPr>
        <w:pStyle w:val="16"/>
      </w:pPr>
      <w:r>
        <w:rPr>
          <w:rFonts w:ascii="Songti SC" w:hAnsi="Songti SC" w:eastAsia="Songti SC"/>
          <w:b w:val="0"/>
          <w:color w:val="334155"/>
          <w:sz w:val="21"/>
        </w:rPr>
        <w:t>头显不会停留在未启动或错误状态。</w:t>
      </w:r>
    </w:p>
    <w:p w14:paraId="1D403778">
      <w:pPr>
        <w:pStyle w:val="16"/>
      </w:pPr>
      <w:r>
        <w:rPr>
          <w:rFonts w:ascii="Songti SC" w:hAnsi="Songti SC" w:eastAsia="Songti SC"/>
          <w:b w:val="0"/>
          <w:color w:val="334155"/>
          <w:sz w:val="21"/>
        </w:rPr>
        <w:t>终端或后台可识别当前已开局。</w:t>
      </w:r>
    </w:p>
    <w:p w14:paraId="567240B7">
      <w:pPr>
        <w:pStyle w:val="4"/>
      </w:pPr>
      <w:r>
        <w:rPr>
          <w:rFonts w:ascii="Songti SC" w:hAnsi="Songti SC" w:eastAsia="Songti SC"/>
          <w:b/>
          <w:color w:val="0F766E"/>
          <w:sz w:val="27"/>
        </w:rPr>
        <w:t>P08 体验结束后正确返回首页或结束状态</w:t>
      </w:r>
    </w:p>
    <w:p w14:paraId="3CEC5267">
      <w:pPr>
        <w:spacing w:after="120"/>
      </w:pPr>
      <w:r>
        <w:rPr>
          <w:rFonts w:ascii="Songti SC" w:hAnsi="Songti SC" w:eastAsia="Songti SC"/>
          <w:b w:val="0"/>
          <w:color w:val="334155"/>
          <w:sz w:val="21"/>
        </w:rPr>
        <w:t>测试目标：确认游戏到时或结束后，玩家链路能正常收口。</w:t>
      </w:r>
    </w:p>
    <w:p w14:paraId="5817D6B0">
      <w:pPr>
        <w:spacing w:after="120"/>
      </w:pPr>
      <w:r>
        <w:rPr>
          <w:rFonts w:ascii="Songti SC" w:hAnsi="Songti SC" w:eastAsia="Songti SC"/>
          <w:b w:val="0"/>
          <w:color w:val="334155"/>
          <w:sz w:val="21"/>
        </w:rPr>
        <w:t>操作路径：游戏中 → 结束 → 首页 / 待机页</w:t>
      </w:r>
    </w:p>
    <w:p w14:paraId="4CC29785">
      <w:pPr>
        <w:spacing w:after="120"/>
      </w:pPr>
      <w:r>
        <w:rPr>
          <w:rFonts w:ascii="Songti SC" w:hAnsi="Songti SC" w:eastAsia="Songti SC"/>
          <w:b w:val="0"/>
          <w:color w:val="334155"/>
          <w:sz w:val="21"/>
        </w:rPr>
        <w:t>操作步骤：</w:t>
      </w:r>
    </w:p>
    <w:p w14:paraId="1E650645">
      <w:pPr>
        <w:pStyle w:val="14"/>
      </w:pPr>
      <w:r>
        <w:rPr>
          <w:rFonts w:ascii="Songti SC" w:hAnsi="Songti SC" w:eastAsia="Songti SC"/>
          <w:b w:val="0"/>
          <w:color w:val="334155"/>
          <w:sz w:val="21"/>
        </w:rPr>
        <w:t>完成一次完整体验或模拟到时结束。</w:t>
      </w:r>
    </w:p>
    <w:p w14:paraId="6BDA3528">
      <w:pPr>
        <w:pStyle w:val="14"/>
      </w:pPr>
      <w:r>
        <w:rPr>
          <w:rFonts w:ascii="Songti SC" w:hAnsi="Songti SC" w:eastAsia="Songti SC"/>
          <w:b w:val="0"/>
          <w:color w:val="334155"/>
          <w:sz w:val="21"/>
        </w:rPr>
        <w:t>观察头显结束状态。</w:t>
      </w:r>
    </w:p>
    <w:p w14:paraId="3936BE55">
      <w:pPr>
        <w:pStyle w:val="14"/>
      </w:pPr>
      <w:r>
        <w:rPr>
          <w:rFonts w:ascii="Songti SC" w:hAnsi="Songti SC" w:eastAsia="Songti SC"/>
          <w:b w:val="0"/>
          <w:color w:val="334155"/>
          <w:sz w:val="21"/>
        </w:rPr>
        <w:t>观察终端是否返回首页、待机页或结束确认状态。</w:t>
      </w:r>
    </w:p>
    <w:p w14:paraId="785818F5">
      <w:pPr>
        <w:spacing w:after="120"/>
      </w:pPr>
      <w:r>
        <w:rPr>
          <w:rFonts w:ascii="Songti SC" w:hAnsi="Songti SC" w:eastAsia="Songti SC"/>
          <w:b w:val="0"/>
          <w:color w:val="334155"/>
          <w:sz w:val="21"/>
        </w:rPr>
        <w:t>预期结果：</w:t>
      </w:r>
    </w:p>
    <w:p w14:paraId="523922B1">
      <w:pPr>
        <w:pStyle w:val="16"/>
      </w:pPr>
      <w:r>
        <w:rPr>
          <w:rFonts w:ascii="Songti SC" w:hAnsi="Songti SC" w:eastAsia="Songti SC"/>
          <w:b w:val="0"/>
          <w:color w:val="334155"/>
          <w:sz w:val="21"/>
        </w:rPr>
        <w:t>体验结束后有明确结束反馈。</w:t>
      </w:r>
    </w:p>
    <w:p w14:paraId="576D8D44">
      <w:pPr>
        <w:pStyle w:val="16"/>
      </w:pPr>
      <w:r>
        <w:rPr>
          <w:rFonts w:ascii="Songti SC" w:hAnsi="Songti SC" w:eastAsia="Songti SC"/>
          <w:b w:val="0"/>
          <w:color w:val="334155"/>
          <w:sz w:val="21"/>
        </w:rPr>
        <w:t>终端回到可继续下一单的状态。</w:t>
      </w:r>
    </w:p>
    <w:p w14:paraId="652E1327">
      <w:pPr>
        <w:pStyle w:val="16"/>
      </w:pPr>
      <w:r>
        <w:rPr>
          <w:rFonts w:ascii="Songti SC" w:hAnsi="Songti SC" w:eastAsia="Songti SC"/>
          <w:b w:val="0"/>
          <w:color w:val="334155"/>
          <w:sz w:val="21"/>
        </w:rPr>
        <w:t>设备恢复为空闲或可继续服务状态。</w:t>
      </w:r>
    </w:p>
    <w:p w14:paraId="33700D71">
      <w:pPr>
        <w:pStyle w:val="4"/>
      </w:pPr>
      <w:r>
        <w:rPr>
          <w:rFonts w:ascii="Songti SC" w:hAnsi="Songti SC" w:eastAsia="Songti SC"/>
          <w:b/>
          <w:color w:val="0F766E"/>
          <w:sz w:val="27"/>
        </w:rPr>
        <w:t>P09 新玩家可注册会员并进入会员链路</w:t>
      </w:r>
    </w:p>
    <w:p w14:paraId="78A9F83E">
      <w:pPr>
        <w:spacing w:after="120"/>
      </w:pPr>
      <w:r>
        <w:rPr>
          <w:rFonts w:ascii="Songti SC" w:hAnsi="Songti SC" w:eastAsia="Songti SC"/>
          <w:b w:val="0"/>
          <w:color w:val="334155"/>
          <w:sz w:val="21"/>
        </w:rPr>
        <w:t>测试目标：确认未注册玩家到店后，可以通过门店注册码或小程序完成注册，并在后续使用会员支付。</w:t>
      </w:r>
    </w:p>
    <w:p w14:paraId="2BF8C0AF">
      <w:pPr>
        <w:spacing w:after="120"/>
      </w:pPr>
      <w:r>
        <w:rPr>
          <w:rFonts w:ascii="Songti SC" w:hAnsi="Songti SC" w:eastAsia="Songti SC"/>
          <w:b w:val="0"/>
          <w:color w:val="334155"/>
          <w:sz w:val="21"/>
        </w:rPr>
        <w:t>操作路径：门店注册码 / 小程序 → 注册会员 → 回到终端支付</w:t>
      </w:r>
    </w:p>
    <w:p w14:paraId="7C98B2AB">
      <w:pPr>
        <w:spacing w:after="120"/>
      </w:pPr>
      <w:r>
        <w:rPr>
          <w:rFonts w:ascii="Songti SC" w:hAnsi="Songti SC" w:eastAsia="Songti SC"/>
          <w:b w:val="0"/>
          <w:color w:val="334155"/>
          <w:sz w:val="21"/>
        </w:rPr>
        <w:t>操作步骤：</w:t>
      </w:r>
    </w:p>
    <w:p w14:paraId="6A1E2E03">
      <w:pPr>
        <w:pStyle w:val="14"/>
      </w:pPr>
      <w:r>
        <w:rPr>
          <w:rFonts w:ascii="Songti SC" w:hAnsi="Songti SC" w:eastAsia="Songti SC"/>
          <w:b w:val="0"/>
          <w:color w:val="334155"/>
          <w:sz w:val="21"/>
        </w:rPr>
        <w:t>扫描门店注册码或打开小程序注册入口。</w:t>
      </w:r>
    </w:p>
    <w:p w14:paraId="777054C3">
      <w:pPr>
        <w:pStyle w:val="14"/>
      </w:pPr>
      <w:r>
        <w:rPr>
          <w:rFonts w:ascii="Songti SC" w:hAnsi="Songti SC" w:eastAsia="Songti SC"/>
          <w:b w:val="0"/>
          <w:color w:val="334155"/>
          <w:sz w:val="21"/>
        </w:rPr>
        <w:t>填写手机号并完成注册。</w:t>
      </w:r>
    </w:p>
    <w:p w14:paraId="3617D08B">
      <w:pPr>
        <w:pStyle w:val="14"/>
      </w:pPr>
      <w:r>
        <w:rPr>
          <w:rFonts w:ascii="Songti SC" w:hAnsi="Songti SC" w:eastAsia="Songti SC"/>
          <w:b w:val="0"/>
          <w:color w:val="334155"/>
          <w:sz w:val="21"/>
        </w:rPr>
        <w:t>回到终端重新选择游戏。</w:t>
      </w:r>
    </w:p>
    <w:p w14:paraId="732CCC55">
      <w:pPr>
        <w:pStyle w:val="14"/>
      </w:pPr>
      <w:r>
        <w:rPr>
          <w:rFonts w:ascii="Songti SC" w:hAnsi="Songti SC" w:eastAsia="Songti SC"/>
          <w:b w:val="0"/>
          <w:color w:val="334155"/>
          <w:sz w:val="21"/>
        </w:rPr>
        <w:t>验证会员身份可被识别。</w:t>
      </w:r>
    </w:p>
    <w:p w14:paraId="104E1434">
      <w:pPr>
        <w:spacing w:after="120"/>
      </w:pPr>
      <w:r>
        <w:rPr>
          <w:rFonts w:ascii="Songti SC" w:hAnsi="Songti SC" w:eastAsia="Songti SC"/>
          <w:b w:val="0"/>
          <w:color w:val="334155"/>
          <w:sz w:val="21"/>
        </w:rPr>
        <w:t>预期结果：</w:t>
      </w:r>
    </w:p>
    <w:p w14:paraId="2726907A">
      <w:pPr>
        <w:pStyle w:val="16"/>
      </w:pPr>
      <w:r>
        <w:rPr>
          <w:rFonts w:ascii="Songti SC" w:hAnsi="Songti SC" w:eastAsia="Songti SC"/>
          <w:b w:val="0"/>
          <w:color w:val="334155"/>
          <w:sz w:val="21"/>
        </w:rPr>
        <w:t>注册成功。</w:t>
      </w:r>
    </w:p>
    <w:p w14:paraId="2F0FBEA9">
      <w:pPr>
        <w:pStyle w:val="16"/>
      </w:pPr>
      <w:r>
        <w:rPr>
          <w:rFonts w:ascii="Songti SC" w:hAnsi="Songti SC" w:eastAsia="Songti SC"/>
          <w:b w:val="0"/>
          <w:color w:val="334155"/>
          <w:sz w:val="21"/>
        </w:rPr>
        <w:t>后续可按会员身份支付。</w:t>
      </w:r>
    </w:p>
    <w:p w14:paraId="182E6082">
      <w:pPr>
        <w:pStyle w:val="16"/>
      </w:pPr>
      <w:r>
        <w:rPr>
          <w:rFonts w:ascii="Songti SC" w:hAnsi="Songti SC" w:eastAsia="Songti SC"/>
          <w:b w:val="0"/>
          <w:color w:val="334155"/>
          <w:sz w:val="21"/>
        </w:rPr>
        <w:t>新会员礼包或基础权益展示与配置一致。</w:t>
      </w:r>
    </w:p>
    <w:p w14:paraId="2FC3C643">
      <w:pPr>
        <w:pStyle w:val="4"/>
      </w:pPr>
      <w:r>
        <w:rPr>
          <w:rFonts w:ascii="Songti SC" w:hAnsi="Songti SC" w:eastAsia="Songti SC"/>
          <w:b/>
          <w:color w:val="0F766E"/>
          <w:sz w:val="27"/>
        </w:rPr>
        <w:t>P10 玩家异常场景可被正确识别和记录</w:t>
      </w:r>
    </w:p>
    <w:p w14:paraId="44ECB90F">
      <w:pPr>
        <w:spacing w:after="120"/>
      </w:pPr>
      <w:r>
        <w:rPr>
          <w:rFonts w:ascii="Songti SC" w:hAnsi="Songti SC" w:eastAsia="Songti SC"/>
          <w:b w:val="0"/>
          <w:color w:val="334155"/>
          <w:sz w:val="21"/>
        </w:rPr>
        <w:t>测试目标：确认测试人员知道哪些玩家异常需要记录并回查。</w:t>
      </w:r>
    </w:p>
    <w:p w14:paraId="763AFB4C">
      <w:pPr>
        <w:spacing w:after="120"/>
      </w:pPr>
      <w:r>
        <w:rPr>
          <w:rFonts w:ascii="Songti SC" w:hAnsi="Songti SC" w:eastAsia="Songti SC"/>
          <w:b w:val="0"/>
          <w:color w:val="334155"/>
          <w:sz w:val="21"/>
        </w:rPr>
        <w:t>操作步骤：</w:t>
      </w:r>
    </w:p>
    <w:p w14:paraId="7F094B6E">
      <w:pPr>
        <w:pStyle w:val="14"/>
      </w:pPr>
      <w:r>
        <w:rPr>
          <w:rFonts w:ascii="Songti SC" w:hAnsi="Songti SC" w:eastAsia="Songti SC"/>
          <w:b w:val="0"/>
          <w:color w:val="334155"/>
          <w:sz w:val="21"/>
        </w:rPr>
        <w:t>模拟支付失败。</w:t>
      </w:r>
    </w:p>
    <w:p w14:paraId="16FA8BD0">
      <w:pPr>
        <w:pStyle w:val="14"/>
      </w:pPr>
      <w:r>
        <w:rPr>
          <w:rFonts w:ascii="Songti SC" w:hAnsi="Songti SC" w:eastAsia="Songti SC"/>
          <w:b w:val="0"/>
          <w:color w:val="334155"/>
          <w:sz w:val="21"/>
        </w:rPr>
        <w:t>模拟支付成功但未开局。</w:t>
      </w:r>
    </w:p>
    <w:p w14:paraId="3ABA577A">
      <w:pPr>
        <w:pStyle w:val="14"/>
      </w:pPr>
      <w:r>
        <w:rPr>
          <w:rFonts w:ascii="Songti SC" w:hAnsi="Songti SC" w:eastAsia="Songti SC"/>
          <w:b w:val="0"/>
          <w:color w:val="334155"/>
          <w:sz w:val="21"/>
        </w:rPr>
        <w:t>模拟设备编号错误或引导错误。</w:t>
      </w:r>
    </w:p>
    <w:p w14:paraId="5B156950">
      <w:pPr>
        <w:pStyle w:val="14"/>
      </w:pPr>
      <w:r>
        <w:rPr>
          <w:rFonts w:ascii="Songti SC" w:hAnsi="Songti SC" w:eastAsia="Songti SC"/>
          <w:b w:val="0"/>
          <w:color w:val="334155"/>
          <w:sz w:val="21"/>
        </w:rPr>
        <w:t>模拟中途退出或结束异常。</w:t>
      </w:r>
    </w:p>
    <w:p w14:paraId="1233AEBD">
      <w:pPr>
        <w:spacing w:after="120"/>
      </w:pPr>
      <w:r>
        <w:rPr>
          <w:rFonts w:ascii="Songti SC" w:hAnsi="Songti SC" w:eastAsia="Songti SC"/>
          <w:b w:val="0"/>
          <w:color w:val="334155"/>
          <w:sz w:val="21"/>
        </w:rPr>
        <w:t>预期结果：</w:t>
      </w:r>
    </w:p>
    <w:p w14:paraId="7FC98731">
      <w:pPr>
        <w:pStyle w:val="16"/>
      </w:pPr>
      <w:r>
        <w:rPr>
          <w:rFonts w:ascii="Songti SC" w:hAnsi="Songti SC" w:eastAsia="Songti SC"/>
          <w:b w:val="0"/>
          <w:color w:val="334155"/>
          <w:sz w:val="21"/>
        </w:rPr>
        <w:t>每种异常都有可记录的现象和订单信息。</w:t>
      </w:r>
    </w:p>
    <w:p w14:paraId="3D9FB774">
      <w:pPr>
        <w:pStyle w:val="16"/>
      </w:pPr>
      <w:r>
        <w:rPr>
          <w:rFonts w:ascii="Songti SC" w:hAnsi="Songti SC" w:eastAsia="Songti SC"/>
          <w:b w:val="0"/>
          <w:color w:val="334155"/>
          <w:sz w:val="21"/>
        </w:rPr>
        <w:t>测试人员知道应回查支付结果、门店点播订单、设备绑定关系。</w:t>
      </w:r>
    </w:p>
    <w:p w14:paraId="3A632631">
      <w:pPr>
        <w:spacing w:after="120"/>
      </w:pPr>
      <w:r>
        <w:rPr>
          <w:rFonts w:ascii="Songti SC" w:hAnsi="Songti SC" w:eastAsia="Songti SC"/>
          <w:b w:val="0"/>
          <w:color w:val="334155"/>
          <w:sz w:val="21"/>
        </w:rPr>
        <w:t>异常分支：</w:t>
      </w:r>
    </w:p>
    <w:p w14:paraId="08D8C5BB">
      <w:pPr>
        <w:pStyle w:val="16"/>
      </w:pPr>
      <w:r>
        <w:rPr>
          <w:rFonts w:ascii="Songti SC" w:hAnsi="Songti SC" w:eastAsia="Songti SC"/>
          <w:b w:val="0"/>
          <w:color w:val="334155"/>
          <w:sz w:val="21"/>
        </w:rPr>
        <w:t>支付失败重点看失败页和终端状态。</w:t>
      </w:r>
    </w:p>
    <w:p w14:paraId="6AED7217">
      <w:pPr>
        <w:pStyle w:val="16"/>
      </w:pPr>
      <w:r>
        <w:rPr>
          <w:rFonts w:ascii="Songti SC" w:hAnsi="Songti SC" w:eastAsia="Songti SC"/>
          <w:b w:val="0"/>
          <w:color w:val="334155"/>
          <w:sz w:val="21"/>
        </w:rPr>
        <w:t>支付成功未开局重点记录订单号、设备号、发生时间。</w:t>
      </w:r>
    </w:p>
    <w:p w14:paraId="6A34B624">
      <w:pPr>
        <w:pStyle w:val="16"/>
      </w:pPr>
      <w:r>
        <w:rPr>
          <w:rFonts w:ascii="Songti SC" w:hAnsi="Songti SC" w:eastAsia="Songti SC"/>
          <w:b w:val="0"/>
          <w:color w:val="334155"/>
          <w:sz w:val="21"/>
        </w:rPr>
        <w:t>设备编号错误重点回查主机与头显绑定关系。</w:t>
      </w:r>
    </w:p>
    <w:p w14:paraId="4C8CA617">
      <w:pPr>
        <w:pStyle w:val="3"/>
      </w:pPr>
      <w:r>
        <w:rPr>
          <w:rFonts w:ascii="Songti SC" w:hAnsi="Songti SC" w:eastAsia="Songti SC"/>
          <w:b/>
          <w:color w:val="1E3A8A"/>
          <w:sz w:val="32"/>
        </w:rPr>
        <w:t>五、通过标准</w:t>
      </w:r>
    </w:p>
    <w:p w14:paraId="59D6A4F1">
      <w:pPr>
        <w:pStyle w:val="16"/>
      </w:pPr>
      <w:r>
        <w:rPr>
          <w:rFonts w:ascii="Songti SC" w:hAnsi="Songti SC" w:eastAsia="Songti SC"/>
          <w:b w:val="0"/>
          <w:color w:val="334155"/>
          <w:sz w:val="21"/>
        </w:rPr>
        <w:t>至少完成 1 次散客支付闭环测试。</w:t>
      </w:r>
    </w:p>
    <w:p w14:paraId="185C08B4">
      <w:pPr>
        <w:pStyle w:val="16"/>
      </w:pPr>
      <w:r>
        <w:rPr>
          <w:rFonts w:ascii="Songti SC" w:hAnsi="Songti SC" w:eastAsia="Songti SC"/>
          <w:b w:val="0"/>
          <w:color w:val="334155"/>
          <w:sz w:val="21"/>
        </w:rPr>
        <w:t>至少完成 1 次会员支付闭环测试。</w:t>
      </w:r>
    </w:p>
    <w:p w14:paraId="7548B9B8">
      <w:pPr>
        <w:pStyle w:val="16"/>
      </w:pPr>
      <w:r>
        <w:rPr>
          <w:rFonts w:ascii="Songti SC" w:hAnsi="Songti SC" w:eastAsia="Songti SC"/>
          <w:b w:val="0"/>
          <w:color w:val="334155"/>
          <w:sz w:val="21"/>
        </w:rPr>
        <w:t>至少完成 1 次支付成功后的设备引导 / 开局测试。</w:t>
      </w:r>
    </w:p>
    <w:p w14:paraId="28BE537D">
      <w:pPr>
        <w:pStyle w:val="16"/>
      </w:pPr>
      <w:r>
        <w:rPr>
          <w:rFonts w:ascii="Songti SC" w:hAnsi="Songti SC" w:eastAsia="Songti SC"/>
          <w:b w:val="0"/>
          <w:color w:val="334155"/>
          <w:sz w:val="21"/>
        </w:rPr>
        <w:t>至少完成 1 次体验结束回流测试。</w:t>
      </w:r>
    </w:p>
    <w:p w14:paraId="6A47E178">
      <w:pPr>
        <w:pStyle w:val="16"/>
      </w:pPr>
      <w:r>
        <w:rPr>
          <w:rFonts w:ascii="Songti SC" w:hAnsi="Songti SC" w:eastAsia="Songti SC"/>
          <w:b w:val="0"/>
          <w:color w:val="334155"/>
          <w:sz w:val="21"/>
        </w:rPr>
        <w:t>至少完成 1 次新玩家注册会员测试。</w:t>
      </w:r>
    </w:p>
    <w:p w14:paraId="1C85EB18">
      <w:pPr>
        <w:pStyle w:val="16"/>
      </w:pPr>
      <w:r>
        <w:rPr>
          <w:rFonts w:ascii="Songti SC" w:hAnsi="Songti SC" w:eastAsia="Songti SC"/>
          <w:b w:val="0"/>
          <w:color w:val="334155"/>
          <w:sz w:val="21"/>
        </w:rPr>
        <w:t>至少记录 1 组异常场景样例。</w:t>
      </w:r>
    </w:p>
    <w:p w14:paraId="1D6D3F4E">
      <w:pPr>
        <w:pStyle w:val="3"/>
      </w:pPr>
      <w:r>
        <w:rPr>
          <w:rFonts w:ascii="Songti SC" w:hAnsi="Songti SC" w:eastAsia="Songti SC"/>
          <w:b/>
          <w:color w:val="1E3A8A"/>
          <w:sz w:val="32"/>
        </w:rPr>
        <w:t>六、截图清单建议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2"/>
        <w:gridCol w:w="4762"/>
      </w:tblGrid>
      <w:tr w14:paraId="694ABE2A">
        <w:trPr>
          <w:jc w:val="center"/>
        </w:trPr>
        <w:tc>
          <w:tcPr>
            <w:tcW w:w="4762" w:type="dxa"/>
            <w:shd w:val="clear" w:color="auto" w:fill="FEF3C7"/>
            <w:vAlign w:val="center"/>
          </w:tcPr>
          <w:p w14:paraId="13E92EA8">
            <w:pPr>
              <w:spacing w:before="0" w:after="60" w:line="240" w:lineRule="auto"/>
            </w:pPr>
            <w:r>
              <w:rPr>
                <w:rFonts w:ascii="Songti SC" w:hAnsi="Songti SC" w:eastAsia="Songti SC"/>
                <w:b/>
                <w:color w:val="1F2937"/>
                <w:sz w:val="20"/>
              </w:rPr>
              <w:t>截图名称</w:t>
            </w:r>
          </w:p>
        </w:tc>
        <w:tc>
          <w:tcPr>
            <w:tcW w:w="4762" w:type="dxa"/>
            <w:shd w:val="clear" w:color="auto" w:fill="FEF3C7"/>
            <w:vAlign w:val="center"/>
          </w:tcPr>
          <w:p w14:paraId="540184DE">
            <w:pPr>
              <w:spacing w:before="0" w:after="60" w:line="240" w:lineRule="auto"/>
            </w:pPr>
            <w:r>
              <w:rPr>
                <w:rFonts w:ascii="Songti SC" w:hAnsi="Songti SC" w:eastAsia="Songti SC"/>
                <w:b/>
                <w:color w:val="1F2937"/>
                <w:sz w:val="20"/>
              </w:rPr>
              <w:t>建议来源</w:t>
            </w:r>
          </w:p>
        </w:tc>
      </w:tr>
      <w:tr w14:paraId="2776FE03">
        <w:trPr>
          <w:jc w:val="center"/>
        </w:trPr>
        <w:tc>
          <w:tcPr>
            <w:tcW w:w="4762" w:type="dxa"/>
            <w:vAlign w:val="center"/>
          </w:tcPr>
          <w:p w14:paraId="05740F01">
            <w:pPr>
              <w:spacing w:before="0" w:after="60" w:line="240" w:lineRule="auto"/>
            </w:pPr>
            <w:r>
              <w:rPr>
                <w:rFonts w:ascii="Songti SC" w:hAnsi="Songti SC" w:eastAsia="Songti SC"/>
                <w:b w:val="0"/>
                <w:color w:val="1F2937"/>
                <w:sz w:val="20"/>
              </w:rPr>
              <w:t>点播系统首页</w:t>
            </w:r>
          </w:p>
        </w:tc>
        <w:tc>
          <w:tcPr>
            <w:tcW w:w="4762" w:type="dxa"/>
            <w:vAlign w:val="center"/>
          </w:tcPr>
          <w:p w14:paraId="15C76014">
            <w:pPr>
              <w:spacing w:before="0" w:after="60" w:line="240" w:lineRule="auto"/>
            </w:pPr>
            <w:r>
              <w:rPr>
                <w:rFonts w:ascii="Songti SC" w:hAnsi="Songti SC" w:eastAsia="Songti SC"/>
                <w:b w:val="0"/>
                <w:color w:val="1F2937"/>
                <w:sz w:val="20"/>
              </w:rPr>
              <w:t>玩家浏览游戏入口</w:t>
            </w:r>
          </w:p>
        </w:tc>
      </w:tr>
      <w:tr w14:paraId="6AF35CDF">
        <w:trPr>
          <w:jc w:val="center"/>
        </w:trPr>
        <w:tc>
          <w:tcPr>
            <w:tcW w:w="4762" w:type="dxa"/>
            <w:vAlign w:val="center"/>
          </w:tcPr>
          <w:p w14:paraId="29A4D048">
            <w:pPr>
              <w:spacing w:before="0" w:after="60" w:line="240" w:lineRule="auto"/>
            </w:pPr>
            <w:r>
              <w:rPr>
                <w:rFonts w:ascii="Songti SC" w:hAnsi="Songti SC" w:eastAsia="Songti SC"/>
                <w:b w:val="0"/>
                <w:color w:val="1F2937"/>
                <w:sz w:val="20"/>
              </w:rPr>
              <w:t>游戏详情页</w:t>
            </w:r>
          </w:p>
        </w:tc>
        <w:tc>
          <w:tcPr>
            <w:tcW w:w="4762" w:type="dxa"/>
            <w:vAlign w:val="center"/>
          </w:tcPr>
          <w:p w14:paraId="68EA64DE">
            <w:pPr>
              <w:spacing w:before="0" w:after="60" w:line="240" w:lineRule="auto"/>
            </w:pPr>
            <w:r>
              <w:rPr>
                <w:rFonts w:ascii="Songti SC" w:hAnsi="Songti SC" w:eastAsia="Songti SC"/>
                <w:b w:val="0"/>
                <w:color w:val="1F2937"/>
                <w:sz w:val="20"/>
              </w:rPr>
              <w:t>价格、时长、人数展示</w:t>
            </w:r>
          </w:p>
        </w:tc>
      </w:tr>
      <w:tr w14:paraId="4BA9CF76">
        <w:trPr>
          <w:jc w:val="center"/>
        </w:trPr>
        <w:tc>
          <w:tcPr>
            <w:tcW w:w="4762" w:type="dxa"/>
            <w:vAlign w:val="center"/>
          </w:tcPr>
          <w:p w14:paraId="0049B3D7">
            <w:pPr>
              <w:spacing w:before="0" w:after="60" w:line="240" w:lineRule="auto"/>
            </w:pPr>
            <w:r>
              <w:rPr>
                <w:rFonts w:ascii="Songti SC" w:hAnsi="Songti SC" w:eastAsia="Songti SC"/>
                <w:b w:val="0"/>
                <w:color w:val="1F2937"/>
                <w:sz w:val="20"/>
              </w:rPr>
              <w:t>散客支付页</w:t>
            </w:r>
          </w:p>
        </w:tc>
        <w:tc>
          <w:tcPr>
            <w:tcW w:w="4762" w:type="dxa"/>
            <w:vAlign w:val="center"/>
          </w:tcPr>
          <w:p w14:paraId="3A76B539">
            <w:pPr>
              <w:spacing w:before="0" w:after="60" w:line="240" w:lineRule="auto"/>
            </w:pPr>
            <w:r>
              <w:rPr>
                <w:rFonts w:ascii="Songti SC" w:hAnsi="Songti SC" w:eastAsia="Songti SC"/>
                <w:b w:val="0"/>
                <w:color w:val="1F2937"/>
                <w:sz w:val="20"/>
              </w:rPr>
              <w:t>终端二维码支付页面</w:t>
            </w:r>
          </w:p>
        </w:tc>
      </w:tr>
      <w:tr w14:paraId="1CC8E0C2">
        <w:trPr>
          <w:jc w:val="center"/>
        </w:trPr>
        <w:tc>
          <w:tcPr>
            <w:tcW w:w="4762" w:type="dxa"/>
            <w:vAlign w:val="center"/>
          </w:tcPr>
          <w:p w14:paraId="79196C7C">
            <w:pPr>
              <w:spacing w:before="0" w:after="60" w:line="240" w:lineRule="auto"/>
            </w:pPr>
            <w:r>
              <w:rPr>
                <w:rFonts w:ascii="Songti SC" w:hAnsi="Songti SC" w:eastAsia="Songti SC"/>
                <w:b w:val="0"/>
                <w:color w:val="1F2937"/>
                <w:sz w:val="20"/>
              </w:rPr>
              <w:t>会员支付确认页</w:t>
            </w:r>
          </w:p>
        </w:tc>
        <w:tc>
          <w:tcPr>
            <w:tcW w:w="4762" w:type="dxa"/>
            <w:vAlign w:val="center"/>
          </w:tcPr>
          <w:p w14:paraId="46162756">
            <w:pPr>
              <w:spacing w:before="0" w:after="60" w:line="240" w:lineRule="auto"/>
            </w:pPr>
            <w:r>
              <w:rPr>
                <w:rFonts w:ascii="Songti SC" w:hAnsi="Songti SC" w:eastAsia="Songti SC"/>
                <w:b w:val="0"/>
                <w:color w:val="1F2937"/>
                <w:sz w:val="20"/>
              </w:rPr>
              <w:t>小程序确认支付页面</w:t>
            </w:r>
          </w:p>
        </w:tc>
      </w:tr>
      <w:tr w14:paraId="47461406">
        <w:trPr>
          <w:jc w:val="center"/>
        </w:trPr>
        <w:tc>
          <w:tcPr>
            <w:tcW w:w="4762" w:type="dxa"/>
            <w:vAlign w:val="center"/>
          </w:tcPr>
          <w:p w14:paraId="1402F3F1">
            <w:pPr>
              <w:spacing w:before="0" w:after="60" w:line="240" w:lineRule="auto"/>
            </w:pPr>
            <w:r>
              <w:rPr>
                <w:rFonts w:ascii="Songti SC" w:hAnsi="Songti SC" w:eastAsia="Songti SC"/>
                <w:b w:val="0"/>
                <w:color w:val="1F2937"/>
                <w:sz w:val="20"/>
              </w:rPr>
              <w:t>支付成功页</w:t>
            </w:r>
          </w:p>
        </w:tc>
        <w:tc>
          <w:tcPr>
            <w:tcW w:w="4762" w:type="dxa"/>
            <w:vAlign w:val="center"/>
          </w:tcPr>
          <w:p w14:paraId="35D218B0">
            <w:pPr>
              <w:spacing w:before="0" w:after="60" w:line="240" w:lineRule="auto"/>
            </w:pPr>
            <w:r>
              <w:rPr>
                <w:rFonts w:ascii="Songti SC" w:hAnsi="Songti SC" w:eastAsia="Songti SC"/>
                <w:b w:val="0"/>
                <w:color w:val="1F2937"/>
                <w:sz w:val="20"/>
              </w:rPr>
              <w:t>支付完成后的状态页</w:t>
            </w:r>
          </w:p>
        </w:tc>
      </w:tr>
      <w:tr w14:paraId="04C1555A">
        <w:trPr>
          <w:jc w:val="center"/>
        </w:trPr>
        <w:tc>
          <w:tcPr>
            <w:tcW w:w="4762" w:type="dxa"/>
            <w:vAlign w:val="center"/>
          </w:tcPr>
          <w:p w14:paraId="3EB7B36C">
            <w:pPr>
              <w:spacing w:before="0" w:after="60" w:line="240" w:lineRule="auto"/>
            </w:pPr>
            <w:r>
              <w:rPr>
                <w:rFonts w:ascii="Songti SC" w:hAnsi="Songti SC" w:eastAsia="Songti SC"/>
                <w:b w:val="0"/>
                <w:color w:val="1F2937"/>
                <w:sz w:val="20"/>
              </w:rPr>
              <w:t>支付失败页</w:t>
            </w:r>
          </w:p>
        </w:tc>
        <w:tc>
          <w:tcPr>
            <w:tcW w:w="4762" w:type="dxa"/>
            <w:vAlign w:val="center"/>
          </w:tcPr>
          <w:p w14:paraId="18BC43D9">
            <w:pPr>
              <w:spacing w:before="0" w:after="60" w:line="240" w:lineRule="auto"/>
            </w:pPr>
            <w:r>
              <w:rPr>
                <w:rFonts w:ascii="Songti SC" w:hAnsi="Songti SC" w:eastAsia="Songti SC"/>
                <w:b w:val="0"/>
                <w:color w:val="1F2937"/>
                <w:sz w:val="20"/>
              </w:rPr>
              <w:t>支付失败或取消场景</w:t>
            </w:r>
          </w:p>
        </w:tc>
      </w:tr>
      <w:tr w14:paraId="1AD15C23">
        <w:trPr>
          <w:jc w:val="center"/>
        </w:trPr>
        <w:tc>
          <w:tcPr>
            <w:tcW w:w="4762" w:type="dxa"/>
            <w:vAlign w:val="center"/>
          </w:tcPr>
          <w:p w14:paraId="2DDD5EE1">
            <w:pPr>
              <w:spacing w:before="0" w:after="60" w:line="240" w:lineRule="auto"/>
            </w:pPr>
            <w:r>
              <w:rPr>
                <w:rFonts w:ascii="Songti SC" w:hAnsi="Songti SC" w:eastAsia="Songti SC"/>
                <w:b w:val="0"/>
                <w:color w:val="1F2937"/>
                <w:sz w:val="20"/>
              </w:rPr>
              <w:t>设备引导页</w:t>
            </w:r>
          </w:p>
        </w:tc>
        <w:tc>
          <w:tcPr>
            <w:tcW w:w="4762" w:type="dxa"/>
            <w:vAlign w:val="center"/>
          </w:tcPr>
          <w:p w14:paraId="65CF480E">
            <w:pPr>
              <w:spacing w:before="0" w:after="60" w:line="240" w:lineRule="auto"/>
            </w:pPr>
            <w:r>
              <w:rPr>
                <w:rFonts w:ascii="Songti SC" w:hAnsi="Songti SC" w:eastAsia="Songti SC"/>
                <w:b w:val="0"/>
                <w:color w:val="1F2937"/>
                <w:sz w:val="20"/>
              </w:rPr>
              <w:t>支付成功后的设备编号 / 佩戴提示</w:t>
            </w:r>
          </w:p>
        </w:tc>
      </w:tr>
      <w:tr w14:paraId="5CF97A60">
        <w:trPr>
          <w:jc w:val="center"/>
        </w:trPr>
        <w:tc>
          <w:tcPr>
            <w:tcW w:w="4762" w:type="dxa"/>
            <w:vAlign w:val="center"/>
          </w:tcPr>
          <w:p w14:paraId="021866C0">
            <w:pPr>
              <w:spacing w:before="0" w:after="60" w:line="240" w:lineRule="auto"/>
            </w:pPr>
            <w:r>
              <w:rPr>
                <w:rFonts w:ascii="Songti SC" w:hAnsi="Songti SC" w:eastAsia="Songti SC"/>
                <w:b w:val="0"/>
                <w:color w:val="1F2937"/>
                <w:sz w:val="20"/>
              </w:rPr>
              <w:t>体验结束页</w:t>
            </w:r>
          </w:p>
        </w:tc>
        <w:tc>
          <w:tcPr>
            <w:tcW w:w="4762" w:type="dxa"/>
            <w:vAlign w:val="center"/>
          </w:tcPr>
          <w:p w14:paraId="022A5A0A">
            <w:pPr>
              <w:spacing w:before="0" w:after="60" w:line="240" w:lineRule="auto"/>
            </w:pPr>
            <w:r>
              <w:rPr>
                <w:rFonts w:ascii="Songti SC" w:hAnsi="Songti SC" w:eastAsia="Songti SC"/>
                <w:b w:val="0"/>
                <w:color w:val="1F2937"/>
                <w:sz w:val="20"/>
              </w:rPr>
              <w:t>结束后回到首页或待机页的状态</w:t>
            </w:r>
          </w:p>
        </w:tc>
      </w:tr>
      <w:tr w14:paraId="28B1057C">
        <w:trPr>
          <w:jc w:val="center"/>
        </w:trPr>
        <w:tc>
          <w:tcPr>
            <w:tcW w:w="4762" w:type="dxa"/>
            <w:vAlign w:val="center"/>
          </w:tcPr>
          <w:p w14:paraId="52EC2F40">
            <w:pPr>
              <w:spacing w:before="0" w:after="60" w:line="240" w:lineRule="auto"/>
            </w:pPr>
            <w:r>
              <w:rPr>
                <w:rFonts w:ascii="Songti SC" w:hAnsi="Songti SC" w:eastAsia="Songti SC"/>
                <w:b w:val="0"/>
                <w:color w:val="1F2937"/>
                <w:sz w:val="20"/>
              </w:rPr>
              <w:t>会员注册页</w:t>
            </w:r>
          </w:p>
        </w:tc>
        <w:tc>
          <w:tcPr>
            <w:tcW w:w="4762" w:type="dxa"/>
            <w:vAlign w:val="center"/>
          </w:tcPr>
          <w:p w14:paraId="22BAABF1">
            <w:pPr>
              <w:spacing w:before="0" w:after="60" w:line="240" w:lineRule="auto"/>
            </w:pPr>
            <w:r>
              <w:rPr>
                <w:rFonts w:ascii="Songti SC" w:hAnsi="Songti SC" w:eastAsia="Songti SC"/>
                <w:b w:val="0"/>
                <w:color w:val="1F2937"/>
                <w:sz w:val="20"/>
              </w:rPr>
              <w:t>门店注册码或小程序注册入口</w:t>
            </w:r>
          </w:p>
        </w:tc>
      </w:tr>
    </w:tbl>
    <w:p w14:paraId="435F5CFB"/>
    <w:sectPr>
      <w:pgSz w:w="11906" w:h="16838"/>
      <w:pgMar w:top="1134" w:right="1191" w:bottom="1134"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BF4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ongti SC" w:hAnsi="Songti SC" w:eastAsia="Songti SC" w:cstheme="minorBidi"/>
      <w:sz w:val="21"/>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1E3A8A"/>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F766E"/>
      <w:sz w:val="27"/>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34155"/>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F172A"/>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Andy</cp:lastModifiedBy>
  <dcterms:modified xsi:type="dcterms:W3CDTF">2026-07-28T10:27:41Z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E3CD5ABF47D6D3A39D13686A7C58AE59_42</vt:lpwstr>
  </property>
</Properties>
</file>