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 Unicode MS" w:hAnsi="Arial Unicode MS" w:eastAsia="Arial Unicode MS" w:cs="Arial Unicode MS"/>
          <w:sz w:val="28"/>
        </w:rPr>
        <w:t>字体测试 Arial Unicode MS 中文显示：用户支付流程 反扫支付 开局退款</w:t>
      </w:r>
    </w:p>
    <w:p>
      <w:r>
        <w:rPr>
          <w:rFonts w:ascii="PingFang SC" w:hAnsi="PingFang SC" w:eastAsia="PingFang SC" w:cs="PingFang SC"/>
          <w:sz w:val="28"/>
        </w:rPr>
        <w:t>字体测试 PingFang SC 中文显示：用户支付流程 反扫支付 开局退款</w:t>
      </w:r>
    </w:p>
    <w:p>
      <w:r>
        <w:rPr>
          <w:rFonts w:ascii="Songti SC" w:hAnsi="Songti SC" w:eastAsia="Songti SC" w:cs="Songti SC"/>
          <w:sz w:val="28"/>
        </w:rPr>
        <w:t>字体测试 Songti SC 中文显示：用户支付流程 反扫支付 开局退款</w:t>
      </w:r>
    </w:p>
    <w:p>
      <w:r>
        <w:rPr>
          <w:rFonts w:ascii="Heiti SC" w:hAnsi="Heiti SC" w:eastAsia="Heiti SC" w:cs="Heiti SC"/>
          <w:sz w:val="28"/>
        </w:rPr>
        <w:t>字体测试 Heiti SC 中文显示：用户支付流程 反扫支付 开局退款</w:t>
      </w:r>
    </w:p>
    <w:p>
      <w:r>
        <w:rPr>
          <w:rFonts w:ascii="STHeiti" w:hAnsi="STHeiti" w:eastAsia="STHeiti" w:cs="STHeiti"/>
          <w:sz w:val="28"/>
        </w:rPr>
        <w:t>字体测试 STHeiti 中文显示：用户支付流程 反扫支付 开局退款</w:t>
      </w:r>
    </w:p>
    <w:p>
      <w:r>
        <w:rPr>
          <w:rFonts w:ascii="SimSong" w:hAnsi="SimSong" w:eastAsia="SimSong" w:cs="SimSong"/>
          <w:sz w:val="28"/>
        </w:rPr>
        <w:t>字体测试 SimSong 中文显示：用户支付流程 反扫支付 开局退款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