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Neosky UAV Incident Report</w:t>
      </w:r>
    </w:p>
    <w:p>
      <w:pPr>
        <w:pStyle w:val="Heading1"/>
      </w:pPr>
      <w:r>
        <w:t>Mission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Drone</w:t>
            </w:r>
          </w:p>
        </w:tc>
        <w:tc>
          <w:tcPr>
            <w:tcW w:type="dxa" w:w="4320"/>
          </w:tcPr>
          <w:p>
            <w:r>
              <w:t>Tavas</w:t>
            </w:r>
          </w:p>
        </w:tc>
      </w:tr>
      <w:tr>
        <w:tc>
          <w:tcPr>
            <w:tcW w:type="dxa" w:w="4320"/>
          </w:tcPr>
          <w:p>
            <w:r>
              <w:t>MSN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2026-04-08</w:t>
            </w:r>
          </w:p>
        </w:tc>
      </w:tr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MSN 20 00000006.BIN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</w:tbl>
    <w:p>
      <w:pPr>
        <w:pStyle w:val="Heading1"/>
      </w:pPr>
      <w:r>
        <w:t>CRITICAL ALERTS</w:t>
      </w:r>
    </w:p>
    <w:p>
      <w:r>
        <w:t>THRUST LOSS DETECTED</w:t>
      </w:r>
    </w:p>
    <w:p>
      <w:r>
        <w:t>VIBRATION HIGH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