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4F50B4" w:rsidRDefault="00D473C6" w:rsidP="004F50B4">
      <w:pPr>
        <w:pStyle w:val="papertitle"/>
        <w:spacing w:before="5pt" w:beforeAutospacing="1" w:after="5pt" w:afterAutospacing="1"/>
        <w:rPr>
          <w:i/>
          <w:sz w:val="28"/>
          <w:szCs w:val="28"/>
        </w:rPr>
      </w:pPr>
      <w:r w:rsidRPr="004F50B4">
        <w:rPr>
          <w:i/>
          <w:sz w:val="28"/>
          <w:szCs w:val="28"/>
        </w:rPr>
        <w:t xml:space="preserve">Traffic </w:t>
      </w:r>
      <w:r w:rsidR="003943B9" w:rsidRPr="004F50B4">
        <w:rPr>
          <w:i/>
          <w:sz w:val="28"/>
          <w:szCs w:val="28"/>
        </w:rPr>
        <w:t xml:space="preserve">Warning </w:t>
      </w:r>
      <w:r w:rsidRPr="004F50B4">
        <w:rPr>
          <w:i/>
          <w:sz w:val="28"/>
          <w:szCs w:val="28"/>
        </w:rPr>
        <w:t>Sign Recognition</w:t>
      </w:r>
      <w:r w:rsidR="00A13BFC" w:rsidRPr="004F50B4">
        <w:rPr>
          <w:i/>
          <w:sz w:val="28"/>
          <w:szCs w:val="28"/>
        </w:rPr>
        <w:t xml:space="preserve"> &amp;</w:t>
      </w:r>
      <w:r w:rsidR="004F50B4" w:rsidRPr="004F50B4">
        <w:rPr>
          <w:i/>
          <w:sz w:val="28"/>
          <w:szCs w:val="28"/>
        </w:rPr>
        <w:t xml:space="preserve"> </w:t>
      </w:r>
      <w:r w:rsidR="001B4924" w:rsidRPr="004F50B4">
        <w:rPr>
          <w:i/>
          <w:sz w:val="28"/>
          <w:szCs w:val="28"/>
        </w:rPr>
        <w:t>Automatic Transmission Controller</w:t>
      </w:r>
      <w:r w:rsidR="00C4301B" w:rsidRPr="004F50B4">
        <w:rPr>
          <w:i/>
          <w:sz w:val="28"/>
          <w:szCs w:val="28"/>
        </w:rPr>
        <w:t xml:space="preserve"> Integration</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A13BFC" w:rsidRPr="00A13BFC">
        <w:rPr>
          <w:i/>
          <w:sz w:val="18"/>
          <w:szCs w:val="18"/>
        </w:rPr>
        <w:t>Wei Kit Wong</w:t>
      </w:r>
      <w:r w:rsidR="001A3B3D" w:rsidRPr="00A13BFC">
        <w:rPr>
          <w:i/>
          <w:sz w:val="18"/>
          <w:szCs w:val="18"/>
        </w:rPr>
        <w:br/>
      </w:r>
      <w:r w:rsidR="00A13BFC" w:rsidRPr="00A13BFC">
        <w:rPr>
          <w:i/>
          <w:sz w:val="18"/>
          <w:szCs w:val="18"/>
        </w:rPr>
        <w:t>BSc (Hons) in Applied Computing</w:t>
      </w:r>
      <w:r w:rsidR="001A3B3D" w:rsidRPr="00A13BFC">
        <w:rPr>
          <w:i/>
          <w:sz w:val="18"/>
          <w:szCs w:val="18"/>
        </w:rPr>
        <w:br/>
      </w:r>
      <w:r w:rsidR="00A13BFC" w:rsidRPr="00A13BFC">
        <w:rPr>
          <w:i/>
          <w:sz w:val="18"/>
          <w:szCs w:val="18"/>
        </w:rPr>
        <w:t>Waterford Institute of Technology</w:t>
      </w:r>
      <w:r w:rsidR="001A3B3D" w:rsidRPr="00F847A6">
        <w:rPr>
          <w:i/>
          <w:sz w:val="18"/>
          <w:szCs w:val="18"/>
        </w:rPr>
        <w:br/>
      </w:r>
      <w:r w:rsidR="00A13BFC">
        <w:rPr>
          <w:sz w:val="18"/>
          <w:szCs w:val="18"/>
        </w:rPr>
        <w:t>Waterford, Ireland</w:t>
      </w:r>
      <w:r w:rsidR="001A3B3D" w:rsidRPr="00F847A6">
        <w:rPr>
          <w:sz w:val="18"/>
          <w:szCs w:val="18"/>
        </w:rPr>
        <w:br/>
      </w:r>
      <w:r w:rsidR="00A13BFC">
        <w:rPr>
          <w:sz w:val="18"/>
          <w:szCs w:val="18"/>
        </w:rPr>
        <w:t>20075628@mail.wit.ie</w:t>
      </w:r>
    </w:p>
    <w:p w:rsidR="00447BB9" w:rsidRDefault="00BD670B" w:rsidP="00A13BFC">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w:t>
      </w:r>
      <w:r w:rsidR="003171D7">
        <w:t xml:space="preserve">electronic document outlines the implementation of a Traffic </w:t>
      </w:r>
      <w:r w:rsidR="003943B9">
        <w:t xml:space="preserve">Warning </w:t>
      </w:r>
      <w:r w:rsidR="003171D7">
        <w:t xml:space="preserve">Sign Recognition </w:t>
      </w:r>
      <w:r w:rsidR="00325164">
        <w:t>(T</w:t>
      </w:r>
      <w:r w:rsidR="003943B9">
        <w:t>W</w:t>
      </w:r>
      <w:r w:rsidR="00325164">
        <w:t xml:space="preserve">SR) </w:t>
      </w:r>
      <w:r w:rsidR="003171D7">
        <w:t>system that outputs an appropriate transmission response if a stop sign is detected, through the usage of an Automatic Transmission Controller</w:t>
      </w:r>
      <w:r w:rsidR="00325164">
        <w:t xml:space="preserve"> (ATC)</w:t>
      </w:r>
      <w:r w:rsidR="003171D7">
        <w:t xml:space="preserve"> system. This is a theoretical Advanced Driver Assistance System (ADAS) modelled in Simulink to show how Traffic </w:t>
      </w:r>
      <w:r w:rsidR="003943B9">
        <w:t xml:space="preserve">Warning </w:t>
      </w:r>
      <w:r w:rsidR="003171D7">
        <w:t>Sign Recognition may be used in a real-world setting</w:t>
      </w:r>
      <w:r w:rsidR="004B5F2F">
        <w:t xml:space="preserve"> in conjunction with other ADAS features</w:t>
      </w:r>
      <w:r w:rsidR="003171D7">
        <w:t>.</w:t>
      </w:r>
    </w:p>
    <w:p w:rsidR="009303D9" w:rsidRPr="004D72B5" w:rsidRDefault="004D72B5" w:rsidP="00972203">
      <w:pPr>
        <w:pStyle w:val="Keywords"/>
      </w:pPr>
      <w:r w:rsidRPr="004D72B5">
        <w:t>Keywords—</w:t>
      </w:r>
      <w:r w:rsidR="003171D7">
        <w:t xml:space="preserve">detection, </w:t>
      </w:r>
      <w:r w:rsidR="004B5F2F">
        <w:t xml:space="preserve">integration, </w:t>
      </w:r>
      <w:r w:rsidR="003171D7">
        <w:t>MATLAB, recognition, Simulink, traffic sign, transmission</w:t>
      </w:r>
    </w:p>
    <w:p w:rsidR="009303D9" w:rsidRPr="00D632BE" w:rsidRDefault="009303D9" w:rsidP="006B6B66">
      <w:pPr>
        <w:pStyle w:val="Heading1"/>
      </w:pPr>
      <w:r w:rsidRPr="00D632BE">
        <w:t>Introduction</w:t>
      </w:r>
      <w:r w:rsidR="005B0344" w:rsidRPr="00EA506F">
        <w:rPr>
          <w:rFonts w:eastAsia="MS Mincho"/>
          <w:i/>
        </w:rPr>
        <w:t xml:space="preserve"> </w:t>
      </w:r>
    </w:p>
    <w:p w:rsidR="009303D9" w:rsidRPr="00325164" w:rsidRDefault="00325164" w:rsidP="00E7596C">
      <w:pPr>
        <w:pStyle w:val="BodyText"/>
        <w:rPr>
          <w:lang w:val="en-GB"/>
        </w:rPr>
      </w:pPr>
      <w:r>
        <w:rPr>
          <w:lang w:val="en-GB"/>
        </w:rPr>
        <w:t>T</w:t>
      </w:r>
      <w:r w:rsidR="003943B9">
        <w:rPr>
          <w:lang w:val="en-GB"/>
        </w:rPr>
        <w:t>W</w:t>
      </w:r>
      <w:r>
        <w:rPr>
          <w:lang w:val="en-GB"/>
        </w:rPr>
        <w:t>SR systems are starting to become standard in the automotive industry, with many different implementations to produce the ADAS feature. One aspect of T</w:t>
      </w:r>
      <w:r w:rsidR="003943B9">
        <w:rPr>
          <w:lang w:val="en-GB"/>
        </w:rPr>
        <w:t>W</w:t>
      </w:r>
      <w:r>
        <w:rPr>
          <w:lang w:val="en-GB"/>
        </w:rPr>
        <w:t xml:space="preserve">SR that is not researched thoroughly is its </w:t>
      </w:r>
      <w:r w:rsidR="007D2C93">
        <w:rPr>
          <w:lang w:val="en-GB"/>
        </w:rPr>
        <w:t xml:space="preserve">further </w:t>
      </w:r>
      <w:r>
        <w:rPr>
          <w:lang w:val="en-GB"/>
        </w:rPr>
        <w:t>application and how it can be used with other ADAS features. This project is an integration exercise of a T</w:t>
      </w:r>
      <w:r w:rsidR="003943B9">
        <w:rPr>
          <w:lang w:val="en-GB"/>
        </w:rPr>
        <w:t>W</w:t>
      </w:r>
      <w:r>
        <w:rPr>
          <w:lang w:val="en-GB"/>
        </w:rPr>
        <w:t>SR and an ATC system in Simulink, where if a stop sign is detected, an appropriate transmission response to stop the vehicle will be sent. To simulate the driving experience, a video input will be fed into the TSR system and the output of the ATC</w:t>
      </w:r>
      <w:r w:rsidR="00BB0CB3">
        <w:rPr>
          <w:lang w:val="en-GB"/>
        </w:rPr>
        <w:t>’s effect</w:t>
      </w:r>
      <w:r>
        <w:rPr>
          <w:lang w:val="en-GB"/>
        </w:rPr>
        <w:t xml:space="preserve"> will be visualised in a graph.</w:t>
      </w:r>
    </w:p>
    <w:p w:rsidR="009303D9" w:rsidRDefault="005C75B8" w:rsidP="006B6B66">
      <w:pPr>
        <w:pStyle w:val="Heading1"/>
      </w:pPr>
      <w:r>
        <w:t xml:space="preserve">Traffic </w:t>
      </w:r>
      <w:r w:rsidR="003943B9">
        <w:t xml:space="preserve">Warning </w:t>
      </w:r>
      <w:r>
        <w:t>Sign Recognition</w:t>
      </w:r>
    </w:p>
    <w:p w:rsidR="00EE7CFB" w:rsidRPr="00EE7CFB" w:rsidRDefault="00EE7CFB" w:rsidP="008D781B">
      <w:pPr>
        <w:ind w:firstLine="14.40pt"/>
        <w:jc w:val="both"/>
      </w:pPr>
      <w:r>
        <w:t xml:space="preserve">This heading looks at the </w:t>
      </w:r>
      <w:r w:rsidR="008D781B">
        <w:t>functionalities of the TWSR system to be implemented for the integration exercise.</w:t>
      </w:r>
      <w:r w:rsidR="00527DCF">
        <w:t xml:space="preserve"> A review of the expected scope will be performed, and a step by step overview of how it is implemented will be provided.</w:t>
      </w:r>
    </w:p>
    <w:p w:rsidR="009303D9" w:rsidRDefault="008D781B" w:rsidP="00ED0149">
      <w:pPr>
        <w:pStyle w:val="Heading2"/>
      </w:pPr>
      <w:r>
        <w:t>Scope</w:t>
      </w:r>
    </w:p>
    <w:p w:rsidR="009303D9" w:rsidRDefault="008D781B" w:rsidP="00E7596C">
      <w:pPr>
        <w:pStyle w:val="BodyText"/>
        <w:rPr>
          <w:lang w:val="en-GB"/>
        </w:rPr>
      </w:pPr>
      <w:r>
        <w:rPr>
          <w:lang w:val="en-GB"/>
        </w:rPr>
        <w:t>As the implementation of TWSR is not the major focus of this project, the system can be a basic model that can identify the most common stop signs, with the stop sign being mandatory for this project, i.e. such warning signs include “Do Not Enter” and “Yield”.</w:t>
      </w:r>
    </w:p>
    <w:p w:rsidR="007433ED" w:rsidRPr="008D781B" w:rsidRDefault="007433ED" w:rsidP="007433ED">
      <w:pPr>
        <w:pStyle w:val="BodyText"/>
        <w:rPr>
          <w:lang w:val="en-GB"/>
        </w:rPr>
      </w:pPr>
      <w:r>
        <w:rPr>
          <w:lang w:val="en-GB"/>
        </w:rPr>
        <w:t xml:space="preserve">After researching through existing TWSR systems implemented in MATLAB and Simulink, the example one provided by MathWorks [1] proved to suit my needs the most as its implementation was well documented, therefore it </w:t>
      </w:r>
      <w:r w:rsidR="00527DCF">
        <w:rPr>
          <w:lang w:val="en-GB"/>
        </w:rPr>
        <w:t xml:space="preserve">was chosen as the base of the project as it </w:t>
      </w:r>
      <w:r>
        <w:rPr>
          <w:lang w:val="en-GB"/>
        </w:rPr>
        <w:t>could be easily tailored for integration.</w:t>
      </w:r>
    </w:p>
    <w:p w:rsidR="00527DCF" w:rsidRPr="00527DCF" w:rsidRDefault="008D781B" w:rsidP="00527DCF">
      <w:pPr>
        <w:pStyle w:val="Heading2"/>
      </w:pPr>
      <w:r>
        <w:t>Implementation</w:t>
      </w:r>
    </w:p>
    <w:p w:rsidR="00527DCF" w:rsidRDefault="00527DCF" w:rsidP="00527DCF">
      <w:pPr>
        <w:pStyle w:val="BodyText"/>
        <w:rPr>
          <w:lang w:val="en-GB"/>
        </w:rPr>
      </w:pPr>
      <w:r>
        <w:rPr>
          <w:lang w:val="en-GB"/>
        </w:rPr>
        <w:t>This looks at how the TWSR system was implemented from the chosen MathWorks example.</w:t>
      </w:r>
    </w:p>
    <w:p w:rsidR="00527DCF" w:rsidRDefault="00527DCF" w:rsidP="00527DCF">
      <w:pPr>
        <w:pStyle w:val="BodyText"/>
        <w:rPr>
          <w:lang w:val="en-GB"/>
        </w:rPr>
      </w:pPr>
      <w:r>
        <w:rPr>
          <w:lang w:val="en-GB"/>
        </w:rPr>
        <w:t>To begin, the entire pipeline is divided into three steps:</w:t>
      </w:r>
    </w:p>
    <w:p w:rsidR="00527DCF" w:rsidRDefault="00527DCF" w:rsidP="00527DCF">
      <w:pPr>
        <w:pStyle w:val="BodyText"/>
        <w:numPr>
          <w:ilvl w:val="0"/>
          <w:numId w:val="25"/>
        </w:numPr>
        <w:rPr>
          <w:lang w:val="en-GB"/>
        </w:rPr>
      </w:pPr>
      <w:r>
        <w:rPr>
          <w:lang w:val="en-GB"/>
        </w:rPr>
        <w:t>Detection</w:t>
      </w:r>
    </w:p>
    <w:p w:rsidR="00527DCF" w:rsidRDefault="00527DCF" w:rsidP="00527DCF">
      <w:pPr>
        <w:pStyle w:val="BodyText"/>
        <w:numPr>
          <w:ilvl w:val="0"/>
          <w:numId w:val="25"/>
        </w:numPr>
        <w:rPr>
          <w:lang w:val="en-GB"/>
        </w:rPr>
      </w:pPr>
      <w:r>
        <w:rPr>
          <w:lang w:val="en-GB"/>
        </w:rPr>
        <w:t>Tracking</w:t>
      </w:r>
    </w:p>
    <w:p w:rsidR="00527DCF" w:rsidRDefault="00527DCF" w:rsidP="00527DCF">
      <w:pPr>
        <w:pStyle w:val="BodyText"/>
        <w:numPr>
          <w:ilvl w:val="0"/>
          <w:numId w:val="25"/>
        </w:numPr>
        <w:rPr>
          <w:lang w:val="en-GB"/>
        </w:rPr>
      </w:pPr>
      <w:r>
        <w:rPr>
          <w:lang w:val="en-GB"/>
        </w:rPr>
        <w:t>Recognition</w:t>
      </w:r>
    </w:p>
    <w:p w:rsidR="00527DCF" w:rsidRDefault="00527DCF" w:rsidP="00527DCF">
      <w:pPr>
        <w:pStyle w:val="BodyText"/>
        <w:rPr>
          <w:lang w:val="en-GB"/>
        </w:rPr>
      </w:pPr>
    </w:p>
    <w:p w:rsidR="00527DCF" w:rsidRDefault="00527DCF" w:rsidP="00527DCF">
      <w:pPr>
        <w:pStyle w:val="BodyText"/>
        <w:rPr>
          <w:lang w:val="en-GB"/>
        </w:rPr>
      </w:pPr>
    </w:p>
    <w:p w:rsidR="00436BFF" w:rsidRDefault="00436BFF" w:rsidP="00527DCF">
      <w:pPr>
        <w:pStyle w:val="BodyText"/>
        <w:rPr>
          <w:noProof/>
        </w:rPr>
      </w:pPr>
      <w:r w:rsidRPr="00CD548D">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43.35pt;height:110.65pt;visibility:visible;mso-wrap-style:square">
                <v:imagedata r:id="rId9" o:title=""/>
              </v:shape>
            </w:pict>
          </mc:Choice>
          <mc:Fallback>
            <w:drawing>
              <wp:inline distT="0" distB="0" distL="0" distR="0" wp14:anchorId="63FBCF33" wp14:editId="40B85ECD">
                <wp:extent cx="3090545" cy="1405255"/>
                <wp:effectExtent l="0" t="0" r="0" b="4445"/>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545" cy="1405255"/>
                        </a:xfrm>
                        <a:prstGeom prst="rect">
                          <a:avLst/>
                        </a:prstGeom>
                        <a:noFill/>
                        <a:ln>
                          <a:noFill/>
                        </a:ln>
                      </pic:spPr>
                    </pic:pic>
                  </a:graphicData>
                </a:graphic>
              </wp:inline>
            </w:drawing>
          </mc:Fallback>
        </mc:AlternateContent>
      </w:r>
    </w:p>
    <w:p w:rsidR="00436BFF" w:rsidRDefault="00436BFF" w:rsidP="00527DCF">
      <w:pPr>
        <w:pStyle w:val="BodyText"/>
        <w:rPr>
          <w:i/>
          <w:noProof/>
          <w:lang w:val="en-GB"/>
        </w:rPr>
      </w:pPr>
      <w:r>
        <w:rPr>
          <w:i/>
          <w:noProof/>
          <w:lang w:val="en-GB"/>
        </w:rPr>
        <w:t>Simulink implementation of the entire TWSR pipeline</w:t>
      </w:r>
    </w:p>
    <w:p w:rsidR="00436BFF" w:rsidRPr="00436BFF" w:rsidRDefault="00436BFF" w:rsidP="00527DCF">
      <w:pPr>
        <w:pStyle w:val="BodyText"/>
        <w:rPr>
          <w:i/>
          <w:lang w:val="en-GB"/>
        </w:rPr>
      </w:pPr>
    </w:p>
    <w:p w:rsidR="00527DCF" w:rsidRDefault="00527DCF" w:rsidP="00527DCF">
      <w:pPr>
        <w:pStyle w:val="Heading3"/>
        <w:rPr>
          <w:lang w:val="en-GB"/>
        </w:rPr>
      </w:pPr>
      <w:r>
        <w:rPr>
          <w:lang w:val="en-GB"/>
        </w:rPr>
        <w:t>Detection</w:t>
      </w:r>
    </w:p>
    <w:p w:rsidR="00527DCF" w:rsidRDefault="00527DCF" w:rsidP="00527DCF">
      <w:pPr>
        <w:ind w:firstLine="14.40pt"/>
        <w:jc w:val="both"/>
        <w:rPr>
          <w:lang w:val="en-GB"/>
        </w:rPr>
      </w:pPr>
      <w:r>
        <w:rPr>
          <w:lang w:val="en-GB"/>
        </w:rPr>
        <w:t xml:space="preserve">After an input video is provided for inspection, the first phase of TWSR is detection. For each frame, it looks at different portions of the picture and searches for pixels that match a potential traffic sign through Blob Analysis. It performs the matching through the usage of </w:t>
      </w:r>
      <w:r w:rsidR="004E352C">
        <w:rPr>
          <w:lang w:val="en-GB"/>
        </w:rPr>
        <w:t>detection templates, which are a blob representation of each traffic sign to be detected.</w:t>
      </w:r>
    </w:p>
    <w:p w:rsidR="000C1476" w:rsidRDefault="000C1476" w:rsidP="00527DCF">
      <w:pPr>
        <w:ind w:firstLine="14.40pt"/>
        <w:jc w:val="both"/>
        <w:rPr>
          <w:lang w:val="en-GB"/>
        </w:rPr>
      </w:pPr>
    </w:p>
    <w:p w:rsidR="000C1476" w:rsidRDefault="000C1476" w:rsidP="00527DCF">
      <w:pPr>
        <w:ind w:firstLine="14.40pt"/>
        <w:jc w:val="both"/>
        <w:rPr>
          <w:noProof/>
        </w:rPr>
      </w:pPr>
      <w:r w:rsidRPr="00CD548D">
        <w:rPr>
          <w:noProof/>
        </w:rPr>
        <mc:AlternateContent>
          <mc:Choice Requires="v">
            <w:pict>
              <v:shape id="_x0000_i1043" type="#_x0000_t75" style="width:114.65pt;height:36pt;visibility:visible;mso-wrap-style:square">
                <v:imagedata r:id="rId11" o:title=""/>
              </v:shape>
            </w:pict>
          </mc:Choice>
          <mc:Fallback>
            <w:drawing>
              <wp:inline distT="0" distB="0" distL="0" distR="0" wp14:anchorId="32C8B801" wp14:editId="25C4492A">
                <wp:extent cx="1456055" cy="457200"/>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457200"/>
                        </a:xfrm>
                        <a:prstGeom prst="rect">
                          <a:avLst/>
                        </a:prstGeom>
                        <a:noFill/>
                        <a:ln>
                          <a:noFill/>
                        </a:ln>
                      </pic:spPr>
                    </pic:pic>
                  </a:graphicData>
                </a:graphic>
              </wp:inline>
            </w:drawing>
          </mc:Fallback>
        </mc:AlternateContent>
      </w:r>
    </w:p>
    <w:p w:rsidR="000C1476" w:rsidRDefault="000C1476" w:rsidP="00527DCF">
      <w:pPr>
        <w:ind w:firstLine="14.40pt"/>
        <w:jc w:val="both"/>
        <w:rPr>
          <w:i/>
          <w:noProof/>
        </w:rPr>
      </w:pPr>
      <w:r>
        <w:rPr>
          <w:i/>
          <w:noProof/>
        </w:rPr>
        <w:t>Detection templates for each traffic warning sign.</w:t>
      </w:r>
    </w:p>
    <w:p w:rsidR="000C1476" w:rsidRPr="000C1476" w:rsidRDefault="000C1476" w:rsidP="00527DCF">
      <w:pPr>
        <w:ind w:firstLine="14.40pt"/>
        <w:jc w:val="both"/>
        <w:rPr>
          <w:i/>
          <w:lang w:val="en-GB"/>
        </w:rPr>
      </w:pPr>
    </w:p>
    <w:p w:rsidR="00017569" w:rsidRDefault="00017569" w:rsidP="00527DCF">
      <w:pPr>
        <w:ind w:firstLine="14.40pt"/>
        <w:jc w:val="both"/>
        <w:rPr>
          <w:noProof/>
        </w:rPr>
      </w:pPr>
      <w:r w:rsidRPr="00CD548D">
        <w:rPr>
          <w:noProof/>
        </w:rPr>
        <mc:AlternateContent>
          <mc:Choice Requires="v">
            <w:pict>
              <v:shape id="Picture 1" o:spid="_x0000_i1037" type="#_x0000_t75" style="width:243.35pt;height:110.65pt;visibility:visible;mso-wrap-style:square">
                <v:imagedata r:id="rId13" o:title=""/>
              </v:shape>
            </w:pict>
          </mc:Choice>
          <mc:Fallback>
            <w:drawing>
              <wp:inline distT="0" distB="0" distL="0" distR="0" wp14:anchorId="2274032F" wp14:editId="46B9CB66">
                <wp:extent cx="3090545" cy="1405255"/>
                <wp:effectExtent l="0" t="0" r="0" b="4445"/>
                <wp:docPr id="1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0545" cy="1405255"/>
                        </a:xfrm>
                        <a:prstGeom prst="rect">
                          <a:avLst/>
                        </a:prstGeom>
                        <a:noFill/>
                        <a:ln>
                          <a:noFill/>
                        </a:ln>
                      </pic:spPr>
                    </pic:pic>
                  </a:graphicData>
                </a:graphic>
              </wp:inline>
            </w:drawing>
          </mc:Fallback>
        </mc:AlternateContent>
      </w:r>
    </w:p>
    <w:p w:rsidR="00017569" w:rsidRDefault="00017569" w:rsidP="00527DCF">
      <w:pPr>
        <w:ind w:firstLine="14.40pt"/>
        <w:jc w:val="both"/>
        <w:rPr>
          <w:i/>
          <w:noProof/>
        </w:rPr>
      </w:pPr>
      <w:r>
        <w:rPr>
          <w:i/>
          <w:noProof/>
        </w:rPr>
        <w:t>Simulink implementation of the Detection step of TWSR</w:t>
      </w:r>
    </w:p>
    <w:p w:rsidR="00017569" w:rsidRDefault="00017569" w:rsidP="00527DCF">
      <w:pPr>
        <w:ind w:firstLine="14.40pt"/>
        <w:jc w:val="both"/>
        <w:rPr>
          <w:i/>
          <w:noProof/>
        </w:rPr>
      </w:pPr>
    </w:p>
    <w:p w:rsidR="00017569" w:rsidRDefault="00017569" w:rsidP="00017569">
      <w:pPr>
        <w:pStyle w:val="Heading3"/>
        <w:rPr>
          <w:lang w:val="en-GB"/>
        </w:rPr>
      </w:pPr>
      <w:r>
        <w:rPr>
          <w:lang w:val="en-GB"/>
        </w:rPr>
        <w:t>Tracking</w:t>
      </w:r>
    </w:p>
    <w:p w:rsidR="00017569" w:rsidRDefault="00236B65" w:rsidP="00B503FE">
      <w:pPr>
        <w:ind w:firstLine="14.40pt"/>
        <w:jc w:val="both"/>
        <w:rPr>
          <w:lang w:val="en-GB"/>
        </w:rPr>
      </w:pPr>
      <w:r>
        <w:rPr>
          <w:lang w:val="en-GB"/>
        </w:rPr>
        <w:t>To add onto the detection process, tracking is the last step of the pipeline to ensure what is being inspected is a traffic warning sign. Its function is to ensure that the current potential traffic warning signs being inspected were also detected in the previous four frames. This is to ensure that the blobs detected were not caused by consecutive systemic errors or outside environmental factors. This is performed by comparing the blob matches and if the blob configurations are consistent for within four frames. If this is the case, the potential traffic warning sign is considered an actual one.</w:t>
      </w:r>
    </w:p>
    <w:p w:rsidR="00445125" w:rsidRDefault="00445125" w:rsidP="00B503FE">
      <w:pPr>
        <w:ind w:firstLine="14.40pt"/>
        <w:jc w:val="both"/>
        <w:rPr>
          <w:lang w:val="en-GB"/>
        </w:rPr>
      </w:pPr>
    </w:p>
    <w:p w:rsidR="00445125" w:rsidRDefault="00445125" w:rsidP="00B503FE">
      <w:pPr>
        <w:ind w:firstLine="14.40pt"/>
        <w:jc w:val="both"/>
        <w:rPr>
          <w:noProof/>
        </w:rPr>
      </w:pPr>
      <w:r w:rsidRPr="00CD548D">
        <w:rPr>
          <w:noProof/>
        </w:rPr>
        <w:lastRenderedPageBreak/>
        <mc:AlternateContent>
          <mc:Choice Requires="v">
            <w:pict>
              <v:shape id="_x0000_i1039" type="#_x0000_t75" style="width:243.35pt;height:162.65pt;visibility:visible;mso-wrap-style:square">
                <v:imagedata r:id="rId15" o:title=""/>
              </v:shape>
            </w:pict>
          </mc:Choice>
          <mc:Fallback>
            <w:drawing>
              <wp:inline distT="0" distB="0" distL="0" distR="0" wp14:anchorId="6AED8C48" wp14:editId="471D52E1">
                <wp:extent cx="3090545" cy="2065655"/>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065655"/>
                        </a:xfrm>
                        <a:prstGeom prst="rect">
                          <a:avLst/>
                        </a:prstGeom>
                        <a:noFill/>
                        <a:ln>
                          <a:noFill/>
                        </a:ln>
                      </pic:spPr>
                    </pic:pic>
                  </a:graphicData>
                </a:graphic>
              </wp:inline>
            </w:drawing>
          </mc:Fallback>
        </mc:AlternateContent>
      </w:r>
    </w:p>
    <w:p w:rsidR="00445125" w:rsidRDefault="00445125" w:rsidP="00B503FE">
      <w:pPr>
        <w:ind w:firstLine="14.40pt"/>
        <w:jc w:val="both"/>
        <w:rPr>
          <w:i/>
          <w:noProof/>
        </w:rPr>
      </w:pPr>
      <w:r>
        <w:rPr>
          <w:i/>
          <w:noProof/>
        </w:rPr>
        <w:t>Simulink implementation of the Tracking step of TWSR</w:t>
      </w:r>
    </w:p>
    <w:p w:rsidR="00445125" w:rsidRDefault="00445125" w:rsidP="00B503FE">
      <w:pPr>
        <w:ind w:firstLine="14.40pt"/>
        <w:jc w:val="both"/>
        <w:rPr>
          <w:lang w:val="en-GB"/>
        </w:rPr>
      </w:pPr>
    </w:p>
    <w:p w:rsidR="00445125" w:rsidRDefault="00445125" w:rsidP="00445125">
      <w:pPr>
        <w:pStyle w:val="Heading3"/>
        <w:rPr>
          <w:lang w:val="en-GB"/>
        </w:rPr>
      </w:pPr>
      <w:r>
        <w:rPr>
          <w:lang w:val="en-GB"/>
        </w:rPr>
        <w:t>Recognition</w:t>
      </w:r>
    </w:p>
    <w:p w:rsidR="000941C5" w:rsidRDefault="000941C5" w:rsidP="000941C5">
      <w:pPr>
        <w:ind w:firstLine="14.40pt"/>
        <w:jc w:val="both"/>
        <w:rPr>
          <w:lang w:val="en-GB"/>
        </w:rPr>
      </w:pPr>
      <w:r>
        <w:rPr>
          <w:lang w:val="en-GB"/>
        </w:rPr>
        <w:t xml:space="preserve">The final step is to perform the actual recognition; to determine which traffic warning sign is. This uses a similar process to Detection, but rather than using detection templates, recognition templates are used. These templates highlight the features of each traffic warning sign rather than the shape of it. </w:t>
      </w:r>
      <w:r w:rsidR="00622D93">
        <w:rPr>
          <w:lang w:val="en-GB"/>
        </w:rPr>
        <w:t>By comparing each template with the sign’s features, the warning sign is derived by choosing the one that has the most approximate features.</w:t>
      </w:r>
    </w:p>
    <w:p w:rsidR="006D603F" w:rsidRDefault="006D603F" w:rsidP="000941C5">
      <w:pPr>
        <w:ind w:firstLine="14.40pt"/>
        <w:jc w:val="both"/>
        <w:rPr>
          <w:lang w:val="en-GB"/>
        </w:rPr>
      </w:pPr>
    </w:p>
    <w:p w:rsidR="006D603F" w:rsidRDefault="006D603F" w:rsidP="006D603F">
      <w:pPr>
        <w:ind w:firstLine="14.40pt"/>
        <w:jc w:val="start"/>
        <w:rPr>
          <w:noProof/>
        </w:rPr>
      </w:pPr>
      <w:r w:rsidRPr="00CD548D">
        <w:rPr>
          <w:noProof/>
        </w:rPr>
        <mc:AlternateContent>
          <mc:Choice Requires="v">
            <w:pict>
              <v:shape id="_x0000_i1045" type="#_x0000_t75" style="width:243.35pt;height:24.65pt;visibility:visible;mso-wrap-style:square">
                <v:imagedata r:id="rId17" o:title=""/>
              </v:shape>
            </w:pict>
          </mc:Choice>
          <mc:Fallback>
            <w:drawing>
              <wp:inline distT="0" distB="0" distL="0" distR="0" wp14:anchorId="00474EB6" wp14:editId="52B8D80E">
                <wp:extent cx="3090545" cy="31305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313055"/>
                        </a:xfrm>
                        <a:prstGeom prst="rect">
                          <a:avLst/>
                        </a:prstGeom>
                        <a:noFill/>
                        <a:ln>
                          <a:noFill/>
                        </a:ln>
                      </pic:spPr>
                    </pic:pic>
                  </a:graphicData>
                </a:graphic>
              </wp:inline>
            </w:drawing>
          </mc:Fallback>
        </mc:AlternateContent>
      </w:r>
    </w:p>
    <w:p w:rsidR="006D603F" w:rsidRPr="006D603F" w:rsidRDefault="006D603F" w:rsidP="006D603F">
      <w:pPr>
        <w:ind w:firstLine="14.40pt"/>
        <w:jc w:val="start"/>
        <w:rPr>
          <w:i/>
          <w:lang w:val="en-GB"/>
        </w:rPr>
      </w:pPr>
      <w:r>
        <w:rPr>
          <w:i/>
          <w:lang w:val="en-GB"/>
        </w:rPr>
        <w:t>Recognition templates for each traffic warning sign.</w:t>
      </w:r>
    </w:p>
    <w:p w:rsidR="00622D93" w:rsidRDefault="00622D93" w:rsidP="000941C5">
      <w:pPr>
        <w:ind w:firstLine="14.40pt"/>
        <w:jc w:val="both"/>
        <w:rPr>
          <w:lang w:val="en-GB"/>
        </w:rPr>
      </w:pPr>
    </w:p>
    <w:p w:rsidR="00622D93" w:rsidRDefault="00622D93" w:rsidP="000941C5">
      <w:pPr>
        <w:ind w:firstLine="14.40pt"/>
        <w:jc w:val="both"/>
        <w:rPr>
          <w:noProof/>
        </w:rPr>
      </w:pPr>
      <w:r w:rsidRPr="00CD548D">
        <w:rPr>
          <w:noProof/>
        </w:rPr>
        <mc:AlternateContent>
          <mc:Choice Requires="v">
            <w:pict>
              <v:shape id="_x0000_i1041" type="#_x0000_t75" style="width:243.35pt;height:283.35pt;visibility:visible;mso-wrap-style:square">
                <v:imagedata r:id="rId19" o:title=""/>
              </v:shape>
            </w:pict>
          </mc:Choice>
          <mc:Fallback>
            <w:drawing>
              <wp:inline distT="0" distB="0" distL="0" distR="0" wp14:anchorId="4AAE8F15" wp14:editId="594AE72B">
                <wp:extent cx="3090545" cy="3598545"/>
                <wp:effectExtent l="0" t="0" r="0" b="190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0545" cy="3598545"/>
                        </a:xfrm>
                        <a:prstGeom prst="rect">
                          <a:avLst/>
                        </a:prstGeom>
                        <a:noFill/>
                        <a:ln>
                          <a:noFill/>
                        </a:ln>
                      </pic:spPr>
                    </pic:pic>
                  </a:graphicData>
                </a:graphic>
              </wp:inline>
            </w:drawing>
          </mc:Fallback>
        </mc:AlternateContent>
      </w:r>
    </w:p>
    <w:p w:rsidR="00622D93" w:rsidRDefault="00622D93" w:rsidP="000941C5">
      <w:pPr>
        <w:ind w:firstLine="14.40pt"/>
        <w:jc w:val="both"/>
        <w:rPr>
          <w:i/>
          <w:noProof/>
        </w:rPr>
      </w:pPr>
      <w:r>
        <w:rPr>
          <w:i/>
          <w:noProof/>
        </w:rPr>
        <w:t>Simulink implementation of Recognition step of TWSR</w:t>
      </w:r>
    </w:p>
    <w:p w:rsidR="00087881" w:rsidRDefault="00087881" w:rsidP="000941C5">
      <w:pPr>
        <w:ind w:firstLine="14.40pt"/>
        <w:jc w:val="both"/>
        <w:rPr>
          <w:i/>
          <w:noProof/>
        </w:rPr>
      </w:pPr>
    </w:p>
    <w:p w:rsidR="00087881" w:rsidRPr="00087881" w:rsidRDefault="00BC6C06" w:rsidP="000941C5">
      <w:pPr>
        <w:ind w:firstLine="14.40pt"/>
        <w:jc w:val="both"/>
        <w:rPr>
          <w:lang w:val="en-GB"/>
        </w:rPr>
      </w:pPr>
      <w:r>
        <w:rPr>
          <w:lang w:val="en-GB"/>
        </w:rPr>
        <w:t xml:space="preserve">As the purpose of the original MathWorks example was to just recognize each individual traffic warning sign in the video and highlight it, the recognition function also performs the labelling of what traffic warning sign it is. This </w:t>
      </w:r>
      <w:r>
        <w:rPr>
          <w:lang w:val="en-GB"/>
        </w:rPr>
        <w:t>will be used in the integration to figure out whether the detected sign is a stop sign or not.</w:t>
      </w:r>
    </w:p>
    <w:p w:rsidR="009303D9" w:rsidRDefault="005C75B8" w:rsidP="006B6B66">
      <w:pPr>
        <w:pStyle w:val="Heading1"/>
      </w:pPr>
      <w:r>
        <w:t>Automatic Transmission Controller</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5C75B8" w:rsidP="006B6B66">
      <w:pPr>
        <w:pStyle w:val="Heading1"/>
      </w:pPr>
      <w:r>
        <w:t>Integration between T</w:t>
      </w:r>
      <w:r w:rsidR="003943B9">
        <w:t>W</w:t>
      </w:r>
      <w:r>
        <w:t>SR and ATC</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80791D" w:rsidRPr="00BB0CB3" w:rsidRDefault="009303D9" w:rsidP="00BB0CB3">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80791D" w:rsidRDefault="005C75B8" w:rsidP="005C75B8">
      <w:pPr>
        <w:pStyle w:val="Heading1"/>
      </w:pPr>
      <w:r>
        <w:t>Simulink Model</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C75B8" w:rsidRDefault="005C75B8" w:rsidP="005C75B8">
      <w:pPr>
        <w:pStyle w:val="Heading1"/>
      </w:pPr>
      <w:r>
        <w:lastRenderedPageBreak/>
        <w:t>Benchmark Testing</w:t>
      </w:r>
    </w:p>
    <w:p w:rsidR="005C75B8" w:rsidRDefault="005C75B8" w:rsidP="005C75B8">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4B5F2F" w:rsidRDefault="004B5F2F" w:rsidP="004B5F2F">
      <w:pPr>
        <w:pStyle w:val="Heading1"/>
      </w:pPr>
      <w:r>
        <w:t>Conclusion</w:t>
      </w:r>
    </w:p>
    <w:p w:rsidR="004B5F2F" w:rsidRDefault="004B5F2F" w:rsidP="004B5F2F">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8D781B" w:rsidRPr="006F4772" w:rsidRDefault="008D781B" w:rsidP="006F4772">
      <w:pPr>
        <w:pStyle w:val="references"/>
        <w:ind w:start="17.70pt" w:hanging="17.70pt"/>
        <w:jc w:val="start"/>
      </w:pPr>
      <w:r w:rsidRPr="006F4772">
        <w:rPr>
          <w:color w:val="000000"/>
          <w:shd w:val="clear" w:color="auto" w:fill="FFFFFF"/>
        </w:rPr>
        <w:t>Uk.mathworks.com. (2019). </w:t>
      </w:r>
      <w:r w:rsidRPr="006F4772">
        <w:rPr>
          <w:i/>
          <w:iCs/>
          <w:color w:val="000000"/>
          <w:shd w:val="clear" w:color="auto" w:fill="FFFFFF"/>
        </w:rPr>
        <w:t>Traffic Warning Sign Recognition</w:t>
      </w:r>
      <w:r w:rsidRPr="006F4772">
        <w:rPr>
          <w:color w:val="000000"/>
          <w:shd w:val="clear" w:color="auto" w:fill="FFFFFF"/>
        </w:rPr>
        <w:t>. [online] Available at: https://uk.mathworks.com/help/vision/examples/traffic-warning-sign-recognition.html [Accessed 2 Jan. 2020].</w:t>
      </w:r>
    </w:p>
    <w:p w:rsidR="009303D9" w:rsidRDefault="009303D9" w:rsidP="00836367">
      <w:pPr>
        <w:pStyle w:val="references"/>
        <w:numPr>
          <w:ilvl w:val="0"/>
          <w:numId w:val="0"/>
        </w:numPr>
        <w:ind w:start="18pt" w:hanging="18pt"/>
      </w:pPr>
    </w:p>
    <w:p w:rsidR="00836367" w:rsidRPr="00F96569" w:rsidRDefault="00836367" w:rsidP="00836367">
      <w:pPr>
        <w:pStyle w:val="references"/>
        <w:numPr>
          <w:ilvl w:val="0"/>
          <w:numId w:val="0"/>
        </w:numPr>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C75FC4" w:rsidP="005B520E">
      <w:r>
        <mc:AlternateContent>
          <mc:Choice Requires="v">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Choice>
          <mc:Fallback>
            <w:drawing>
              <wp:anchor distT="0" distB="0" distL="114300" distR="114300" simplePos="0" relativeHeight="251659264" behindDoc="1" locked="0" layoutInCell="1" allowOverlap="1" wp14:anchorId="1101F597" wp14:editId="3E7AD591">
                <wp:simplePos x="0" y="0"/>
                <wp:positionH relativeFrom="margin">
                  <wp:align>left</wp:align>
                </wp:positionH>
                <wp:positionV relativeFrom="paragraph">
                  <wp:posOffset>251460</wp:posOffset>
                </wp:positionV>
                <wp:extent cx="3200400" cy="1143000"/>
                <wp:effectExtent l="9525" t="13335" r="9525" b="5715"/>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08E78AB" w14:textId="77777777" w:rsidR="008103B6" w:rsidRDefault="008103B6"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4B80AD7" w14:textId="77777777" w:rsidR="008103B6" w:rsidRDefault="008103B6"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mc:Fallback>
        </mc:AlternateContent>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75FC4" w:rsidRDefault="00C75FC4" w:rsidP="001A3B3D">
      <w:r>
        <w:separator/>
      </w:r>
    </w:p>
  </w:endnote>
  <w:endnote w:type="continuationSeparator" w:id="0">
    <w:p w:rsidR="00C75FC4" w:rsidRDefault="00C75F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BB0CB3" w:rsidP="0056610F">
    <w:pPr>
      <w:pStyle w:val="Footer"/>
      <w:jc w:val="start"/>
      <w:rPr>
        <w:sz w:val="16"/>
        <w:szCs w:val="16"/>
      </w:rPr>
    </w:pPr>
    <w:r>
      <w:rPr>
        <w:sz w:val="16"/>
        <w:szCs w:val="16"/>
      </w:rPr>
      <w:t>Wei Kit Wong - 20075628</w:t>
    </w:r>
    <w:r w:rsidR="001A3B3D" w:rsidRPr="006F6D3D">
      <w:rPr>
        <w:sz w:val="16"/>
        <w:szCs w:val="16"/>
      </w:rPr>
      <w:t xml:space="preserve"> ©20</w:t>
    </w:r>
    <w:r>
      <w:rPr>
        <w:sz w:val="16"/>
        <w:szCs w:val="16"/>
      </w:rPr>
      <w:t>19</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75FC4" w:rsidRDefault="00C75FC4" w:rsidP="001A3B3D">
      <w:r>
        <w:separator/>
      </w:r>
    </w:p>
  </w:footnote>
  <w:footnote w:type="continuationSeparator" w:id="0">
    <w:p w:rsidR="00C75FC4" w:rsidRDefault="00C75F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E27BE"/>
    <w:multiLevelType w:val="hybridMultilevel"/>
    <w:tmpl w:val="B14AECC4"/>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oNotTrackMove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569"/>
    <w:rsid w:val="0004781E"/>
    <w:rsid w:val="0008758A"/>
    <w:rsid w:val="00087881"/>
    <w:rsid w:val="000941C5"/>
    <w:rsid w:val="000A02EC"/>
    <w:rsid w:val="000C1476"/>
    <w:rsid w:val="000C1E68"/>
    <w:rsid w:val="001A2EFD"/>
    <w:rsid w:val="001A3B3D"/>
    <w:rsid w:val="001B4924"/>
    <w:rsid w:val="001B67DC"/>
    <w:rsid w:val="00217D68"/>
    <w:rsid w:val="002254A9"/>
    <w:rsid w:val="00233D97"/>
    <w:rsid w:val="002347A2"/>
    <w:rsid w:val="00236B65"/>
    <w:rsid w:val="002850E3"/>
    <w:rsid w:val="003171D7"/>
    <w:rsid w:val="00325164"/>
    <w:rsid w:val="00354FCF"/>
    <w:rsid w:val="003943B9"/>
    <w:rsid w:val="003A19E2"/>
    <w:rsid w:val="003B111D"/>
    <w:rsid w:val="003B4E04"/>
    <w:rsid w:val="003F5A08"/>
    <w:rsid w:val="00420716"/>
    <w:rsid w:val="004325FB"/>
    <w:rsid w:val="00436BFF"/>
    <w:rsid w:val="004432BA"/>
    <w:rsid w:val="0044407E"/>
    <w:rsid w:val="00445125"/>
    <w:rsid w:val="00447BB9"/>
    <w:rsid w:val="0046031D"/>
    <w:rsid w:val="00490A2A"/>
    <w:rsid w:val="004B5F2F"/>
    <w:rsid w:val="004D72B5"/>
    <w:rsid w:val="004E352C"/>
    <w:rsid w:val="004F50B4"/>
    <w:rsid w:val="00527DCF"/>
    <w:rsid w:val="00551B7F"/>
    <w:rsid w:val="0056610F"/>
    <w:rsid w:val="00575BCA"/>
    <w:rsid w:val="005B0344"/>
    <w:rsid w:val="005B520E"/>
    <w:rsid w:val="005C75B8"/>
    <w:rsid w:val="005E2800"/>
    <w:rsid w:val="00605825"/>
    <w:rsid w:val="00622D93"/>
    <w:rsid w:val="00645D22"/>
    <w:rsid w:val="00651A08"/>
    <w:rsid w:val="00654204"/>
    <w:rsid w:val="00670434"/>
    <w:rsid w:val="006B6B66"/>
    <w:rsid w:val="006D603F"/>
    <w:rsid w:val="006F4772"/>
    <w:rsid w:val="006F6D3D"/>
    <w:rsid w:val="00715BEA"/>
    <w:rsid w:val="00740EEA"/>
    <w:rsid w:val="007433ED"/>
    <w:rsid w:val="00794804"/>
    <w:rsid w:val="007B1188"/>
    <w:rsid w:val="007B33F1"/>
    <w:rsid w:val="007B6DDA"/>
    <w:rsid w:val="007C0308"/>
    <w:rsid w:val="007C2FF2"/>
    <w:rsid w:val="007D2C93"/>
    <w:rsid w:val="007D6232"/>
    <w:rsid w:val="007F1F99"/>
    <w:rsid w:val="007F768F"/>
    <w:rsid w:val="0080791D"/>
    <w:rsid w:val="00817DD2"/>
    <w:rsid w:val="00836367"/>
    <w:rsid w:val="00873603"/>
    <w:rsid w:val="008A2C7D"/>
    <w:rsid w:val="008C4B23"/>
    <w:rsid w:val="008D781B"/>
    <w:rsid w:val="008F6E2C"/>
    <w:rsid w:val="009303D9"/>
    <w:rsid w:val="00933C64"/>
    <w:rsid w:val="00972203"/>
    <w:rsid w:val="009F1D79"/>
    <w:rsid w:val="00A059B3"/>
    <w:rsid w:val="00A13BFC"/>
    <w:rsid w:val="00AE3409"/>
    <w:rsid w:val="00B11A60"/>
    <w:rsid w:val="00B22613"/>
    <w:rsid w:val="00B503FE"/>
    <w:rsid w:val="00B768D1"/>
    <w:rsid w:val="00BA1025"/>
    <w:rsid w:val="00BB0CB3"/>
    <w:rsid w:val="00BC3420"/>
    <w:rsid w:val="00BC6C06"/>
    <w:rsid w:val="00BD670B"/>
    <w:rsid w:val="00BE7D3C"/>
    <w:rsid w:val="00BF5FF6"/>
    <w:rsid w:val="00C0207F"/>
    <w:rsid w:val="00C16117"/>
    <w:rsid w:val="00C3075A"/>
    <w:rsid w:val="00C4301B"/>
    <w:rsid w:val="00C75FC4"/>
    <w:rsid w:val="00C919A4"/>
    <w:rsid w:val="00CA4392"/>
    <w:rsid w:val="00CC393F"/>
    <w:rsid w:val="00CD5CD4"/>
    <w:rsid w:val="00D2176E"/>
    <w:rsid w:val="00D473C6"/>
    <w:rsid w:val="00D632BE"/>
    <w:rsid w:val="00D72D06"/>
    <w:rsid w:val="00D7522C"/>
    <w:rsid w:val="00D7536F"/>
    <w:rsid w:val="00D76668"/>
    <w:rsid w:val="00E07383"/>
    <w:rsid w:val="00E165BC"/>
    <w:rsid w:val="00E61E12"/>
    <w:rsid w:val="00E7596C"/>
    <w:rsid w:val="00E878F2"/>
    <w:rsid w:val="00E9631A"/>
    <w:rsid w:val="00ED0149"/>
    <w:rsid w:val="00EE7CFB"/>
    <w:rsid w:val="00EF7DE3"/>
    <w:rsid w:val="00F03103"/>
    <w:rsid w:val="00F06D9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BA2276"/>
  <w15:chartTrackingRefBased/>
  <w15:docId w15:val="{FA4DE114-4028-4618-AE29-68710EF6BCB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18pt" w:after="2pt"/>
      <w:jc w:val="center"/>
    </w:pPr>
    <w:rPr>
      <w:noProof/>
      <w:sz w:val="22"/>
      <w:szCs w:val="22"/>
      <w:lang w:val="en-US" w:eastAsia="en-US"/>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lang w:val="en-US" w:eastAsia="en-US"/>
    </w:rPr>
  </w:style>
  <w:style w:type="paragraph" w:customStyle="1" w:styleId="footnote">
    <w:name w:val="footnote"/>
    <w:pPr>
      <w:framePr w:hSpace="9.35pt" w:vSpace="9.35pt" w:wrap="notBeside" w:vAnchor="text" w:hAnchor="page" w:x="306.05pt" w:y="28.85pt"/>
      <w:numPr>
        <w:numId w:val="3"/>
      </w:numPr>
      <w:spacing w:after="2pt"/>
    </w:pPr>
    <w:rPr>
      <w:sz w:val="16"/>
      <w:szCs w:val="16"/>
      <w:lang w:val="en-US" w:eastAsia="en-US"/>
    </w:rPr>
  </w:style>
  <w:style w:type="paragraph" w:customStyle="1" w:styleId="papersubtitle">
    <w:name w:val="paper subtitle"/>
    <w:pPr>
      <w:spacing w:after="6pt"/>
      <w:jc w:val="center"/>
    </w:pPr>
    <w:rPr>
      <w:rFonts w:eastAsia="MS Mincho"/>
      <w:noProof/>
      <w:sz w:val="28"/>
      <w:szCs w:val="28"/>
      <w:lang w:val="en-US" w:eastAsia="en-US"/>
    </w:rPr>
  </w:style>
  <w:style w:type="paragraph" w:customStyle="1" w:styleId="papertitle">
    <w:name w:val="paper title"/>
    <w:pPr>
      <w:spacing w:after="6pt"/>
      <w:jc w:val="center"/>
    </w:pPr>
    <w:rPr>
      <w:rFonts w:eastAsia="MS Mincho"/>
      <w:noProof/>
      <w:sz w:val="48"/>
      <w:szCs w:val="48"/>
      <w:lang w:val="en-US" w:eastAsia="en-US"/>
    </w:rPr>
  </w:style>
  <w:style w:type="paragraph" w:customStyle="1" w:styleId="references">
    <w:name w:val="references"/>
    <w:pPr>
      <w:numPr>
        <w:numId w:val="8"/>
      </w:numPr>
      <w:spacing w:after="2.50pt" w:line="9pt" w:lineRule="exact"/>
      <w:jc w:val="both"/>
    </w:pPr>
    <w:rPr>
      <w:rFonts w:eastAsia="MS Mincho"/>
      <w:noProof/>
      <w:sz w:val="16"/>
      <w:szCs w:val="16"/>
      <w:lang w:val="en-US" w:eastAsia="en-US"/>
    </w:rPr>
  </w:style>
  <w:style w:type="paragraph" w:customStyle="1" w:styleId="sponsors">
    <w:name w:val="sponsors"/>
    <w:pPr>
      <w:framePr w:wrap="auto" w:hAnchor="text" w:x="30.75pt" w:y="111.95pt"/>
      <w:pBdr>
        <w:top w:val="single" w:sz="4" w:space="2" w:color="auto"/>
      </w:pBdr>
      <w:ind w:firstLine="14.40pt"/>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3pt" w:after="1.50pt"/>
      <w:ind w:start="2.90pt" w:hanging="1.45pt"/>
      <w:jc w:val="end"/>
    </w:pPr>
    <w:rPr>
      <w:sz w:val="12"/>
      <w:szCs w:val="12"/>
      <w:lang w:val="en-US" w:eastAsia="en-US"/>
    </w:rPr>
  </w:style>
  <w:style w:type="paragraph" w:customStyle="1" w:styleId="tablehead">
    <w:name w:val="table head"/>
    <w:pPr>
      <w:numPr>
        <w:numId w:val="9"/>
      </w:numPr>
      <w:spacing w:before="12pt" w:after="6pt" w:line="10.80pt" w:lineRule="auto"/>
      <w:jc w:val="center"/>
    </w:pPr>
    <w:rPr>
      <w:smallCaps/>
      <w:noProof/>
      <w:sz w:val="16"/>
      <w:szCs w:val="16"/>
      <w:lang w:val="en-US" w:eastAsia="en-US"/>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02C721F-0BD3-4D8C-89C1-F8DB7EAFE36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73</TotalTime>
  <Pages>3</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Andy Wong</cp:lastModifiedBy>
  <cp:revision>17</cp:revision>
  <dcterms:created xsi:type="dcterms:W3CDTF">2020-01-01T21:38:00Z</dcterms:created>
  <dcterms:modified xsi:type="dcterms:W3CDTF">2020-01-02T20:44:00Z</dcterms:modified>
</cp:coreProperties>
</file>