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442B"/>
          <w:sz w:val="22"/>
        </w:rPr>
        <w:t>CloudMigrate.in</w:t>
      </w:r>
    </w:p>
    <w:p>
      <w:r>
        <w:rPr>
          <w:b/>
          <w:sz w:val="52"/>
        </w:rPr>
        <w:t>Proof of Concept Charter</w:t>
      </w:r>
    </w:p>
    <w:p>
      <w:r>
        <w:rPr>
          <w:color w:val="676C6E"/>
          <w:sz w:val="24"/>
        </w:rPr>
        <w:t>Template with a worked example for Amazon Web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BE7DC"/>
          </w:tcPr>
          <w:p>
            <w:r>
              <w:t>Cloud</w:t>
            </w:r>
          </w:p>
        </w:tc>
        <w:tc>
          <w:tcPr>
            <w:tcW w:type="dxa" w:w="4873"/>
          </w:tcPr>
          <w:p>
            <w:r>
              <w:t>Amazon Web Services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v1.0 — 21 Oct 2026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Customer</w:t>
            </w:r>
          </w:p>
        </w:tc>
        <w:tc>
          <w:tcPr>
            <w:tcW w:type="dxa" w:w="4873"/>
          </w:tcPr>
          <w:p>
            <w:r>
              <w:t>[Customer name]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Owner</w:t>
            </w:r>
          </w:p>
        </w:tc>
        <w:tc>
          <w:tcPr>
            <w:tcW w:type="dxa" w:w="4873"/>
          </w:tcPr>
          <w:p>
            <w:r>
              <w:t>[Programme / migration lead]</w:t>
            </w:r>
          </w:p>
        </w:tc>
      </w:tr>
    </w:tbl>
    <w:p/>
    <w:p>
      <w:r>
        <w:rPr>
          <w:i/>
          <w:color w:val="676C6E"/>
          <w:sz w:val="18"/>
        </w:rPr>
        <w:t>Template provided as-is. Replace bracketed text, delete guidance you do not need, and validate vendor programme terms before use.</w:t>
      </w:r>
    </w:p>
    <w:p>
      <w:pPr>
        <w:pStyle w:val="Heading1"/>
      </w:pPr>
      <w:r>
        <w:t>1.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POC title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Generative-AI policy assistant on Amazon Bedrock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Start / decision 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[dd-mmm-yyyy] / [dd-mmm-yyyy]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Time box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4–6 weeks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Isolated sandbox in Amazon Web Services with budget alerts and guardrails</w:t>
            </w:r>
          </w:p>
        </w:tc>
      </w:tr>
    </w:tbl>
    <w:p/>
    <w:p>
      <w:pPr>
        <w:pStyle w:val="Heading1"/>
      </w:pPr>
      <w:r>
        <w:t>2. Business question and hypothesis</w:t>
      </w:r>
    </w:p>
    <w:p>
      <w:r>
        <w:t>Business question: [What decision will this POC enable?]</w:t>
      </w:r>
    </w:p>
    <w:p>
      <w:r>
        <w:t>Hypothesis (example): A retrieval-augmented assistant over the policy library can answer 80% of tier-1 employee policy questions correctly, with citations, at under ₹2 per conversation.</w:t>
      </w:r>
    </w:p>
    <w:p>
      <w:pPr>
        <w:pStyle w:val="Heading1"/>
      </w:pPr>
      <w:r>
        <w:t>3. Success criteria</w:t>
      </w:r>
    </w:p>
    <w:p>
      <w:r>
        <w:t>Each criterion must be measurable and agreed by the sponsor before build starts.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Measurement method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Answer accuracy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≥ 80% correct on a 200-question gold set reviewed by HR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Grounding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100% of answers cite a source document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Safety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0 policy-violating responses on the red-team set (Bedrock Guardrails)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Latency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p95 response ≤ 4 seconds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Unit cost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≤ ₹2 per conversation at projected volume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Scope</w:t>
      </w:r>
    </w:p>
    <w:p>
      <w:r>
        <w:t>In scope:</w:t>
      </w:r>
    </w:p>
    <w:p>
      <w:pPr>
        <w:pStyle w:val="ListBullet"/>
      </w:pPr>
      <w:r>
        <w:t>[Use cases / user journeys]</w:t>
      </w:r>
    </w:p>
    <w:p>
      <w:pPr>
        <w:pStyle w:val="ListBullet"/>
      </w:pPr>
      <w:r>
        <w:t>[Data sets and volumes]</w:t>
      </w:r>
    </w:p>
    <w:p>
      <w:pPr>
        <w:pStyle w:val="ListBullet"/>
      </w:pPr>
      <w:r>
        <w:t>[Integrations]</w:t>
      </w:r>
    </w:p>
    <w:p>
      <w:r>
        <w:t>Out of scope:</w:t>
      </w:r>
    </w:p>
    <w:p>
      <w:pPr>
        <w:pStyle w:val="ListBullet"/>
      </w:pPr>
      <w:r>
        <w:t>Production cut-over</w:t>
      </w:r>
    </w:p>
    <w:p>
      <w:pPr>
        <w:pStyle w:val="ListBullet"/>
      </w:pPr>
      <w:r>
        <w:t>Full HA / DR (designed, not built)</w:t>
      </w:r>
    </w:p>
    <w:p>
      <w:pPr>
        <w:pStyle w:val="ListBullet"/>
      </w:pPr>
      <w:r>
        <w:t>[Other exclusions]</w:t>
      </w:r>
    </w:p>
    <w:p>
      <w:pPr>
        <w:pStyle w:val="Heading1"/>
      </w:pPr>
      <w:r>
        <w:t>5. Architecture (POC)</w:t>
      </w:r>
    </w:p>
    <w:p>
      <w:r>
        <w:t>Services (example): Amazon Bedrock, Knowledge Bases, OpenSearch Serverless, Lambda, API Gateway, Cognito.</w:t>
      </w:r>
    </w:p>
    <w:p>
      <w:r>
        <w:t>Guardrails: AWS Control Tower + AWS Organizations (OUs, SCPs); IAM Identity Center federated to the corporate IdP; budgets and alerts; data classification applied to POC data; no production credentials.</w:t>
      </w:r>
    </w:p>
    <w:p>
      <w:pPr>
        <w:pStyle w:val="Heading1"/>
      </w:pPr>
      <w:r>
        <w:t>6.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Data set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141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[e.g. policy documents]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[Internal / Personal]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[GB / rows]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[System]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[Masked / synthetic / approved copy]</w:t>
            </w:r>
          </w:p>
        </w:tc>
      </w:tr>
    </w:tbl>
    <w:p/>
    <w:p>
      <w:pPr>
        <w:pStyle w:val="Heading1"/>
      </w:pPr>
      <w:r>
        <w:t>7.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51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34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Charter sign-off, environment, data access, test set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Signed charter, sandbox ready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2–3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Build minimum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Working POC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Testing against criteria; user feedback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Results log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Cost model, production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Production design and estimate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Read-out and decision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Go / no-go</w:t>
            </w:r>
          </w:p>
        </w:tc>
      </w:tr>
    </w:tbl>
    <w:p/>
    <w:p>
      <w:pPr>
        <w:pStyle w:val="Heading1"/>
      </w:pPr>
      <w:r>
        <w:t>8.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819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Sponsor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Owns the decision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Design and delivery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Data owner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data use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guardrails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Users / testers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Evaluate outcomes</w:t>
            </w:r>
          </w:p>
        </w:tc>
      </w:tr>
    </w:tbl>
    <w:p/>
    <w:p>
      <w:pPr>
        <w:pStyle w:val="Heading1"/>
      </w:pPr>
      <w:r>
        <w:t>9. Risks and assumptions</w:t>
      </w:r>
    </w:p>
    <w:p>
      <w:pPr>
        <w:pStyle w:val="ListBullet"/>
      </w:pPr>
      <w:r>
        <w:t>Data access approved by [date].</w:t>
      </w:r>
    </w:p>
    <w:p>
      <w:pPr>
        <w:pStyle w:val="ListBullet"/>
      </w:pPr>
      <w:r>
        <w:t>Test users available in week 4.</w:t>
      </w:r>
    </w:p>
    <w:p>
      <w:pPr>
        <w:pStyle w:val="ListBullet"/>
      </w:pPr>
      <w:r>
        <w:t>Vendor quotas / service availability in the target region confirmed.</w:t>
      </w:r>
    </w:p>
    <w:p>
      <w:pPr>
        <w:pStyle w:val="ListBullet"/>
      </w:pPr>
      <w:r>
        <w:t>[Other]</w:t>
      </w:r>
    </w:p>
    <w:p>
      <w:pPr>
        <w:pStyle w:val="Heading1"/>
      </w:pPr>
      <w:r>
        <w:t>10. Funding</w:t>
      </w:r>
    </w:p>
    <w:p>
      <w:pPr>
        <w:pStyle w:val="ListBullet"/>
      </w:pPr>
      <w:r>
        <w:t>Migration Acceleration Program (MAP) — Assess — Discovery, TCO and migration readiness</w:t>
      </w:r>
    </w:p>
    <w:p>
      <w:pPr>
        <w:pStyle w:val="ListBullet"/>
      </w:pPr>
      <w:r>
        <w:t>MAP — Mobilize — Landing zone, pilot migrations, skills</w:t>
      </w:r>
    </w:p>
    <w:p>
      <w:pPr>
        <w:pStyle w:val="ListBullet"/>
      </w:pPr>
      <w:r>
        <w:t>MAP — Migrate &amp; Modernize — Credits on migrated workloads</w:t>
      </w:r>
    </w:p>
    <w:p>
      <w:pPr>
        <w:pStyle w:val="Heading1"/>
      </w:pPr>
      <w:r>
        <w:t>11. Decision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Next steps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Signed (sponsor)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[Go / No-go / Extend]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12.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19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9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19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