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8442B"/>
          <w:sz w:val="22"/>
        </w:rPr>
        <w:t>CloudMigrate.in</w:t>
      </w:r>
    </w:p>
    <w:p>
      <w:r>
        <w:rPr>
          <w:b/>
          <w:sz w:val="52"/>
        </w:rPr>
        <w:t>Migration Handbook</w:t>
      </w:r>
    </w:p>
    <w:p>
      <w:r>
        <w:rPr>
          <w:color w:val="676C6E"/>
          <w:sz w:val="24"/>
        </w:rPr>
        <w:t>How we plan, execute and hand over migrations to Microsoft Azure</w:t>
      </w:r>
    </w:p>
    <w:tbl>
      <w:tblPr>
        <w:tblStyle w:val="TableGrid"/>
        <w:tblW w:type="auto" w:w="0"/>
        <w:tblLook w:firstColumn="1" w:firstRow="1" w:lastColumn="0" w:lastRow="0" w:noHBand="0" w:noVBand="1" w:val="04A0"/>
      </w:tblPr>
      <w:tblGrid>
        <w:gridCol w:w="4873"/>
        <w:gridCol w:w="4873"/>
      </w:tblGrid>
      <w:tr>
        <w:tc>
          <w:tcPr>
            <w:tcW w:type="dxa" w:w="4873"/>
            <w:shd w:val="clear" w:color="auto" w:fill="EBE7DC"/>
          </w:tcPr>
          <w:p>
            <w:r>
              <w:t>Cloud</w:t>
            </w:r>
          </w:p>
        </w:tc>
        <w:tc>
          <w:tcPr>
            <w:tcW w:type="dxa" w:w="4873"/>
          </w:tcPr>
          <w:p>
            <w:r>
              <w:t>Microsoft Azure</w:t>
            </w:r>
          </w:p>
        </w:tc>
      </w:tr>
      <w:tr>
        <w:tc>
          <w:tcPr>
            <w:tcW w:type="dxa" w:w="4873"/>
            <w:shd w:val="clear" w:color="auto" w:fill="EBE7DC"/>
          </w:tcPr>
          <w:p>
            <w:r>
              <w:t>Version</w:t>
            </w:r>
          </w:p>
        </w:tc>
        <w:tc>
          <w:tcPr>
            <w:tcW w:type="dxa" w:w="4873"/>
          </w:tcPr>
          <w:p>
            <w:r>
              <w:t>v1.0 — 21 Oct 2026</w:t>
            </w:r>
          </w:p>
        </w:tc>
      </w:tr>
      <w:tr>
        <w:tc>
          <w:tcPr>
            <w:tcW w:type="dxa" w:w="4873"/>
            <w:shd w:val="clear" w:color="auto" w:fill="EBE7DC"/>
          </w:tcPr>
          <w:p>
            <w:r>
              <w:t>Customer</w:t>
            </w:r>
          </w:p>
        </w:tc>
        <w:tc>
          <w:tcPr>
            <w:tcW w:type="dxa" w:w="4873"/>
          </w:tcPr>
          <w:p>
            <w:r>
              <w:t>[Customer name]</w:t>
            </w:r>
          </w:p>
        </w:tc>
      </w:tr>
      <w:tr>
        <w:tc>
          <w:tcPr>
            <w:tcW w:type="dxa" w:w="4873"/>
            <w:shd w:val="clear" w:color="auto" w:fill="EBE7DC"/>
          </w:tcPr>
          <w:p>
            <w:r>
              <w:t>Owner</w:t>
            </w:r>
          </w:p>
        </w:tc>
        <w:tc>
          <w:tcPr>
            <w:tcW w:type="dxa" w:w="4873"/>
          </w:tcPr>
          <w:p>
            <w:r>
              <w:t>[Programme / migration lead]</w:t>
            </w:r>
          </w:p>
        </w:tc>
      </w:tr>
    </w:tbl>
    <w:p/>
    <w:p>
      <w:r>
        <w:rPr>
          <w:i/>
          <w:color w:val="676C6E"/>
          <w:sz w:val="18"/>
        </w:rPr>
        <w:t>Template provided as-is. Replace bracketed text, delete guidance you do not need, and validate vendor programme terms before use.</w:t>
      </w:r>
    </w:p>
    <w:p>
      <w:pPr>
        <w:pStyle w:val="Heading1"/>
      </w:pPr>
      <w:r>
        <w:t>1. Purpose and scope</w:t>
      </w:r>
    </w:p>
    <w:p>
      <w:r>
        <w:t>This handbook is the single operating guide for migrating workloads to Microsoft Azure. It defines the phases, roles, standards, tools, quality gates and evidence that every wave follows. It is written for programme leads, architects, migration engineers, DBAs, security and operations teams, and for customer stakeholders who approve each stage.</w:t>
      </w:r>
    </w:p>
    <w:p>
      <w:r>
        <w:t>In scope: [list applications, environments, data centres]. Out of scope: [list]. Target completion: [date].</w:t>
      </w:r>
    </w:p>
    <w:p>
      <w:pPr>
        <w:pStyle w:val="Heading1"/>
      </w:pPr>
      <w:r>
        <w:t>2. Principles</w:t>
      </w:r>
    </w:p>
    <w:p>
      <w:pPr>
        <w:pStyle w:val="ListBullet"/>
      </w:pPr>
      <w:r>
        <w:t>Foundation before workloads — no production workload lands before the landing zone, identity, network, logging and backup baselines are live.</w:t>
      </w:r>
    </w:p>
    <w:p>
      <w:pPr>
        <w:pStyle w:val="ListBullet"/>
      </w:pPr>
      <w:r>
        <w:t>Measure, don't guess — size from at least 14 days of utilisation data (p95), and validate dependencies with application owners.</w:t>
      </w:r>
    </w:p>
    <w:p>
      <w:pPr>
        <w:pStyle w:val="ListBullet"/>
      </w:pPr>
      <w:r>
        <w:t>Same runbook every wave — repeatability beats heroics; durations are updated after every rehearsal.</w:t>
      </w:r>
    </w:p>
    <w:p>
      <w:pPr>
        <w:pStyle w:val="ListBullet"/>
      </w:pPr>
      <w:r>
        <w:t>Rollback is designed, rehearsed and owned — every cutover has a named rollback decision owner and a deadline.</w:t>
      </w:r>
    </w:p>
    <w:p>
      <w:pPr>
        <w:pStyle w:val="ListBullet"/>
      </w:pPr>
      <w:r>
        <w:t>Security and compliance are built in — residency, encryption, logging (≥ 180 days in India) and least privilege from day one.</w:t>
      </w:r>
    </w:p>
    <w:p>
      <w:pPr>
        <w:pStyle w:val="ListBullet"/>
      </w:pPr>
      <w:r>
        <w:t>Evidence as we go — funding, audit and acceptance evidence is captured per wave, not reconstructed later.</w:t>
      </w:r>
    </w:p>
    <w:p>
      <w:pPr>
        <w:pStyle w:val="ListBullet"/>
      </w:pPr>
      <w:r>
        <w:t>Optimise after landing — commitments and right-sizing follow 30–60 days of real telemetry.</w:t>
      </w:r>
    </w:p>
    <w:p>
      <w:pPr>
        <w:pStyle w:val="Heading1"/>
      </w:pPr>
      <w:r>
        <w:t>3. Governance and roles</w:t>
      </w:r>
    </w:p>
    <w:tbl>
      <w:tblPr>
        <w:tblStyle w:val="TableGrid"/>
        <w:tblW w:type="auto" w:w="0"/>
        <w:jc w:val="left"/>
        <w:tblLook w:firstColumn="1" w:firstRow="1" w:lastColumn="0" w:lastRow="0" w:noHBand="0" w:noVBand="1" w:val="04A0"/>
      </w:tblPr>
      <w:tblGrid>
        <w:gridCol w:w="4873"/>
        <w:gridCol w:w="4873"/>
      </w:tblGrid>
      <w:tr>
        <w:tc>
          <w:tcPr>
            <w:tcW w:type="dxa" w:w="2835"/>
            <w:shd w:val="clear" w:color="auto" w:fill="15191C"/>
          </w:tcPr>
          <w:p>
            <w:r/>
            <w:r>
              <w:rPr>
                <w:b/>
                <w:color w:val="FFFFFF"/>
                <w:sz w:val="19"/>
              </w:rPr>
              <w:t>Role</w:t>
            </w:r>
          </w:p>
        </w:tc>
        <w:tc>
          <w:tcPr>
            <w:tcW w:type="dxa" w:w="6520"/>
            <w:shd w:val="clear" w:color="auto" w:fill="15191C"/>
          </w:tcPr>
          <w:p>
            <w:r/>
            <w:r>
              <w:rPr>
                <w:b/>
                <w:color w:val="FFFFFF"/>
                <w:sz w:val="19"/>
              </w:rPr>
              <w:t>Responsibilities</w:t>
            </w:r>
          </w:p>
        </w:tc>
      </w:tr>
      <w:tr>
        <w:tc>
          <w:tcPr>
            <w:tcW w:type="dxa" w:w="2835"/>
          </w:tcPr>
          <w:p>
            <w:r>
              <w:rPr>
                <w:sz w:val="19"/>
              </w:rPr>
              <w:t>Executive sponsor</w:t>
            </w:r>
          </w:p>
        </w:tc>
        <w:tc>
          <w:tcPr>
            <w:tcW w:type="dxa" w:w="6520"/>
          </w:tcPr>
          <w:p>
            <w:r>
              <w:rPr>
                <w:sz w:val="19"/>
              </w:rPr>
              <w:t>Owns the business case, resolves escalations, chairs steering committee.</w:t>
            </w:r>
          </w:p>
        </w:tc>
      </w:tr>
      <w:tr>
        <w:tc>
          <w:tcPr>
            <w:tcW w:type="dxa" w:w="2835"/>
          </w:tcPr>
          <w:p>
            <w:r>
              <w:rPr>
                <w:sz w:val="19"/>
              </w:rPr>
              <w:t>Programme lead</w:t>
            </w:r>
          </w:p>
        </w:tc>
        <w:tc>
          <w:tcPr>
            <w:tcW w:type="dxa" w:w="6520"/>
          </w:tcPr>
          <w:p>
            <w:r>
              <w:rPr>
                <w:sz w:val="19"/>
              </w:rPr>
              <w:t>Plan, budget, RAID log, wave board, vendor coordination, reporting.</w:t>
            </w:r>
          </w:p>
        </w:tc>
      </w:tr>
      <w:tr>
        <w:tc>
          <w:tcPr>
            <w:tcW w:type="dxa" w:w="2835"/>
          </w:tcPr>
          <w:p>
            <w:r>
              <w:rPr>
                <w:sz w:val="19"/>
              </w:rPr>
              <w:t>Lead architect</w:t>
            </w:r>
          </w:p>
        </w:tc>
        <w:tc>
          <w:tcPr>
            <w:tcW w:type="dxa" w:w="6520"/>
          </w:tcPr>
          <w:p>
            <w:r>
              <w:rPr>
                <w:sz w:val="19"/>
              </w:rPr>
              <w:t>Target architecture, landing zone, design authority, technical risk.</w:t>
            </w:r>
          </w:p>
        </w:tc>
      </w:tr>
      <w:tr>
        <w:tc>
          <w:tcPr>
            <w:tcW w:type="dxa" w:w="2835"/>
          </w:tcPr>
          <w:p>
            <w:r>
              <w:rPr>
                <w:sz w:val="19"/>
              </w:rPr>
              <w:t>Migration engineers</w:t>
            </w:r>
          </w:p>
        </w:tc>
        <w:tc>
          <w:tcPr>
            <w:tcW w:type="dxa" w:w="6520"/>
          </w:tcPr>
          <w:p>
            <w:r>
              <w:rPr>
                <w:sz w:val="19"/>
              </w:rPr>
              <w:t>Replication, test migrations, cutover execution, runbooks.</w:t>
            </w:r>
          </w:p>
        </w:tc>
      </w:tr>
      <w:tr>
        <w:tc>
          <w:tcPr>
            <w:tcW w:type="dxa" w:w="2835"/>
          </w:tcPr>
          <w:p>
            <w:r>
              <w:rPr>
                <w:sz w:val="19"/>
              </w:rPr>
              <w:t>DBA</w:t>
            </w:r>
          </w:p>
        </w:tc>
        <w:tc>
          <w:tcPr>
            <w:tcW w:type="dxa" w:w="6520"/>
          </w:tcPr>
          <w:p>
            <w:r>
              <w:rPr>
                <w:sz w:val="19"/>
              </w:rPr>
              <w:t>Database migration method, validation, performance, rollback for data.</w:t>
            </w:r>
          </w:p>
        </w:tc>
      </w:tr>
      <w:tr>
        <w:tc>
          <w:tcPr>
            <w:tcW w:type="dxa" w:w="2835"/>
          </w:tcPr>
          <w:p>
            <w:r>
              <w:rPr>
                <w:sz w:val="19"/>
              </w:rPr>
              <w:t>Security lead</w:t>
            </w:r>
          </w:p>
        </w:tc>
        <w:tc>
          <w:tcPr>
            <w:tcW w:type="dxa" w:w="6520"/>
          </w:tcPr>
          <w:p>
            <w:r>
              <w:rPr>
                <w:sz w:val="19"/>
              </w:rPr>
              <w:t>Controls, approvals, logging, incident response readiness, regulatory mapping.</w:t>
            </w:r>
          </w:p>
        </w:tc>
      </w:tr>
      <w:tr>
        <w:tc>
          <w:tcPr>
            <w:tcW w:type="dxa" w:w="2835"/>
          </w:tcPr>
          <w:p>
            <w:r>
              <w:rPr>
                <w:sz w:val="19"/>
              </w:rPr>
              <w:t>Network lead</w:t>
            </w:r>
          </w:p>
        </w:tc>
        <w:tc>
          <w:tcPr>
            <w:tcW w:type="dxa" w:w="6520"/>
          </w:tcPr>
          <w:p>
            <w:r>
              <w:rPr>
                <w:sz w:val="19"/>
              </w:rPr>
              <w:t>Connectivity, IP plan, DNS, firewall rules, load-balancer changes.</w:t>
            </w:r>
          </w:p>
        </w:tc>
      </w:tr>
      <w:tr>
        <w:tc>
          <w:tcPr>
            <w:tcW w:type="dxa" w:w="2835"/>
          </w:tcPr>
          <w:p>
            <w:r>
              <w:rPr>
                <w:sz w:val="19"/>
              </w:rPr>
              <w:t>Application owners</w:t>
            </w:r>
          </w:p>
        </w:tc>
        <w:tc>
          <w:tcPr>
            <w:tcW w:type="dxa" w:w="6520"/>
          </w:tcPr>
          <w:p>
            <w:r>
              <w:rPr>
                <w:sz w:val="19"/>
              </w:rPr>
              <w:t>Disposition sign-off, test scripts, business validation, go-live acceptance.</w:t>
            </w:r>
          </w:p>
        </w:tc>
      </w:tr>
      <w:tr>
        <w:tc>
          <w:tcPr>
            <w:tcW w:type="dxa" w:w="2835"/>
          </w:tcPr>
          <w:p>
            <w:r>
              <w:rPr>
                <w:sz w:val="19"/>
              </w:rPr>
              <w:t>Operations lead</w:t>
            </w:r>
          </w:p>
        </w:tc>
        <w:tc>
          <w:tcPr>
            <w:tcW w:type="dxa" w:w="6520"/>
          </w:tcPr>
          <w:p>
            <w:r>
              <w:rPr>
                <w:sz w:val="19"/>
              </w:rPr>
              <w:t>Run-team readiness, monitoring, hypercare, handover acceptance.</w:t>
            </w:r>
          </w:p>
        </w:tc>
      </w:tr>
    </w:tbl>
    <w:p/>
    <w:p>
      <w:r>
        <w:t>Cadence: daily wave stand-up during execution; weekly design authority; fortnightly steering committee; go / no-go before every cutover.</w:t>
      </w:r>
    </w:p>
    <w:p>
      <w:pPr>
        <w:pStyle w:val="Heading1"/>
      </w:pPr>
      <w:r>
        <w:t>4. Migration lifecycle</w:t>
      </w:r>
    </w:p>
    <w:p>
      <w:pPr>
        <w:pStyle w:val="Heading2"/>
      </w:pPr>
      <w:r>
        <w:t>4.1 Assess</w:t>
      </w:r>
    </w:p>
    <w:p>
      <w:r>
        <w:t>Discovery with Azure Migrate appliance (+ Dr. Migrate insights where required); application portfolio; dependency mapping; 7R dispositions; TCO and business case; wave plan.</w:t>
      </w:r>
    </w:p>
    <w:p>
      <w:r>
        <w:t>Exit criteria / outputs:</w:t>
      </w:r>
    </w:p>
    <w:p>
      <w:pPr>
        <w:pStyle w:val="ListBullet"/>
      </w:pPr>
      <w:r>
        <w:t>Discovery data set</w:t>
      </w:r>
    </w:p>
    <w:p>
      <w:pPr>
        <w:pStyle w:val="ListBullet"/>
      </w:pPr>
      <w:r>
        <w:t>Application portfolio with owners</w:t>
      </w:r>
    </w:p>
    <w:p>
      <w:pPr>
        <w:pStyle w:val="ListBullet"/>
      </w:pPr>
      <w:r>
        <w:t>Business case</w:t>
      </w:r>
    </w:p>
    <w:p>
      <w:pPr>
        <w:pStyle w:val="ListBullet"/>
      </w:pPr>
      <w:r>
        <w:t>Wave plan</w:t>
      </w:r>
    </w:p>
    <w:p>
      <w:pPr>
        <w:pStyle w:val="Heading2"/>
      </w:pPr>
      <w:r>
        <w:t>4.2 Mobilise / foundation</w:t>
      </w:r>
    </w:p>
    <w:p>
      <w:r>
        <w:t>Azure Landing Zones (CAF) — management groups, Azure Policy; Microsoft Entra ID with Privileged Identity Management and Conditional Access; Hub-and-spoke or Virtual WAN with Azure Firewall; Azure ExpressRoute (primary) + VPN Gateway (backup); logging, security and backup baselines; pilot wave.</w:t>
      </w:r>
    </w:p>
    <w:p>
      <w:r>
        <w:t>Exit criteria / outputs:</w:t>
      </w:r>
    </w:p>
    <w:p>
      <w:pPr>
        <w:pStyle w:val="ListBullet"/>
      </w:pPr>
      <w:r>
        <w:t>Landing zone as code</w:t>
      </w:r>
    </w:p>
    <w:p>
      <w:pPr>
        <w:pStyle w:val="ListBullet"/>
      </w:pPr>
      <w:r>
        <w:t>Connectivity tested</w:t>
      </w:r>
    </w:p>
    <w:p>
      <w:pPr>
        <w:pStyle w:val="ListBullet"/>
      </w:pPr>
      <w:r>
        <w:t>Security baseline</w:t>
      </w:r>
    </w:p>
    <w:p>
      <w:pPr>
        <w:pStyle w:val="ListBullet"/>
      </w:pPr>
      <w:r>
        <w:t>Pilot wave completed</w:t>
      </w:r>
    </w:p>
    <w:p>
      <w:pPr>
        <w:pStyle w:val="Heading2"/>
      </w:pPr>
      <w:r>
        <w:t>4.3 Migrate (waves)</w:t>
      </w:r>
    </w:p>
    <w:p>
      <w:r>
        <w:t>Server replication with Azure Migrate server migration / Azure Site Recovery; databases with Azure Database Migration Service / SQL Managed Instance link; bulk data with Azure Data Box / Azure Storage Mover / AzCopy; VMware with Azure VMware Solution with VMware HCX.</w:t>
      </w:r>
    </w:p>
    <w:p>
      <w:r>
        <w:t>Exit criteria / outputs:</w:t>
      </w:r>
    </w:p>
    <w:p>
      <w:pPr>
        <w:pStyle w:val="ListBullet"/>
      </w:pPr>
      <w:r>
        <w:t>Per-wave runbook</w:t>
      </w:r>
    </w:p>
    <w:p>
      <w:pPr>
        <w:pStyle w:val="ListBullet"/>
      </w:pPr>
      <w:r>
        <w:t>Test migration results</w:t>
      </w:r>
    </w:p>
    <w:p>
      <w:pPr>
        <w:pStyle w:val="ListBullet"/>
      </w:pPr>
      <w:r>
        <w:t>Cutover sign-off</w:t>
      </w:r>
    </w:p>
    <w:p>
      <w:pPr>
        <w:pStyle w:val="ListBullet"/>
      </w:pPr>
      <w:r>
        <w:t>Reconciliation evidence</w:t>
      </w:r>
    </w:p>
    <w:p>
      <w:pPr>
        <w:pStyle w:val="Heading2"/>
      </w:pPr>
      <w:r>
        <w:t>4.4 Hypercare and handover</w:t>
      </w:r>
    </w:p>
    <w:p>
      <w:r>
        <w:t>72-hour intensive monitoring, daily owner check-ins, defect triage, run-team handover.</w:t>
      </w:r>
    </w:p>
    <w:p>
      <w:r>
        <w:t>Exit criteria / outputs:</w:t>
      </w:r>
    </w:p>
    <w:p>
      <w:pPr>
        <w:pStyle w:val="ListBullet"/>
      </w:pPr>
      <w:r>
        <w:t>Hypercare log</w:t>
      </w:r>
    </w:p>
    <w:p>
      <w:pPr>
        <w:pStyle w:val="ListBullet"/>
      </w:pPr>
      <w:r>
        <w:t>Handover acceptance</w:t>
      </w:r>
    </w:p>
    <w:p>
      <w:pPr>
        <w:pStyle w:val="ListBullet"/>
      </w:pPr>
      <w:r>
        <w:t>Updated CMDB</w:t>
      </w:r>
    </w:p>
    <w:p>
      <w:pPr>
        <w:pStyle w:val="Heading2"/>
      </w:pPr>
      <w:r>
        <w:t>4.5 Optimise</w:t>
      </w:r>
    </w:p>
    <w:p>
      <w:r>
        <w:t>Right-sizing, Azure Reservations, Azure savings plan for compute, Azure Hybrid Benefit, modernisation backlog, decommissioning of source systems.</w:t>
      </w:r>
    </w:p>
    <w:p>
      <w:r>
        <w:t>Exit criteria / outputs:</w:t>
      </w:r>
    </w:p>
    <w:p>
      <w:pPr>
        <w:pStyle w:val="ListBullet"/>
      </w:pPr>
      <w:r>
        <w:t>Optimisation report</w:t>
      </w:r>
    </w:p>
    <w:p>
      <w:pPr>
        <w:pStyle w:val="ListBullet"/>
      </w:pPr>
      <w:r>
        <w:t>Commitment plan</w:t>
      </w:r>
    </w:p>
    <w:p>
      <w:pPr>
        <w:pStyle w:val="ListBullet"/>
      </w:pPr>
      <w:r>
        <w:t>Decommission certificates</w:t>
      </w:r>
    </w:p>
    <w:p>
      <w:pPr>
        <w:pStyle w:val="Heading1"/>
      </w:pPr>
      <w:r>
        <w:t>5. Landing-zone reference</w:t>
      </w:r>
    </w:p>
    <w:tbl>
      <w:tblPr>
        <w:tblStyle w:val="TableGrid"/>
        <w:tblW w:type="auto" w:w="0"/>
        <w:jc w:val="left"/>
        <w:tblLook w:firstColumn="1" w:firstRow="1" w:lastColumn="0" w:lastRow="0" w:noHBand="0" w:noVBand="1" w:val="04A0"/>
      </w:tblPr>
      <w:tblGrid>
        <w:gridCol w:w="4873"/>
        <w:gridCol w:w="4873"/>
      </w:tblGrid>
      <w:tr>
        <w:tc>
          <w:tcPr>
            <w:tcW w:type="dxa" w:w="2835"/>
            <w:shd w:val="clear" w:color="auto" w:fill="15191C"/>
          </w:tcPr>
          <w:p>
            <w:r/>
            <w:r>
              <w:rPr>
                <w:b/>
                <w:color w:val="FFFFFF"/>
                <w:sz w:val="19"/>
              </w:rPr>
              <w:t>Capability</w:t>
            </w:r>
          </w:p>
        </w:tc>
        <w:tc>
          <w:tcPr>
            <w:tcW w:type="dxa" w:w="6520"/>
            <w:shd w:val="clear" w:color="auto" w:fill="15191C"/>
          </w:tcPr>
          <w:p>
            <w:r/>
            <w:r>
              <w:rPr>
                <w:b/>
                <w:color w:val="FFFFFF"/>
                <w:sz w:val="19"/>
              </w:rPr>
              <w:t>Azure standard</w:t>
            </w:r>
          </w:p>
        </w:tc>
      </w:tr>
      <w:tr>
        <w:tc>
          <w:tcPr>
            <w:tcW w:type="dxa" w:w="2835"/>
          </w:tcPr>
          <w:p>
            <w:r>
              <w:rPr>
                <w:sz w:val="19"/>
              </w:rPr>
              <w:t>Regions</w:t>
            </w:r>
          </w:p>
        </w:tc>
        <w:tc>
          <w:tcPr>
            <w:tcW w:type="dxa" w:w="6520"/>
          </w:tcPr>
          <w:p>
            <w:r>
              <w:rPr>
                <w:sz w:val="19"/>
              </w:rPr>
              <w:t>Central India (Pune), South India (Chennai), West India (Mumbai)</w:t>
            </w:r>
          </w:p>
        </w:tc>
      </w:tr>
      <w:tr>
        <w:tc>
          <w:tcPr>
            <w:tcW w:type="dxa" w:w="2835"/>
          </w:tcPr>
          <w:p>
            <w:r>
              <w:rPr>
                <w:sz w:val="19"/>
              </w:rPr>
              <w:t>Structure &amp; guardrails</w:t>
            </w:r>
          </w:p>
        </w:tc>
        <w:tc>
          <w:tcPr>
            <w:tcW w:type="dxa" w:w="6520"/>
          </w:tcPr>
          <w:p>
            <w:r>
              <w:rPr>
                <w:sz w:val="19"/>
              </w:rPr>
              <w:t>Azure Landing Zones (CAF) — management groups, Azure Policy</w:t>
            </w:r>
          </w:p>
        </w:tc>
      </w:tr>
      <w:tr>
        <w:tc>
          <w:tcPr>
            <w:tcW w:type="dxa" w:w="2835"/>
          </w:tcPr>
          <w:p>
            <w:r>
              <w:rPr>
                <w:sz w:val="19"/>
              </w:rPr>
              <w:t>Identity</w:t>
            </w:r>
          </w:p>
        </w:tc>
        <w:tc>
          <w:tcPr>
            <w:tcW w:type="dxa" w:w="6520"/>
          </w:tcPr>
          <w:p>
            <w:r>
              <w:rPr>
                <w:sz w:val="19"/>
              </w:rPr>
              <w:t>Microsoft Entra ID with Privileged Identity Management and Conditional Access</w:t>
            </w:r>
          </w:p>
        </w:tc>
      </w:tr>
      <w:tr>
        <w:tc>
          <w:tcPr>
            <w:tcW w:type="dxa" w:w="2835"/>
          </w:tcPr>
          <w:p>
            <w:r>
              <w:rPr>
                <w:sz w:val="19"/>
              </w:rPr>
              <w:t>Network hub</w:t>
            </w:r>
          </w:p>
        </w:tc>
        <w:tc>
          <w:tcPr>
            <w:tcW w:type="dxa" w:w="6520"/>
          </w:tcPr>
          <w:p>
            <w:r>
              <w:rPr>
                <w:sz w:val="19"/>
              </w:rPr>
              <w:t>Hub-and-spoke or Virtual WAN with Azure Firewall</w:t>
            </w:r>
          </w:p>
        </w:tc>
      </w:tr>
      <w:tr>
        <w:tc>
          <w:tcPr>
            <w:tcW w:type="dxa" w:w="2835"/>
          </w:tcPr>
          <w:p>
            <w:r>
              <w:rPr>
                <w:sz w:val="19"/>
              </w:rPr>
              <w:t>Hybrid connectivity</w:t>
            </w:r>
          </w:p>
        </w:tc>
        <w:tc>
          <w:tcPr>
            <w:tcW w:type="dxa" w:w="6520"/>
          </w:tcPr>
          <w:p>
            <w:r>
              <w:rPr>
                <w:sz w:val="19"/>
              </w:rPr>
              <w:t>Azure ExpressRoute (primary) + VPN Gateway (backup)</w:t>
            </w:r>
          </w:p>
        </w:tc>
      </w:tr>
      <w:tr>
        <w:tc>
          <w:tcPr>
            <w:tcW w:type="dxa" w:w="2835"/>
          </w:tcPr>
          <w:p>
            <w:r>
              <w:rPr>
                <w:sz w:val="19"/>
              </w:rPr>
              <w:t>DNS</w:t>
            </w:r>
          </w:p>
        </w:tc>
        <w:tc>
          <w:tcPr>
            <w:tcW w:type="dxa" w:w="6520"/>
          </w:tcPr>
          <w:p>
            <w:r>
              <w:rPr>
                <w:sz w:val="19"/>
              </w:rPr>
              <w:t>Azure DNS Private Resolver and Private DNS zones for Private Link</w:t>
            </w:r>
          </w:p>
        </w:tc>
      </w:tr>
      <w:tr>
        <w:tc>
          <w:tcPr>
            <w:tcW w:type="dxa" w:w="2835"/>
          </w:tcPr>
          <w:p>
            <w:r>
              <w:rPr>
                <w:sz w:val="19"/>
              </w:rPr>
              <w:t>Logging</w:t>
            </w:r>
          </w:p>
        </w:tc>
        <w:tc>
          <w:tcPr>
            <w:tcW w:type="dxa" w:w="6520"/>
          </w:tcPr>
          <w:p>
            <w:r>
              <w:rPr>
                <w:sz w:val="19"/>
              </w:rPr>
              <w:t>Diagnostic settings to a central Log Analytics workspace; Activity Log export</w:t>
            </w:r>
          </w:p>
        </w:tc>
      </w:tr>
      <w:tr>
        <w:tc>
          <w:tcPr>
            <w:tcW w:type="dxa" w:w="2835"/>
          </w:tcPr>
          <w:p>
            <w:r>
              <w:rPr>
                <w:sz w:val="19"/>
              </w:rPr>
              <w:t>Security posture</w:t>
            </w:r>
          </w:p>
        </w:tc>
        <w:tc>
          <w:tcPr>
            <w:tcW w:type="dxa" w:w="6520"/>
          </w:tcPr>
          <w:p>
            <w:r>
              <w:rPr>
                <w:sz w:val="19"/>
              </w:rPr>
              <w:t>Microsoft Defender for Cloud (Defender CSPM, Secure Score)</w:t>
            </w:r>
          </w:p>
        </w:tc>
      </w:tr>
      <w:tr>
        <w:tc>
          <w:tcPr>
            <w:tcW w:type="dxa" w:w="2835"/>
          </w:tcPr>
          <w:p>
            <w:r>
              <w:rPr>
                <w:sz w:val="19"/>
              </w:rPr>
              <w:t>Threat detection</w:t>
            </w:r>
          </w:p>
        </w:tc>
        <w:tc>
          <w:tcPr>
            <w:tcW w:type="dxa" w:w="6520"/>
          </w:tcPr>
          <w:p>
            <w:r>
              <w:rPr>
                <w:sz w:val="19"/>
              </w:rPr>
              <w:t>Defender for Servers / SQL / Storage / Containers</w:t>
            </w:r>
          </w:p>
        </w:tc>
      </w:tr>
      <w:tr>
        <w:tc>
          <w:tcPr>
            <w:tcW w:type="dxa" w:w="2835"/>
          </w:tcPr>
          <w:p>
            <w:r>
              <w:rPr>
                <w:sz w:val="19"/>
              </w:rPr>
              <w:t>SIEM</w:t>
            </w:r>
          </w:p>
        </w:tc>
        <w:tc>
          <w:tcPr>
            <w:tcW w:type="dxa" w:w="6520"/>
          </w:tcPr>
          <w:p>
            <w:r>
              <w:rPr>
                <w:sz w:val="19"/>
              </w:rPr>
              <w:t>Microsoft Sentinel</w:t>
            </w:r>
          </w:p>
        </w:tc>
      </w:tr>
      <w:tr>
        <w:tc>
          <w:tcPr>
            <w:tcW w:type="dxa" w:w="2835"/>
          </w:tcPr>
          <w:p>
            <w:r>
              <w:rPr>
                <w:sz w:val="19"/>
              </w:rPr>
              <w:t>Keys &amp; secrets</w:t>
            </w:r>
          </w:p>
        </w:tc>
        <w:tc>
          <w:tcPr>
            <w:tcW w:type="dxa" w:w="6520"/>
          </w:tcPr>
          <w:p>
            <w:r>
              <w:rPr>
                <w:sz w:val="19"/>
              </w:rPr>
              <w:t>Azure Key Vault / Managed HSM with customer-managed keys</w:t>
            </w:r>
          </w:p>
        </w:tc>
      </w:tr>
      <w:tr>
        <w:tc>
          <w:tcPr>
            <w:tcW w:type="dxa" w:w="2835"/>
          </w:tcPr>
          <w:p>
            <w:r>
              <w:rPr>
                <w:sz w:val="19"/>
              </w:rPr>
              <w:t>Backup</w:t>
            </w:r>
          </w:p>
        </w:tc>
        <w:tc>
          <w:tcPr>
            <w:tcW w:type="dxa" w:w="6520"/>
          </w:tcPr>
          <w:p>
            <w:r>
              <w:rPr>
                <w:sz w:val="19"/>
              </w:rPr>
              <w:t>Azure Backup with immutable vaults and soft delete</w:t>
            </w:r>
          </w:p>
        </w:tc>
      </w:tr>
      <w:tr>
        <w:tc>
          <w:tcPr>
            <w:tcW w:type="dxa" w:w="2835"/>
          </w:tcPr>
          <w:p>
            <w:r>
              <w:rPr>
                <w:sz w:val="19"/>
              </w:rPr>
              <w:t>DR</w:t>
            </w:r>
          </w:p>
        </w:tc>
        <w:tc>
          <w:tcPr>
            <w:tcW w:type="dxa" w:w="6520"/>
          </w:tcPr>
          <w:p>
            <w:r>
              <w:rPr>
                <w:sz w:val="19"/>
              </w:rPr>
              <w:t>Azure Site Recovery / zone-redundant services</w:t>
            </w:r>
          </w:p>
        </w:tc>
      </w:tr>
      <w:tr>
        <w:tc>
          <w:tcPr>
            <w:tcW w:type="dxa" w:w="2835"/>
          </w:tcPr>
          <w:p>
            <w:r>
              <w:rPr>
                <w:sz w:val="19"/>
              </w:rPr>
              <w:t>Patching</w:t>
            </w:r>
          </w:p>
        </w:tc>
        <w:tc>
          <w:tcPr>
            <w:tcW w:type="dxa" w:w="6520"/>
          </w:tcPr>
          <w:p>
            <w:r>
              <w:rPr>
                <w:sz w:val="19"/>
              </w:rPr>
              <w:t>Azure Update Manager (Azure + Arc-enabled servers)</w:t>
            </w:r>
          </w:p>
        </w:tc>
      </w:tr>
      <w:tr>
        <w:tc>
          <w:tcPr>
            <w:tcW w:type="dxa" w:w="2835"/>
          </w:tcPr>
          <w:p>
            <w:r>
              <w:rPr>
                <w:sz w:val="19"/>
              </w:rPr>
              <w:t>Infrastructure as code</w:t>
            </w:r>
          </w:p>
        </w:tc>
        <w:tc>
          <w:tcPr>
            <w:tcW w:type="dxa" w:w="6520"/>
          </w:tcPr>
          <w:p>
            <w:r>
              <w:rPr>
                <w:sz w:val="19"/>
              </w:rPr>
              <w:t>Bicep / Terraform (Azure Verified Modules)</w:t>
            </w:r>
          </w:p>
        </w:tc>
      </w:tr>
      <w:tr>
        <w:tc>
          <w:tcPr>
            <w:tcW w:type="dxa" w:w="2835"/>
          </w:tcPr>
          <w:p>
            <w:r>
              <w:rPr>
                <w:sz w:val="19"/>
              </w:rPr>
              <w:t>Tagging</w:t>
            </w:r>
          </w:p>
        </w:tc>
        <w:tc>
          <w:tcPr>
            <w:tcW w:type="dxa" w:w="6520"/>
          </w:tcPr>
          <w:p>
            <w:r>
              <w:rPr>
                <w:sz w:val="19"/>
              </w:rPr>
              <w:t>CostCentre, Environment, Owner, Application, DataClassification</w:t>
            </w:r>
          </w:p>
        </w:tc>
      </w:tr>
      <w:tr>
        <w:tc>
          <w:tcPr>
            <w:tcW w:type="dxa" w:w="2835"/>
          </w:tcPr>
          <w:p>
            <w:r>
              <w:rPr>
                <w:sz w:val="19"/>
              </w:rPr>
              <w:t>Cost management</w:t>
            </w:r>
          </w:p>
        </w:tc>
        <w:tc>
          <w:tcPr>
            <w:tcW w:type="dxa" w:w="6520"/>
          </w:tcPr>
          <w:p>
            <w:r>
              <w:rPr>
                <w:sz w:val="19"/>
              </w:rPr>
              <w:t>Microsoft Cost Management, budgets, Azure Advisor</w:t>
            </w:r>
          </w:p>
        </w:tc>
      </w:tr>
    </w:tbl>
    <w:p/>
    <w:p>
      <w:pPr>
        <w:pStyle w:val="Heading1"/>
      </w:pPr>
      <w:r>
        <w:t>6. Migration patterns (7R)</w:t>
      </w:r>
    </w:p>
    <w:tbl>
      <w:tblPr>
        <w:tblStyle w:val="TableGrid"/>
        <w:tblW w:type="auto" w:w="0"/>
        <w:jc w:val="left"/>
        <w:tblLook w:firstColumn="1" w:firstRow="1" w:lastColumn="0" w:lastRow="0" w:noHBand="0" w:noVBand="1" w:val="04A0"/>
      </w:tblPr>
      <w:tblGrid>
        <w:gridCol w:w="3249"/>
        <w:gridCol w:w="3249"/>
        <w:gridCol w:w="3249"/>
      </w:tblGrid>
      <w:tr>
        <w:tc>
          <w:tcPr>
            <w:tcW w:type="dxa" w:w="1701"/>
            <w:shd w:val="clear" w:color="auto" w:fill="15191C"/>
          </w:tcPr>
          <w:p>
            <w:r/>
            <w:r>
              <w:rPr>
                <w:b/>
                <w:color w:val="FFFFFF"/>
                <w:sz w:val="19"/>
              </w:rPr>
              <w:t>Pattern</w:t>
            </w:r>
          </w:p>
        </w:tc>
        <w:tc>
          <w:tcPr>
            <w:tcW w:type="dxa" w:w="3402"/>
            <w:shd w:val="clear" w:color="auto" w:fill="15191C"/>
          </w:tcPr>
          <w:p>
            <w:r/>
            <w:r>
              <w:rPr>
                <w:b/>
                <w:color w:val="FFFFFF"/>
                <w:sz w:val="19"/>
              </w:rPr>
              <w:t>When to use</w:t>
            </w:r>
          </w:p>
        </w:tc>
        <w:tc>
          <w:tcPr>
            <w:tcW w:type="dxa" w:w="4252"/>
            <w:shd w:val="clear" w:color="auto" w:fill="15191C"/>
          </w:tcPr>
          <w:p>
            <w:r/>
            <w:r>
              <w:rPr>
                <w:b/>
                <w:color w:val="FFFFFF"/>
                <w:sz w:val="19"/>
              </w:rPr>
              <w:t>Typical Azure approach</w:t>
            </w:r>
          </w:p>
        </w:tc>
      </w:tr>
      <w:tr>
        <w:tc>
          <w:tcPr>
            <w:tcW w:type="dxa" w:w="1701"/>
          </w:tcPr>
          <w:p>
            <w:r>
              <w:rPr>
                <w:sz w:val="19"/>
              </w:rPr>
              <w:t>Retire</w:t>
            </w:r>
          </w:p>
        </w:tc>
        <w:tc>
          <w:tcPr>
            <w:tcW w:type="dxa" w:w="3402"/>
          </w:tcPr>
          <w:p>
            <w:r>
              <w:rPr>
                <w:sz w:val="19"/>
              </w:rPr>
              <w:t>No users, duplicate capability, or replaced by SaaS</w:t>
            </w:r>
          </w:p>
        </w:tc>
        <w:tc>
          <w:tcPr>
            <w:tcW w:type="dxa" w:w="4252"/>
          </w:tcPr>
          <w:p>
            <w:r>
              <w:rPr>
                <w:sz w:val="19"/>
              </w:rPr>
              <w:t>Archive data per retention policy; decommission</w:t>
            </w:r>
          </w:p>
        </w:tc>
      </w:tr>
      <w:tr>
        <w:tc>
          <w:tcPr>
            <w:tcW w:type="dxa" w:w="1701"/>
          </w:tcPr>
          <w:p>
            <w:r>
              <w:rPr>
                <w:sz w:val="19"/>
              </w:rPr>
              <w:t>Retain</w:t>
            </w:r>
          </w:p>
        </w:tc>
        <w:tc>
          <w:tcPr>
            <w:tcW w:type="dxa" w:w="3402"/>
          </w:tcPr>
          <w:p>
            <w:r>
              <w:rPr>
                <w:sz w:val="19"/>
              </w:rPr>
              <w:t>Hard dependency, licence or latency constraint, or near end-of-life</w:t>
            </w:r>
          </w:p>
        </w:tc>
        <w:tc>
          <w:tcPr>
            <w:tcW w:type="dxa" w:w="4252"/>
          </w:tcPr>
          <w:p>
            <w:r>
              <w:rPr>
                <w:sz w:val="19"/>
              </w:rPr>
              <w:t>Keep on-premises; connect via hybrid network</w:t>
            </w:r>
          </w:p>
        </w:tc>
      </w:tr>
      <w:tr>
        <w:tc>
          <w:tcPr>
            <w:tcW w:type="dxa" w:w="1701"/>
          </w:tcPr>
          <w:p>
            <w:r>
              <w:rPr>
                <w:sz w:val="19"/>
              </w:rPr>
              <w:t>Rehost</w:t>
            </w:r>
          </w:p>
        </w:tc>
        <w:tc>
          <w:tcPr>
            <w:tcW w:type="dxa" w:w="3402"/>
          </w:tcPr>
          <w:p>
            <w:r>
              <w:rPr>
                <w:sz w:val="19"/>
              </w:rPr>
              <w:t>Fast exit, stable apps, low change appetite</w:t>
            </w:r>
          </w:p>
        </w:tc>
        <w:tc>
          <w:tcPr>
            <w:tcW w:type="dxa" w:w="4252"/>
          </w:tcPr>
          <w:p>
            <w:r>
              <w:rPr>
                <w:sz w:val="19"/>
              </w:rPr>
              <w:t>Azure Migrate server migration / Azure Site Recovery</w:t>
            </w:r>
          </w:p>
        </w:tc>
      </w:tr>
      <w:tr>
        <w:tc>
          <w:tcPr>
            <w:tcW w:type="dxa" w:w="1701"/>
          </w:tcPr>
          <w:p>
            <w:r>
              <w:rPr>
                <w:sz w:val="19"/>
              </w:rPr>
              <w:t>Relocate</w:t>
            </w:r>
          </w:p>
        </w:tc>
        <w:tc>
          <w:tcPr>
            <w:tcW w:type="dxa" w:w="3402"/>
          </w:tcPr>
          <w:p>
            <w:r>
              <w:rPr>
                <w:sz w:val="19"/>
              </w:rPr>
              <w:t>Large VMware estates with a near-term exit date</w:t>
            </w:r>
          </w:p>
        </w:tc>
        <w:tc>
          <w:tcPr>
            <w:tcW w:type="dxa" w:w="4252"/>
          </w:tcPr>
          <w:p>
            <w:r>
              <w:rPr>
                <w:sz w:val="19"/>
              </w:rPr>
              <w:t>Azure VMware Solution with VMware HCX</w:t>
            </w:r>
          </w:p>
        </w:tc>
      </w:tr>
      <w:tr>
        <w:tc>
          <w:tcPr>
            <w:tcW w:type="dxa" w:w="1701"/>
          </w:tcPr>
          <w:p>
            <w:r>
              <w:rPr>
                <w:sz w:val="19"/>
              </w:rPr>
              <w:t>Replatform</w:t>
            </w:r>
          </w:p>
        </w:tc>
        <w:tc>
          <w:tcPr>
            <w:tcW w:type="dxa" w:w="3402"/>
          </w:tcPr>
          <w:p>
            <w:r>
              <w:rPr>
                <w:sz w:val="19"/>
              </w:rPr>
              <w:t>Databases and middleware where managed services cut toil</w:t>
            </w:r>
          </w:p>
        </w:tc>
        <w:tc>
          <w:tcPr>
            <w:tcW w:type="dxa" w:w="4252"/>
          </w:tcPr>
          <w:p>
            <w:r>
              <w:rPr>
                <w:sz w:val="19"/>
              </w:rPr>
              <w:t>Azure Database Migration Service / SQL Managed Instance link</w:t>
            </w:r>
          </w:p>
        </w:tc>
      </w:tr>
      <w:tr>
        <w:tc>
          <w:tcPr>
            <w:tcW w:type="dxa" w:w="1701"/>
          </w:tcPr>
          <w:p>
            <w:r>
              <w:rPr>
                <w:sz w:val="19"/>
              </w:rPr>
              <w:t>Repurchase</w:t>
            </w:r>
          </w:p>
        </w:tc>
        <w:tc>
          <w:tcPr>
            <w:tcW w:type="dxa" w:w="3402"/>
          </w:tcPr>
          <w:p>
            <w:r>
              <w:rPr>
                <w:sz w:val="19"/>
              </w:rPr>
              <w:t>Commodity capability better served by SaaS</w:t>
            </w:r>
          </w:p>
        </w:tc>
        <w:tc>
          <w:tcPr>
            <w:tcW w:type="dxa" w:w="4252"/>
          </w:tcPr>
          <w:p>
            <w:r>
              <w:rPr>
                <w:sz w:val="19"/>
              </w:rPr>
              <w:t>Data migration to SaaS; integration rebuild</w:t>
            </w:r>
          </w:p>
        </w:tc>
      </w:tr>
      <w:tr>
        <w:tc>
          <w:tcPr>
            <w:tcW w:type="dxa" w:w="1701"/>
          </w:tcPr>
          <w:p>
            <w:r>
              <w:rPr>
                <w:sz w:val="19"/>
              </w:rPr>
              <w:t>Refactor</w:t>
            </w:r>
          </w:p>
        </w:tc>
        <w:tc>
          <w:tcPr>
            <w:tcW w:type="dxa" w:w="3402"/>
          </w:tcPr>
          <w:p>
            <w:r>
              <w:rPr>
                <w:sz w:val="19"/>
              </w:rPr>
              <w:t>Strategic apps needing scale, agility or AI</w:t>
            </w:r>
          </w:p>
        </w:tc>
        <w:tc>
          <w:tcPr>
            <w:tcW w:type="dxa" w:w="4252"/>
          </w:tcPr>
          <w:p>
            <w:r>
              <w:rPr>
                <w:sz w:val="19"/>
              </w:rPr>
              <w:t>Containers / serverless / managed data services</w:t>
            </w:r>
          </w:p>
        </w:tc>
      </w:tr>
    </w:tbl>
    <w:p/>
    <w:p>
      <w:pPr>
        <w:pStyle w:val="Heading1"/>
      </w:pPr>
      <w:r>
        <w:t>7. Wave planning</w:t>
      </w:r>
    </w:p>
    <w:p>
      <w:pPr>
        <w:pStyle w:val="ListBullet"/>
      </w:pPr>
      <w:r>
        <w:t>Build move groups from validated dependencies; keep chatty components together.</w:t>
      </w:r>
    </w:p>
    <w:p>
      <w:pPr>
        <w:pStyle w:val="ListBullet"/>
      </w:pPr>
      <w:r>
        <w:t>Start with a pilot wave of 3–5 low-risk applications to prove tooling and runbooks.</w:t>
      </w:r>
    </w:p>
    <w:p>
      <w:pPr>
        <w:pStyle w:val="ListBullet"/>
      </w:pPr>
      <w:r>
        <w:t>Typical factory cadence: one wave every two weeks, 10–40 servers per wave once stable.</w:t>
      </w:r>
    </w:p>
    <w:p>
      <w:pPr>
        <w:pStyle w:val="ListBullet"/>
      </w:pPr>
      <w:r>
        <w:t>Respect blackout periods (month-end, quarter-end, festive peaks, audits) and licence / contract dates.</w:t>
      </w:r>
    </w:p>
    <w:p>
      <w:pPr>
        <w:pStyle w:val="ListBullet"/>
      </w:pPr>
      <w:r>
        <w:t>Each wave needs: owner sign-off, test plan, rehearsed cutover, rollback owner, communications.</w:t>
      </w:r>
    </w:p>
    <w:p>
      <w:pPr>
        <w:pStyle w:val="Heading1"/>
      </w:pPr>
      <w:r>
        <w:t>8. Cutover procedure</w:t>
      </w:r>
    </w:p>
    <w:tbl>
      <w:tblPr>
        <w:tblStyle w:val="TableGrid"/>
        <w:tblW w:type="auto" w:w="0"/>
        <w:jc w:val="left"/>
        <w:tblLook w:firstColumn="1" w:firstRow="1" w:lastColumn="0" w:lastRow="0" w:noHBand="0" w:noVBand="1" w:val="04A0"/>
      </w:tblPr>
      <w:tblGrid>
        <w:gridCol w:w="4873"/>
        <w:gridCol w:w="4873"/>
      </w:tblGrid>
      <w:tr>
        <w:tc>
          <w:tcPr>
            <w:tcW w:type="dxa" w:w="1984"/>
            <w:shd w:val="clear" w:color="auto" w:fill="15191C"/>
          </w:tcPr>
          <w:p>
            <w:r/>
            <w:r>
              <w:rPr>
                <w:b/>
                <w:color w:val="FFFFFF"/>
                <w:sz w:val="19"/>
              </w:rPr>
              <w:t>When</w:t>
            </w:r>
          </w:p>
        </w:tc>
        <w:tc>
          <w:tcPr>
            <w:tcW w:type="dxa" w:w="7370"/>
            <w:shd w:val="clear" w:color="auto" w:fill="15191C"/>
          </w:tcPr>
          <w:p>
            <w:r/>
            <w:r>
              <w:rPr>
                <w:b/>
                <w:color w:val="FFFFFF"/>
                <w:sz w:val="19"/>
              </w:rPr>
              <w:t>Activity</w:t>
            </w:r>
          </w:p>
        </w:tc>
      </w:tr>
      <w:tr>
        <w:tc>
          <w:tcPr>
            <w:tcW w:type="dxa" w:w="1984"/>
          </w:tcPr>
          <w:p>
            <w:r>
              <w:rPr>
                <w:sz w:val="19"/>
              </w:rPr>
              <w:t>T-7 days</w:t>
            </w:r>
          </w:p>
        </w:tc>
        <w:tc>
          <w:tcPr>
            <w:tcW w:type="dxa" w:w="7370"/>
          </w:tcPr>
          <w:p>
            <w:r>
              <w:rPr>
                <w:sz w:val="19"/>
              </w:rPr>
              <w:t>Scope frozen, change approved, communications sent, test migration complete</w:t>
            </w:r>
          </w:p>
        </w:tc>
      </w:tr>
      <w:tr>
        <w:tc>
          <w:tcPr>
            <w:tcW w:type="dxa" w:w="1984"/>
          </w:tcPr>
          <w:p>
            <w:r>
              <w:rPr>
                <w:sz w:val="19"/>
              </w:rPr>
              <w:t>T-2 days</w:t>
            </w:r>
          </w:p>
        </w:tc>
        <w:tc>
          <w:tcPr>
            <w:tcW w:type="dxa" w:w="7370"/>
          </w:tcPr>
          <w:p>
            <w:r>
              <w:rPr>
                <w:sz w:val="19"/>
              </w:rPr>
              <w:t>DNS TTLs lowered; replication lag verified; backup of source verified</w:t>
            </w:r>
          </w:p>
        </w:tc>
      </w:tr>
      <w:tr>
        <w:tc>
          <w:tcPr>
            <w:tcW w:type="dxa" w:w="1984"/>
          </w:tcPr>
          <w:p>
            <w:r>
              <w:rPr>
                <w:sz w:val="19"/>
              </w:rPr>
              <w:t>T-0 go / no-go</w:t>
            </w:r>
          </w:p>
        </w:tc>
        <w:tc>
          <w:tcPr>
            <w:tcW w:type="dxa" w:w="7370"/>
          </w:tcPr>
          <w:p>
            <w:r>
              <w:rPr>
                <w:sz w:val="19"/>
              </w:rPr>
              <w:t>Readiness checklist reviewed with quorum; rollback owner confirmed</w:t>
            </w:r>
          </w:p>
        </w:tc>
      </w:tr>
      <w:tr>
        <w:tc>
          <w:tcPr>
            <w:tcW w:type="dxa" w:w="1984"/>
          </w:tcPr>
          <w:p>
            <w:r>
              <w:rPr>
                <w:sz w:val="19"/>
              </w:rPr>
              <w:t>Freeze</w:t>
            </w:r>
          </w:p>
        </w:tc>
        <w:tc>
          <w:tcPr>
            <w:tcW w:type="dxa" w:w="7370"/>
          </w:tcPr>
          <w:p>
            <w:r>
              <w:rPr>
                <w:sz w:val="19"/>
              </w:rPr>
              <w:t>Users off; services and jobs stopped; final sync; source read-only</w:t>
            </w:r>
          </w:p>
        </w:tc>
      </w:tr>
      <w:tr>
        <w:tc>
          <w:tcPr>
            <w:tcW w:type="dxa" w:w="1984"/>
          </w:tcPr>
          <w:p>
            <w:r>
              <w:rPr>
                <w:sz w:val="19"/>
              </w:rPr>
              <w:t>Switch</w:t>
            </w:r>
          </w:p>
        </w:tc>
        <w:tc>
          <w:tcPr>
            <w:tcW w:type="dxa" w:w="7370"/>
          </w:tcPr>
          <w:p>
            <w:r>
              <w:rPr>
                <w:sz w:val="19"/>
              </w:rPr>
              <w:t>Target promoted; database switchover; config / secrets updated; DNS / load balancer switched</w:t>
            </w:r>
          </w:p>
        </w:tc>
      </w:tr>
      <w:tr>
        <w:tc>
          <w:tcPr>
            <w:tcW w:type="dxa" w:w="1984"/>
          </w:tcPr>
          <w:p>
            <w:r>
              <w:rPr>
                <w:sz w:val="19"/>
              </w:rPr>
              <w:t>Validate</w:t>
            </w:r>
          </w:p>
        </w:tc>
        <w:tc>
          <w:tcPr>
            <w:tcW w:type="dxa" w:w="7370"/>
          </w:tcPr>
          <w:p>
            <w:r>
              <w:rPr>
                <w:sz w:val="19"/>
              </w:rPr>
              <w:t>Smoke tests; data reconciliation; business validation</w:t>
            </w:r>
          </w:p>
        </w:tc>
      </w:tr>
      <w:tr>
        <w:tc>
          <w:tcPr>
            <w:tcW w:type="dxa" w:w="1984"/>
          </w:tcPr>
          <w:p>
            <w:r>
              <w:rPr>
                <w:sz w:val="19"/>
              </w:rPr>
              <w:t>Decide</w:t>
            </w:r>
          </w:p>
        </w:tc>
        <w:tc>
          <w:tcPr>
            <w:tcW w:type="dxa" w:w="7370"/>
          </w:tcPr>
          <w:p>
            <w:r>
              <w:rPr>
                <w:sz w:val="19"/>
              </w:rPr>
              <w:t>Go-live or rollback before the agreed deadline</w:t>
            </w:r>
          </w:p>
        </w:tc>
      </w:tr>
      <w:tr>
        <w:tc>
          <w:tcPr>
            <w:tcW w:type="dxa" w:w="1984"/>
          </w:tcPr>
          <w:p>
            <w:r>
              <w:rPr>
                <w:sz w:val="19"/>
              </w:rPr>
              <w:t>Go-live</w:t>
            </w:r>
          </w:p>
        </w:tc>
        <w:tc>
          <w:tcPr>
            <w:tcW w:type="dxa" w:w="7370"/>
          </w:tcPr>
          <w:p>
            <w:r>
              <w:rPr>
                <w:sz w:val="19"/>
              </w:rPr>
              <w:t>Access restored; jobs enabled; hypercare starts</w:t>
            </w:r>
          </w:p>
        </w:tc>
      </w:tr>
    </w:tbl>
    <w:p/>
    <w:p>
      <w:pPr>
        <w:pStyle w:val="Heading1"/>
      </w:pPr>
      <w:r>
        <w:t>9. Rollback</w:t>
      </w:r>
    </w:p>
    <w:p>
      <w:r>
        <w:t>Rollback triggers and the decision owner are agreed before the cutover window opens. Until the point of no return (target accepts business writes that cannot be replayed to source), rollback means re-enabling the source and reverting DNS / load balancers. After it, rollback requires a reverse-sync or data replay plan defined by the DBA. The cutover runbook template contains the standard triggers RB-0 to RB-5.</w:t>
      </w:r>
    </w:p>
    <w:p>
      <w:pPr>
        <w:pStyle w:val="Heading1"/>
      </w:pPr>
      <w:r>
        <w:t>10. Testing and validation</w:t>
      </w:r>
    </w:p>
    <w:tbl>
      <w:tblPr>
        <w:tblStyle w:val="TableGrid"/>
        <w:tblW w:type="auto" w:w="0"/>
        <w:jc w:val="left"/>
        <w:tblLook w:firstColumn="1" w:firstRow="1" w:lastColumn="0" w:lastRow="0" w:noHBand="0" w:noVBand="1" w:val="04A0"/>
      </w:tblPr>
      <w:tblGrid>
        <w:gridCol w:w="3249"/>
        <w:gridCol w:w="3249"/>
        <w:gridCol w:w="3249"/>
      </w:tblGrid>
      <w:tr>
        <w:tc>
          <w:tcPr>
            <w:tcW w:type="dxa" w:w="2268"/>
            <w:shd w:val="clear" w:color="auto" w:fill="15191C"/>
          </w:tcPr>
          <w:p>
            <w:r/>
            <w:r>
              <w:rPr>
                <w:b/>
                <w:color w:val="FFFFFF"/>
                <w:sz w:val="19"/>
              </w:rPr>
              <w:t>Test</w:t>
            </w:r>
          </w:p>
        </w:tc>
        <w:tc>
          <w:tcPr>
            <w:tcW w:type="dxa" w:w="2268"/>
            <w:shd w:val="clear" w:color="auto" w:fill="15191C"/>
          </w:tcPr>
          <w:p>
            <w:r/>
            <w:r>
              <w:rPr>
                <w:b/>
                <w:color w:val="FFFFFF"/>
                <w:sz w:val="19"/>
              </w:rPr>
              <w:t>Owner</w:t>
            </w:r>
          </w:p>
        </w:tc>
        <w:tc>
          <w:tcPr>
            <w:tcW w:type="dxa" w:w="4819"/>
            <w:shd w:val="clear" w:color="auto" w:fill="15191C"/>
          </w:tcPr>
          <w:p>
            <w:r/>
            <w:r>
              <w:rPr>
                <w:b/>
                <w:color w:val="FFFFFF"/>
                <w:sz w:val="19"/>
              </w:rPr>
              <w:t>Pass criteria</w:t>
            </w:r>
          </w:p>
        </w:tc>
      </w:tr>
      <w:tr>
        <w:tc>
          <w:tcPr>
            <w:tcW w:type="dxa" w:w="2268"/>
          </w:tcPr>
          <w:p>
            <w:r>
              <w:rPr>
                <w:sz w:val="19"/>
              </w:rPr>
              <w:t>Technical smoke test</w:t>
            </w:r>
          </w:p>
        </w:tc>
        <w:tc>
          <w:tcPr>
            <w:tcW w:type="dxa" w:w="2268"/>
          </w:tcPr>
          <w:p>
            <w:r>
              <w:rPr>
                <w:sz w:val="19"/>
              </w:rPr>
              <w:t>Migration engineer</w:t>
            </w:r>
          </w:p>
        </w:tc>
        <w:tc>
          <w:tcPr>
            <w:tcW w:type="dxa" w:w="4819"/>
          </w:tcPr>
          <w:p>
            <w:r>
              <w:rPr>
                <w:sz w:val="19"/>
              </w:rPr>
              <w:t>Services up, ports reachable, logs and metrics flowing</w:t>
            </w:r>
          </w:p>
        </w:tc>
      </w:tr>
      <w:tr>
        <w:tc>
          <w:tcPr>
            <w:tcW w:type="dxa" w:w="2268"/>
          </w:tcPr>
          <w:p>
            <w:r>
              <w:rPr>
                <w:sz w:val="19"/>
              </w:rPr>
              <w:t>Data reconciliation</w:t>
            </w:r>
          </w:p>
        </w:tc>
        <w:tc>
          <w:tcPr>
            <w:tcW w:type="dxa" w:w="2268"/>
          </w:tcPr>
          <w:p>
            <w:r>
              <w:rPr>
                <w:sz w:val="19"/>
              </w:rPr>
              <w:t>DBA + data owner</w:t>
            </w:r>
          </w:p>
        </w:tc>
        <w:tc>
          <w:tcPr>
            <w:tcW w:type="dxa" w:w="4819"/>
          </w:tcPr>
          <w:p>
            <w:r>
              <w:rPr>
                <w:sz w:val="19"/>
              </w:rPr>
              <w:t>Row counts and checksums match; business control totals agree</w:t>
            </w:r>
          </w:p>
        </w:tc>
      </w:tr>
      <w:tr>
        <w:tc>
          <w:tcPr>
            <w:tcW w:type="dxa" w:w="2268"/>
          </w:tcPr>
          <w:p>
            <w:r>
              <w:rPr>
                <w:sz w:val="19"/>
              </w:rPr>
              <w:t>Functional / UAT</w:t>
            </w:r>
          </w:p>
        </w:tc>
        <w:tc>
          <w:tcPr>
            <w:tcW w:type="dxa" w:w="2268"/>
          </w:tcPr>
          <w:p>
            <w:r>
              <w:rPr>
                <w:sz w:val="19"/>
              </w:rPr>
              <w:t>Application owner</w:t>
            </w:r>
          </w:p>
        </w:tc>
        <w:tc>
          <w:tcPr>
            <w:tcW w:type="dxa" w:w="4819"/>
          </w:tcPr>
          <w:p>
            <w:r>
              <w:rPr>
                <w:sz w:val="19"/>
              </w:rPr>
              <w:t>Signed test scripts for critical journeys</w:t>
            </w:r>
          </w:p>
        </w:tc>
      </w:tr>
      <w:tr>
        <w:tc>
          <w:tcPr>
            <w:tcW w:type="dxa" w:w="2268"/>
          </w:tcPr>
          <w:p>
            <w:r>
              <w:rPr>
                <w:sz w:val="19"/>
              </w:rPr>
              <w:t>Performance</w:t>
            </w:r>
          </w:p>
        </w:tc>
        <w:tc>
          <w:tcPr>
            <w:tcW w:type="dxa" w:w="2268"/>
          </w:tcPr>
          <w:p>
            <w:r>
              <w:rPr>
                <w:sz w:val="19"/>
              </w:rPr>
              <w:t>Architect</w:t>
            </w:r>
          </w:p>
        </w:tc>
        <w:tc>
          <w:tcPr>
            <w:tcW w:type="dxa" w:w="4819"/>
          </w:tcPr>
          <w:p>
            <w:r>
              <w:rPr>
                <w:sz w:val="19"/>
              </w:rPr>
              <w:t>Key transactions within ± 10% of baseline</w:t>
            </w:r>
          </w:p>
        </w:tc>
      </w:tr>
      <w:tr>
        <w:tc>
          <w:tcPr>
            <w:tcW w:type="dxa" w:w="2268"/>
          </w:tcPr>
          <w:p>
            <w:r>
              <w:rPr>
                <w:sz w:val="19"/>
              </w:rPr>
              <w:t>Security</w:t>
            </w:r>
          </w:p>
        </w:tc>
        <w:tc>
          <w:tcPr>
            <w:tcW w:type="dxa" w:w="2268"/>
          </w:tcPr>
          <w:p>
            <w:r>
              <w:rPr>
                <w:sz w:val="19"/>
              </w:rPr>
              <w:t>Security lead</w:t>
            </w:r>
          </w:p>
        </w:tc>
        <w:tc>
          <w:tcPr>
            <w:tcW w:type="dxa" w:w="4819"/>
          </w:tcPr>
          <w:p>
            <w:r>
              <w:rPr>
                <w:sz w:val="19"/>
              </w:rPr>
              <w:t>No unexpected exposure; logging and access verified</w:t>
            </w:r>
          </w:p>
        </w:tc>
      </w:tr>
      <w:tr>
        <w:tc>
          <w:tcPr>
            <w:tcW w:type="dxa" w:w="2268"/>
          </w:tcPr>
          <w:p>
            <w:r>
              <w:rPr>
                <w:sz w:val="19"/>
              </w:rPr>
              <w:t>Backup / restore</w:t>
            </w:r>
          </w:p>
        </w:tc>
        <w:tc>
          <w:tcPr>
            <w:tcW w:type="dxa" w:w="2268"/>
          </w:tcPr>
          <w:p>
            <w:r>
              <w:rPr>
                <w:sz w:val="19"/>
              </w:rPr>
              <w:t>Ops</w:t>
            </w:r>
          </w:p>
        </w:tc>
        <w:tc>
          <w:tcPr>
            <w:tcW w:type="dxa" w:w="4819"/>
          </w:tcPr>
          <w:p>
            <w:r>
              <w:rPr>
                <w:sz w:val="19"/>
              </w:rPr>
              <w:t>First backup completed; restore test passed</w:t>
            </w:r>
          </w:p>
        </w:tc>
      </w:tr>
    </w:tbl>
    <w:p/>
    <w:p>
      <w:pPr>
        <w:pStyle w:val="Heading1"/>
      </w:pPr>
      <w:r>
        <w:t>11. Hypercare and handover</w:t>
      </w:r>
    </w:p>
    <w:p>
      <w:pPr>
        <w:pStyle w:val="ListBullet"/>
      </w:pPr>
      <w:r>
        <w:t>Hypercare: 72 hours intensive, then business-hours support until exit criteria are met (no open P1 / P2, 10 business days stable).</w:t>
      </w:r>
    </w:p>
    <w:p>
      <w:pPr>
        <w:pStyle w:val="ListBullet"/>
      </w:pPr>
      <w:r>
        <w:t>Handover pack: as-built diagrams, runbooks, RACI, SLAs, monitoring dashboards, known-issues log, credentials vaulted.</w:t>
      </w:r>
    </w:p>
    <w:p>
      <w:pPr>
        <w:pStyle w:val="ListBullet"/>
      </w:pPr>
      <w:r>
        <w:t>Operations acceptance is a signed form — not an email.</w:t>
      </w:r>
    </w:p>
    <w:p>
      <w:pPr>
        <w:pStyle w:val="Heading1"/>
      </w:pPr>
      <w:r>
        <w:t>12. Top risks and mitigations</w:t>
      </w:r>
    </w:p>
    <w:tbl>
      <w:tblPr>
        <w:tblStyle w:val="TableGrid"/>
        <w:tblW w:type="auto" w:w="0"/>
        <w:jc w:val="left"/>
        <w:tblLook w:firstColumn="1" w:firstRow="1" w:lastColumn="0" w:lastRow="0" w:noHBand="0" w:noVBand="1" w:val="04A0"/>
      </w:tblPr>
      <w:tblGrid>
        <w:gridCol w:w="4873"/>
        <w:gridCol w:w="4873"/>
      </w:tblGrid>
      <w:tr>
        <w:tc>
          <w:tcPr>
            <w:tcW w:type="dxa" w:w="3402"/>
            <w:shd w:val="clear" w:color="auto" w:fill="15191C"/>
          </w:tcPr>
          <w:p>
            <w:r/>
            <w:r>
              <w:rPr>
                <w:b/>
                <w:color w:val="FFFFFF"/>
                <w:sz w:val="19"/>
              </w:rPr>
              <w:t>Risk</w:t>
            </w:r>
          </w:p>
        </w:tc>
        <w:tc>
          <w:tcPr>
            <w:tcW w:type="dxa" w:w="5953"/>
            <w:shd w:val="clear" w:color="auto" w:fill="15191C"/>
          </w:tcPr>
          <w:p>
            <w:r/>
            <w:r>
              <w:rPr>
                <w:b/>
                <w:color w:val="FFFFFF"/>
                <w:sz w:val="19"/>
              </w:rPr>
              <w:t>Mitigation</w:t>
            </w:r>
          </w:p>
        </w:tc>
      </w:tr>
      <w:tr>
        <w:tc>
          <w:tcPr>
            <w:tcW w:type="dxa" w:w="3402"/>
          </w:tcPr>
          <w:p>
            <w:r>
              <w:rPr>
                <w:sz w:val="19"/>
              </w:rPr>
              <w:t>Undiscovered dependencies</w:t>
            </w:r>
          </w:p>
        </w:tc>
        <w:tc>
          <w:tcPr>
            <w:tcW w:type="dxa" w:w="5953"/>
          </w:tcPr>
          <w:p>
            <w:r>
              <w:rPr>
                <w:sz w:val="19"/>
              </w:rPr>
              <w:t>Agent-based dependency mapping + owner validation + extended test migrations</w:t>
            </w:r>
          </w:p>
        </w:tc>
      </w:tr>
      <w:tr>
        <w:tc>
          <w:tcPr>
            <w:tcW w:type="dxa" w:w="3402"/>
          </w:tcPr>
          <w:p>
            <w:r>
              <w:rPr>
                <w:sz w:val="19"/>
              </w:rPr>
              <w:t>Overlapping IP ranges / DNS issues</w:t>
            </w:r>
          </w:p>
        </w:tc>
        <w:tc>
          <w:tcPr>
            <w:tcW w:type="dxa" w:w="5953"/>
          </w:tcPr>
          <w:p>
            <w:r>
              <w:rPr>
                <w:sz w:val="19"/>
              </w:rPr>
              <w:t>IPAM review in foundation phase; hybrid DNS tested both ways</w:t>
            </w:r>
          </w:p>
        </w:tc>
      </w:tr>
      <w:tr>
        <w:tc>
          <w:tcPr>
            <w:tcW w:type="dxa" w:w="3402"/>
          </w:tcPr>
          <w:p>
            <w:r>
              <w:rPr>
                <w:sz w:val="19"/>
              </w:rPr>
              <w:t>Replication bandwidth insufficient</w:t>
            </w:r>
          </w:p>
        </w:tc>
        <w:tc>
          <w:tcPr>
            <w:tcW w:type="dxa" w:w="5953"/>
          </w:tcPr>
          <w:p>
            <w:r>
              <w:rPr>
                <w:sz w:val="19"/>
              </w:rPr>
              <w:t>Size for peaks; schedule initial sync; offline transfer for bulk data</w:t>
            </w:r>
          </w:p>
        </w:tc>
      </w:tr>
      <w:tr>
        <w:tc>
          <w:tcPr>
            <w:tcW w:type="dxa" w:w="3402"/>
          </w:tcPr>
          <w:p>
            <w:r>
              <w:rPr>
                <w:sz w:val="19"/>
              </w:rPr>
              <w:t>Hard-coded IPs / hostnames</w:t>
            </w:r>
          </w:p>
        </w:tc>
        <w:tc>
          <w:tcPr>
            <w:tcW w:type="dxa" w:w="5953"/>
          </w:tcPr>
          <w:p>
            <w:r>
              <w:rPr>
                <w:sz w:val="19"/>
              </w:rPr>
              <w:t>Config scanning; DNS aliases; regression tests</w:t>
            </w:r>
          </w:p>
        </w:tc>
      </w:tr>
      <w:tr>
        <w:tc>
          <w:tcPr>
            <w:tcW w:type="dxa" w:w="3402"/>
          </w:tcPr>
          <w:p>
            <w:r>
              <w:rPr>
                <w:sz w:val="19"/>
              </w:rPr>
              <w:t>Licence non-compliance</w:t>
            </w:r>
          </w:p>
        </w:tc>
        <w:tc>
          <w:tcPr>
            <w:tcW w:type="dxa" w:w="5953"/>
          </w:tcPr>
          <w:p>
            <w:r>
              <w:rPr>
                <w:sz w:val="19"/>
              </w:rPr>
              <w:t>Licence position per workload before migration; BYOL rules checked</w:t>
            </w:r>
          </w:p>
        </w:tc>
      </w:tr>
      <w:tr>
        <w:tc>
          <w:tcPr>
            <w:tcW w:type="dxa" w:w="3402"/>
          </w:tcPr>
          <w:p>
            <w:r>
              <w:rPr>
                <w:sz w:val="19"/>
              </w:rPr>
              <w:t>Performance regression</w:t>
            </w:r>
          </w:p>
        </w:tc>
        <w:tc>
          <w:tcPr>
            <w:tcW w:type="dxa" w:w="5953"/>
          </w:tcPr>
          <w:p>
            <w:r>
              <w:rPr>
                <w:sz w:val="19"/>
              </w:rPr>
              <w:t>Baseline before, measure after; right-size with headroom for first 30 days</w:t>
            </w:r>
          </w:p>
        </w:tc>
      </w:tr>
      <w:tr>
        <w:tc>
          <w:tcPr>
            <w:tcW w:type="dxa" w:w="3402"/>
          </w:tcPr>
          <w:p>
            <w:r>
              <w:rPr>
                <w:sz w:val="19"/>
              </w:rPr>
              <w:t>Data loss or corruption</w:t>
            </w:r>
          </w:p>
        </w:tc>
        <w:tc>
          <w:tcPr>
            <w:tcW w:type="dxa" w:w="5953"/>
          </w:tcPr>
          <w:p>
            <w:r>
              <w:rPr>
                <w:sz w:val="19"/>
              </w:rPr>
              <w:t>Verified backups, validation scripts, read-only source during cutover</w:t>
            </w:r>
          </w:p>
        </w:tc>
      </w:tr>
      <w:tr>
        <w:tc>
          <w:tcPr>
            <w:tcW w:type="dxa" w:w="3402"/>
          </w:tcPr>
          <w:p>
            <w:r>
              <w:rPr>
                <w:sz w:val="19"/>
              </w:rPr>
              <w:t>Security gaps at go-live</w:t>
            </w:r>
          </w:p>
        </w:tc>
        <w:tc>
          <w:tcPr>
            <w:tcW w:type="dxa" w:w="5953"/>
          </w:tcPr>
          <w:p>
            <w:r>
              <w:rPr>
                <w:sz w:val="19"/>
              </w:rPr>
              <w:t>Landing-zone guardrails; security sign-off in go / no-go</w:t>
            </w:r>
          </w:p>
        </w:tc>
      </w:tr>
      <w:tr>
        <w:tc>
          <w:tcPr>
            <w:tcW w:type="dxa" w:w="3402"/>
          </w:tcPr>
          <w:p>
            <w:r>
              <w:rPr>
                <w:sz w:val="19"/>
              </w:rPr>
              <w:t>Regulatory breach (residency / logging)</w:t>
            </w:r>
          </w:p>
        </w:tc>
        <w:tc>
          <w:tcPr>
            <w:tcW w:type="dxa" w:w="5953"/>
          </w:tcPr>
          <w:p>
            <w:r>
              <w:rPr>
                <w:sz w:val="19"/>
              </w:rPr>
              <w:t>Region policy; in-country log retention ≥ 180 days; DPDP review</w:t>
            </w:r>
          </w:p>
        </w:tc>
      </w:tr>
      <w:tr>
        <w:tc>
          <w:tcPr>
            <w:tcW w:type="dxa" w:w="3402"/>
          </w:tcPr>
          <w:p>
            <w:r>
              <w:rPr>
                <w:sz w:val="19"/>
              </w:rPr>
              <w:t>Business disruption</w:t>
            </w:r>
          </w:p>
        </w:tc>
        <w:tc>
          <w:tcPr>
            <w:tcW w:type="dxa" w:w="5953"/>
          </w:tcPr>
          <w:p>
            <w:r>
              <w:rPr>
                <w:sz w:val="19"/>
              </w:rPr>
              <w:t>Blackout calendar; communications; rehearsed rollback</w:t>
            </w:r>
          </w:p>
        </w:tc>
      </w:tr>
    </w:tbl>
    <w:p/>
    <w:p>
      <w:pPr>
        <w:pStyle w:val="Heading1"/>
      </w:pPr>
      <w:r>
        <w:t>13. Compliance notes for India</w:t>
      </w:r>
    </w:p>
    <w:p>
      <w:pPr>
        <w:pStyle w:val="ListBullet"/>
      </w:pPr>
      <w:r>
        <w:t>Digital Personal Data Protection Act 2023 and Rules — reasonable security safeguards, breach notification, purpose limitation, data-principal rights.</w:t>
      </w:r>
    </w:p>
    <w:p>
      <w:pPr>
        <w:pStyle w:val="ListBullet"/>
      </w:pPr>
      <w:r>
        <w:t>CERT-In Directions (April 2022) — report specified incidents within 6 hours; retain ICT logs for 180 days within India; synchronise clocks to approved NTP sources.</w:t>
      </w:r>
    </w:p>
    <w:p>
      <w:pPr>
        <w:pStyle w:val="ListBullet"/>
      </w:pPr>
      <w:r>
        <w:t>Sector regulators — RBI (IT outsourcing, cyber resilience), SEBI (cloud services framework), IRDAI (information and cyber security guidelines) where applicable.</w:t>
      </w:r>
    </w:p>
    <w:p>
      <w:pPr>
        <w:pStyle w:val="ListBullet"/>
      </w:pPr>
      <w:r>
        <w:t>Government workloads — confirm MeitY empanelment of the specific cloud service and region.</w:t>
      </w:r>
    </w:p>
    <w:p>
      <w:pPr>
        <w:pStyle w:val="Heading1"/>
      </w:pPr>
      <w:r>
        <w:t>14. Templates referenced</w:t>
      </w:r>
    </w:p>
    <w:p>
      <w:pPr>
        <w:pStyle w:val="ListBullet"/>
      </w:pPr>
      <w:r>
        <w:t>Discovery &amp; Assessment Workbook (.xlsx)</w:t>
      </w:r>
    </w:p>
    <w:p>
      <w:pPr>
        <w:pStyle w:val="ListBullet"/>
      </w:pPr>
      <w:r>
        <w:t>Pre-Migration Checklist (.xlsx)</w:t>
      </w:r>
    </w:p>
    <w:p>
      <w:pPr>
        <w:pStyle w:val="ListBullet"/>
      </w:pPr>
      <w:r>
        <w:t>Cutover Runbook (.xlsx)</w:t>
      </w:r>
    </w:p>
    <w:p>
      <w:pPr>
        <w:pStyle w:val="ListBullet"/>
      </w:pPr>
      <w:r>
        <w:t>Post-Migration Checklist (.xlsx)</w:t>
      </w:r>
    </w:p>
    <w:p>
      <w:pPr>
        <w:pStyle w:val="ListBullet"/>
      </w:pPr>
      <w:r>
        <w:t>Managed Services Runbook, RACI &amp; SLA (.xlsx)</w:t>
      </w:r>
    </w:p>
    <w:p>
      <w:pPr>
        <w:pStyle w:val="ListBullet"/>
      </w:pPr>
      <w:r>
        <w:t>Security Assessment Checklist (.xlsx)</w:t>
      </w:r>
    </w:p>
    <w:p>
      <w:pPr>
        <w:pStyle w:val="Heading1"/>
      </w:pPr>
      <w:r>
        <w:t>Appendix A — Glossary</w:t>
      </w:r>
    </w:p>
    <w:tbl>
      <w:tblPr>
        <w:tblStyle w:val="TableGrid"/>
        <w:tblW w:type="auto" w:w="0"/>
        <w:jc w:val="left"/>
        <w:tblLook w:firstColumn="1" w:firstRow="1" w:lastColumn="0" w:lastRow="0" w:noHBand="0" w:noVBand="1" w:val="04A0"/>
      </w:tblPr>
      <w:tblGrid>
        <w:gridCol w:w="4873"/>
        <w:gridCol w:w="4873"/>
      </w:tblGrid>
      <w:tr>
        <w:tc>
          <w:tcPr>
            <w:tcW w:type="dxa" w:w="2268"/>
            <w:shd w:val="clear" w:color="auto" w:fill="15191C"/>
          </w:tcPr>
          <w:p>
            <w:r/>
            <w:r>
              <w:rPr>
                <w:b/>
                <w:color w:val="FFFFFF"/>
                <w:sz w:val="19"/>
              </w:rPr>
              <w:t>Term</w:t>
            </w:r>
          </w:p>
        </w:tc>
        <w:tc>
          <w:tcPr>
            <w:tcW w:type="dxa" w:w="7087"/>
            <w:shd w:val="clear" w:color="auto" w:fill="15191C"/>
          </w:tcPr>
          <w:p>
            <w:r/>
            <w:r>
              <w:rPr>
                <w:b/>
                <w:color w:val="FFFFFF"/>
                <w:sz w:val="19"/>
              </w:rPr>
              <w:t>Meaning</w:t>
            </w:r>
          </w:p>
        </w:tc>
      </w:tr>
      <w:tr>
        <w:tc>
          <w:tcPr>
            <w:tcW w:type="dxa" w:w="2268"/>
          </w:tcPr>
          <w:p>
            <w:r>
              <w:rPr>
                <w:sz w:val="19"/>
              </w:rPr>
              <w:t>7R</w:t>
            </w:r>
          </w:p>
        </w:tc>
        <w:tc>
          <w:tcPr>
            <w:tcW w:type="dxa" w:w="7087"/>
          </w:tcPr>
          <w:p>
            <w:r>
              <w:rPr>
                <w:sz w:val="19"/>
              </w:rPr>
              <w:t>Retire, Retain, Rehost, Relocate, Replatform, Repurchase, Refactor</w:t>
            </w:r>
          </w:p>
        </w:tc>
      </w:tr>
      <w:tr>
        <w:tc>
          <w:tcPr>
            <w:tcW w:type="dxa" w:w="2268"/>
          </w:tcPr>
          <w:p>
            <w:r>
              <w:rPr>
                <w:sz w:val="19"/>
              </w:rPr>
              <w:t>CDC</w:t>
            </w:r>
          </w:p>
        </w:tc>
        <w:tc>
          <w:tcPr>
            <w:tcW w:type="dxa" w:w="7087"/>
          </w:tcPr>
          <w:p>
            <w:r>
              <w:rPr>
                <w:sz w:val="19"/>
              </w:rPr>
              <w:t>Change data capture — continuous replication of database changes</w:t>
            </w:r>
          </w:p>
        </w:tc>
      </w:tr>
      <w:tr>
        <w:tc>
          <w:tcPr>
            <w:tcW w:type="dxa" w:w="2268"/>
          </w:tcPr>
          <w:p>
            <w:r>
              <w:rPr>
                <w:sz w:val="19"/>
              </w:rPr>
              <w:t>Move group</w:t>
            </w:r>
          </w:p>
        </w:tc>
        <w:tc>
          <w:tcPr>
            <w:tcW w:type="dxa" w:w="7087"/>
          </w:tcPr>
          <w:p>
            <w:r>
              <w:rPr>
                <w:sz w:val="19"/>
              </w:rPr>
              <w:t>Set of servers / applications migrated together because of dependencies</w:t>
            </w:r>
          </w:p>
        </w:tc>
      </w:tr>
      <w:tr>
        <w:tc>
          <w:tcPr>
            <w:tcW w:type="dxa" w:w="2268"/>
          </w:tcPr>
          <w:p>
            <w:r>
              <w:rPr>
                <w:sz w:val="19"/>
              </w:rPr>
              <w:t>RTO / RPO</w:t>
            </w:r>
          </w:p>
        </w:tc>
        <w:tc>
          <w:tcPr>
            <w:tcW w:type="dxa" w:w="7087"/>
          </w:tcPr>
          <w:p>
            <w:r>
              <w:rPr>
                <w:sz w:val="19"/>
              </w:rPr>
              <w:t>Recovery time objective / recovery point objective</w:t>
            </w:r>
          </w:p>
        </w:tc>
      </w:tr>
      <w:tr>
        <w:tc>
          <w:tcPr>
            <w:tcW w:type="dxa" w:w="2268"/>
          </w:tcPr>
          <w:p>
            <w:r>
              <w:rPr>
                <w:sz w:val="19"/>
              </w:rPr>
              <w:t>Hypercare</w:t>
            </w:r>
          </w:p>
        </w:tc>
        <w:tc>
          <w:tcPr>
            <w:tcW w:type="dxa" w:w="7087"/>
          </w:tcPr>
          <w:p>
            <w:r>
              <w:rPr>
                <w:sz w:val="19"/>
              </w:rPr>
              <w:t>Heightened support period immediately after go-live</w:t>
            </w:r>
          </w:p>
        </w:tc>
      </w:tr>
      <w:tr>
        <w:tc>
          <w:tcPr>
            <w:tcW w:type="dxa" w:w="2268"/>
          </w:tcPr>
          <w:p>
            <w:r>
              <w:rPr>
                <w:sz w:val="19"/>
              </w:rPr>
              <w:t>Landing zone</w:t>
            </w:r>
          </w:p>
        </w:tc>
        <w:tc>
          <w:tcPr>
            <w:tcW w:type="dxa" w:w="7087"/>
          </w:tcPr>
          <w:p>
            <w:r>
              <w:rPr>
                <w:sz w:val="19"/>
              </w:rPr>
              <w:t>Pre-configured, governed cloud foundation for workloads</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519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191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191C"/>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5191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