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442B"/>
          <w:sz w:val="22"/>
        </w:rPr>
        <w:t>CloudMigrate.in</w:t>
      </w:r>
    </w:p>
    <w:p>
      <w:r>
        <w:rPr>
          <w:b/>
          <w:sz w:val="52"/>
        </w:rPr>
        <w:t>Proof of Concept Charter</w:t>
      </w:r>
    </w:p>
    <w:p>
      <w:r>
        <w:rPr>
          <w:color w:val="676C6E"/>
          <w:sz w:val="24"/>
        </w:rPr>
        <w:t>Template with a worked example for Microsoft Azure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E7DC"/>
          </w:tcPr>
          <w:p>
            <w:r>
              <w:t>Cloud</w:t>
            </w:r>
          </w:p>
        </w:tc>
        <w:tc>
          <w:tcPr>
            <w:tcW w:type="dxa" w:w="4873"/>
          </w:tcPr>
          <w:p>
            <w:r>
              <w:t>Microsoft Azure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v1.0 — 21 Oct 2026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[Customer name]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Owner</w:t>
            </w:r>
          </w:p>
        </w:tc>
        <w:tc>
          <w:tcPr>
            <w:tcW w:type="dxa" w:w="4873"/>
          </w:tcPr>
          <w:p>
            <w:r>
              <w:t>[Programme / migration lead]</w:t>
            </w:r>
          </w:p>
        </w:tc>
      </w:tr>
    </w:tbl>
    <w:p/>
    <w:p>
      <w:r>
        <w:rPr>
          <w:i/>
          <w:color w:val="676C6E"/>
          <w:sz w:val="18"/>
        </w:rPr>
        <w:t>Template provided as-is. Replace bracketed text, delete guidance you do not need, and validate vendor programme terms before use.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POC title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Claims-triage agent on Microsoft Foundry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Start / decision 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[dd-mmm-yyyy] / [dd-mmm-yyyy]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Time box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4–6 weeks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Isolated sandbox in Microsoft Azure with budget alerts and guardrails</w:t>
            </w:r>
          </w:p>
        </w:tc>
      </w:tr>
    </w:tbl>
    <w:p/>
    <w:p>
      <w:pPr>
        <w:pStyle w:val="Heading1"/>
      </w:pPr>
      <w:r>
        <w:t>2. Business question and hypothesis</w:t>
      </w:r>
    </w:p>
    <w:p>
      <w:r>
        <w:t>Business question: [What decision will this POC enable?]</w:t>
      </w:r>
    </w:p>
    <w:p>
      <w:r>
        <w:t>Hypothesis (example): A Foundry agent grounded on policy documents and claims history can triage 70% of incoming motor claims to the right queue with a justification, cutting first-touch time by half.</w:t>
      </w:r>
    </w:p>
    <w:p>
      <w:pPr>
        <w:pStyle w:val="Heading1"/>
      </w:pPr>
      <w:r>
        <w:t>3. Success criteria</w:t>
      </w:r>
    </w:p>
    <w:p>
      <w:r>
        <w:t>Each criterion must be measurable and agreed by the sponsor before build 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Triage accuracy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≥ 70% correct queue on 500 historical claims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Groundedness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≥ 4.0 / 5 on Foundry evaluation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Content safety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0 high-severity Content Safety flags on the test set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Latency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p95 ≤ 6 seconds per claim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Projected monthly run cost within approved budget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Scope</w:t>
      </w:r>
    </w:p>
    <w:p>
      <w:r>
        <w:t>In scope:</w:t>
      </w:r>
    </w:p>
    <w:p>
      <w:pPr>
        <w:pStyle w:val="ListBullet"/>
      </w:pPr>
      <w:r>
        <w:t>[Use cases / user journeys]</w:t>
      </w:r>
    </w:p>
    <w:p>
      <w:pPr>
        <w:pStyle w:val="ListBullet"/>
      </w:pPr>
      <w:r>
        <w:t>[Data sets and volumes]</w:t>
      </w:r>
    </w:p>
    <w:p>
      <w:pPr>
        <w:pStyle w:val="ListBullet"/>
      </w:pPr>
      <w:r>
        <w:t>[Integrations]</w:t>
      </w:r>
    </w:p>
    <w:p>
      <w:r>
        <w:t>Out of scope:</w:t>
      </w:r>
    </w:p>
    <w:p>
      <w:pPr>
        <w:pStyle w:val="ListBullet"/>
      </w:pPr>
      <w:r>
        <w:t>Production cut-over</w:t>
      </w:r>
    </w:p>
    <w:p>
      <w:pPr>
        <w:pStyle w:val="ListBullet"/>
      </w:pPr>
      <w:r>
        <w:t>Full HA / DR (designed, not built)</w:t>
      </w:r>
    </w:p>
    <w:p>
      <w:pPr>
        <w:pStyle w:val="ListBullet"/>
      </w:pPr>
      <w:r>
        <w:t>[Other exclusions]</w:t>
      </w:r>
    </w:p>
    <w:p>
      <w:pPr>
        <w:pStyle w:val="Heading1"/>
      </w:pPr>
      <w:r>
        <w:t>5. Architecture (POC)</w:t>
      </w:r>
    </w:p>
    <w:p>
      <w:r>
        <w:t>Services (example): Microsoft Foundry Agent Service, Azure OpenAI, AI Search, Content Safety, API Management, Azure SQL.</w:t>
      </w:r>
    </w:p>
    <w:p>
      <w:r>
        <w:t>Guardrails: Azure Landing Zones (CAF) — management groups, Azure Policy; Microsoft Entra ID with Privileged Identity Management and Conditional Access; budgets and alerts; data classification applied to POC data; no production credentials.</w:t>
      </w:r>
    </w:p>
    <w:p>
      <w:pPr>
        <w:pStyle w:val="Heading1"/>
      </w:pPr>
      <w:r>
        <w:t>6.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Data set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41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[e.g. policy documents]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[Internal / Personal]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[GB / rows]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[System]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[Masked / synthetic / approved copy]</w:t>
            </w:r>
          </w:p>
        </w:tc>
      </w:tr>
    </w:tbl>
    <w:p/>
    <w:p>
      <w:pPr>
        <w:pStyle w:val="Heading1"/>
      </w:pPr>
      <w:r>
        <w:t>7.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51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4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Charter sign-off, environment, data access, test set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Signed charter, sandbox ready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Build minimum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Working POC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Testing against criteria; user feedback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Results log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Cost model, production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Production design and estimate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Read-out and decision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Go / no-go</w:t>
            </w:r>
          </w:p>
        </w:tc>
      </w:tr>
    </w:tbl>
    <w:p/>
    <w:p>
      <w:pPr>
        <w:pStyle w:val="Heading1"/>
      </w:pPr>
      <w:r>
        <w:t>8.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Owns the decision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Design and delivery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data use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guardrails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Users / testers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Evaluate outcomes</w:t>
            </w:r>
          </w:p>
        </w:tc>
      </w:tr>
    </w:tbl>
    <w:p/>
    <w:p>
      <w:pPr>
        <w:pStyle w:val="Heading1"/>
      </w:pPr>
      <w:r>
        <w:t>9. Risks and assumptions</w:t>
      </w:r>
    </w:p>
    <w:p>
      <w:pPr>
        <w:pStyle w:val="ListBullet"/>
      </w:pPr>
      <w:r>
        <w:t>Data access approved by [date].</w:t>
      </w:r>
    </w:p>
    <w:p>
      <w:pPr>
        <w:pStyle w:val="ListBullet"/>
      </w:pPr>
      <w:r>
        <w:t>Test users available in week 4.</w:t>
      </w:r>
    </w:p>
    <w:p>
      <w:pPr>
        <w:pStyle w:val="ListBullet"/>
      </w:pPr>
      <w:r>
        <w:t>Vendor quotas / service availability in the target region confirmed.</w:t>
      </w:r>
    </w:p>
    <w:p>
      <w:pPr>
        <w:pStyle w:val="ListBullet"/>
      </w:pPr>
      <w:r>
        <w:t>[Other]</w:t>
      </w:r>
    </w:p>
    <w:p>
      <w:pPr>
        <w:pStyle w:val="Heading1"/>
      </w:pPr>
      <w:r>
        <w:t>10. Funding</w:t>
      </w:r>
    </w:p>
    <w:p>
      <w:r>
        <w:t>Check partner / vendor funding eligibility (see the CloudMigrate Funding Advisor for Microsoft Azure programmes).</w:t>
      </w:r>
    </w:p>
    <w:p>
      <w:pPr>
        <w:pStyle w:val="Heading1"/>
      </w:pPr>
      <w:r>
        <w:t>11.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Next steps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Signed (sponsor)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[Go / No-go / Extend]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9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9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