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442B"/>
          <w:sz w:val="22"/>
        </w:rPr>
        <w:t>CloudMigrate.in</w:t>
      </w:r>
    </w:p>
    <w:p>
      <w:r>
        <w:rPr>
          <w:b/>
          <w:sz w:val="52"/>
        </w:rPr>
        <w:t>Proof of Concept Charter</w:t>
      </w:r>
    </w:p>
    <w:p>
      <w:r>
        <w:rPr>
          <w:color w:val="676C6E"/>
          <w:sz w:val="24"/>
        </w:rPr>
        <w:t>Template with a worked example for Google Cloud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BE7DC"/>
          </w:tcPr>
          <w:p>
            <w:r>
              <w:t>Cloud</w:t>
            </w:r>
          </w:p>
        </w:tc>
        <w:tc>
          <w:tcPr>
            <w:tcW w:type="dxa" w:w="4873"/>
          </w:tcPr>
          <w:p>
            <w:r>
              <w:t>Google Cloud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v1.0 — 21 Oct 2026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Customer</w:t>
            </w:r>
          </w:p>
        </w:tc>
        <w:tc>
          <w:tcPr>
            <w:tcW w:type="dxa" w:w="4873"/>
          </w:tcPr>
          <w:p>
            <w:r>
              <w:t>[Customer name]</w:t>
            </w:r>
          </w:p>
        </w:tc>
      </w:tr>
      <w:tr>
        <w:tc>
          <w:tcPr>
            <w:tcW w:type="dxa" w:w="4873"/>
            <w:shd w:val="clear" w:color="auto" w:fill="EBE7DC"/>
          </w:tcPr>
          <w:p>
            <w:r>
              <w:t>Owner</w:t>
            </w:r>
          </w:p>
        </w:tc>
        <w:tc>
          <w:tcPr>
            <w:tcW w:type="dxa" w:w="4873"/>
          </w:tcPr>
          <w:p>
            <w:r>
              <w:t>[Programme / migration lead]</w:t>
            </w:r>
          </w:p>
        </w:tc>
      </w:tr>
    </w:tbl>
    <w:p/>
    <w:p>
      <w:r>
        <w:rPr>
          <w:i/>
          <w:color w:val="676C6E"/>
          <w:sz w:val="18"/>
        </w:rPr>
        <w:t>Template provided as-is. Replace bracketed text, delete guidance you do not need, and validate vendor programme terms before use.</w:t>
      </w:r>
    </w:p>
    <w:p>
      <w:pPr>
        <w:pStyle w:val="Heading1"/>
      </w:pPr>
      <w:r>
        <w:t>1.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POC title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BigQuery warehouse modernisation POC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[Name, role]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Start / decision date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[dd-mmm-yyyy] / [dd-mmm-yyyy]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Time box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4–6 weeks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Isolated sandbox in Google Cloud with budget alerts and guardrails</w:t>
            </w:r>
          </w:p>
        </w:tc>
      </w:tr>
    </w:tbl>
    <w:p/>
    <w:p>
      <w:pPr>
        <w:pStyle w:val="Heading1"/>
      </w:pPr>
      <w:r>
        <w:t>2. Business question and hypothesis</w:t>
      </w:r>
    </w:p>
    <w:p>
      <w:r>
        <w:t>Business question: [What decision will this POC enable?]</w:t>
      </w:r>
    </w:p>
    <w:p>
      <w:r>
        <w:t>Hypothesis (example): Moving the sales-analytics mart to BigQuery cuts month-end report runtime by 70% at equal or lower monthly cost.</w:t>
      </w:r>
    </w:p>
    <w:p>
      <w:pPr>
        <w:pStyle w:val="Heading1"/>
      </w:pPr>
      <w:r>
        <w:t>3. Success criteria</w:t>
      </w:r>
    </w:p>
    <w:p>
      <w:r>
        <w:t>Each criterion must be measurable and agreed by the sponsor before build starts.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Measurement method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Query parity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100% of 150 top queries return identical results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Month-end batch ≤ 30% of current runtime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Cost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Monthly cost ≤ current platform run-rate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Column-level security on PII columns enforced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Adoption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Three business users rebuild their dashboards in Looker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[How it will be measured]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Scope</w:t>
      </w:r>
    </w:p>
    <w:p>
      <w:r>
        <w:t>In scope:</w:t>
      </w:r>
    </w:p>
    <w:p>
      <w:pPr>
        <w:pStyle w:val="ListBullet"/>
      </w:pPr>
      <w:r>
        <w:t>[Use cases / user journeys]</w:t>
      </w:r>
    </w:p>
    <w:p>
      <w:pPr>
        <w:pStyle w:val="ListBullet"/>
      </w:pPr>
      <w:r>
        <w:t>[Data sets and volumes]</w:t>
      </w:r>
    </w:p>
    <w:p>
      <w:pPr>
        <w:pStyle w:val="ListBullet"/>
      </w:pPr>
      <w:r>
        <w:t>[Integrations]</w:t>
      </w:r>
    </w:p>
    <w:p>
      <w:r>
        <w:t>Out of scope:</w:t>
      </w:r>
    </w:p>
    <w:p>
      <w:pPr>
        <w:pStyle w:val="ListBullet"/>
      </w:pPr>
      <w:r>
        <w:t>Production cut-over</w:t>
      </w:r>
    </w:p>
    <w:p>
      <w:pPr>
        <w:pStyle w:val="ListBullet"/>
      </w:pPr>
      <w:r>
        <w:t>Full HA / DR (designed, not built)</w:t>
      </w:r>
    </w:p>
    <w:p>
      <w:pPr>
        <w:pStyle w:val="ListBullet"/>
      </w:pPr>
      <w:r>
        <w:t>[Other exclusions]</w:t>
      </w:r>
    </w:p>
    <w:p>
      <w:pPr>
        <w:pStyle w:val="Heading1"/>
      </w:pPr>
      <w:r>
        <w:t>5. Architecture (POC)</w:t>
      </w:r>
    </w:p>
    <w:p>
      <w:r>
        <w:t>Services (example): BigQuery, BigQuery Migration Service, Dataflow, Looker, Cloud Storage.</w:t>
      </w:r>
    </w:p>
    <w:p>
      <w:r>
        <w:t>Guardrails: Cloud Foundation Fabric — resource hierarchy, organisation policies; Cloud Identity / Workforce Identity Federation with the corporate IdP; budgets and alerts; data classification applied to POC data; no production credentials.</w:t>
      </w:r>
    </w:p>
    <w:p>
      <w:pPr>
        <w:pStyle w:val="Heading1"/>
      </w:pPr>
      <w:r>
        <w:t>6.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Data set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1417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Volume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Handling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[e.g. policy documents]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[Internal / Personal]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[GB / rows]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[System]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[Masked / synthetic / approved copy]</w:t>
            </w:r>
          </w:p>
        </w:tc>
      </w:tr>
    </w:tbl>
    <w:p/>
    <w:p>
      <w:pPr>
        <w:pStyle w:val="Heading1"/>
      </w:pPr>
      <w:r>
        <w:t>7.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51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3402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Charter sign-off, environment, data access, test set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Signed charter, sandbox ready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2–3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Build minimum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Working POC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Testing against criteria; user feedback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Results log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Cost model, production architecture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Production design and estimate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Read-out and decision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Go / no-go</w:t>
            </w:r>
          </w:p>
        </w:tc>
      </w:tr>
    </w:tbl>
    <w:p/>
    <w:p>
      <w:pPr>
        <w:pStyle w:val="Heading1"/>
      </w:pPr>
      <w:r>
        <w:t>8.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4819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Sponsor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Owns the decision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Design and delivery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Data owner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data use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Approves guardrails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Users / testers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Evaluate outcomes</w:t>
            </w:r>
          </w:p>
        </w:tc>
      </w:tr>
    </w:tbl>
    <w:p/>
    <w:p>
      <w:pPr>
        <w:pStyle w:val="Heading1"/>
      </w:pPr>
      <w:r>
        <w:t>9. Risks and assumptions</w:t>
      </w:r>
    </w:p>
    <w:p>
      <w:pPr>
        <w:pStyle w:val="ListBullet"/>
      </w:pPr>
      <w:r>
        <w:t>Data access approved by [date].</w:t>
      </w:r>
    </w:p>
    <w:p>
      <w:pPr>
        <w:pStyle w:val="ListBullet"/>
      </w:pPr>
      <w:r>
        <w:t>Test users available in week 4.</w:t>
      </w:r>
    </w:p>
    <w:p>
      <w:pPr>
        <w:pStyle w:val="ListBullet"/>
      </w:pPr>
      <w:r>
        <w:t>Vendor quotas / service availability in the target region confirmed.</w:t>
      </w:r>
    </w:p>
    <w:p>
      <w:pPr>
        <w:pStyle w:val="ListBullet"/>
      </w:pPr>
      <w:r>
        <w:t>[Other]</w:t>
      </w:r>
    </w:p>
    <w:p>
      <w:pPr>
        <w:pStyle w:val="Heading1"/>
      </w:pPr>
      <w:r>
        <w:t>10. Funding</w:t>
      </w:r>
    </w:p>
    <w:p>
      <w:pPr>
        <w:pStyle w:val="ListBullet"/>
      </w:pPr>
      <w:r>
        <w:t>Rapid Migration and Modernization Program (RaMP) — Assessment, planning and migration support; credits</w:t>
      </w:r>
    </w:p>
    <w:p>
      <w:pPr>
        <w:pStyle w:val="ListBullet"/>
      </w:pPr>
      <w:r>
        <w:t>Committed use discounts — Discounted compute / database run-rate</w:t>
      </w:r>
    </w:p>
    <w:p>
      <w:pPr>
        <w:pStyle w:val="ListBullet"/>
      </w:pPr>
      <w:r>
        <w:t>Google Cloud Marketplace private offers — ISV software drawn down against commit</w:t>
      </w:r>
    </w:p>
    <w:p>
      <w:pPr>
        <w:pStyle w:val="Heading1"/>
      </w:pPr>
      <w:r>
        <w:t>11. Decision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Next steps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Signed (sponsor)</w:t>
            </w:r>
          </w:p>
        </w:tc>
        <w:tc>
          <w:tcPr>
            <w:tcW w:type="dxa" w:w="1134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[Go / No-go / Extend]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12.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701"/>
            <w:shd w:val="clear" w:color="auto" w:fill="15191C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Business sponsor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Technical lead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Security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519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91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9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9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