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442B"/>
          <w:sz w:val="22"/>
        </w:rPr>
        <w:t>CloudMigrate.in</w:t>
      </w:r>
    </w:p>
    <w:p>
      <w:r>
        <w:rPr>
          <w:b/>
          <w:sz w:val="52"/>
        </w:rPr>
        <w:t>Proof of Concept Charter</w:t>
      </w:r>
    </w:p>
    <w:p>
      <w:r>
        <w:rPr>
          <w:color w:val="676C6E"/>
          <w:sz w:val="24"/>
        </w:rPr>
        <w:t>Template with a worked example for JioCloud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BE7DC"/>
          </w:tcPr>
          <w:p>
            <w:r>
              <w:t>Cloud</w:t>
            </w:r>
          </w:p>
        </w:tc>
        <w:tc>
          <w:tcPr>
            <w:tcW w:type="dxa" w:w="4873"/>
          </w:tcPr>
          <w:p>
            <w:r>
              <w:t>JioCloud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Version</w:t>
            </w:r>
          </w:p>
        </w:tc>
        <w:tc>
          <w:tcPr>
            <w:tcW w:type="dxa" w:w="4873"/>
          </w:tcPr>
          <w:p>
            <w:r>
              <w:t>v1.0 — 21 Oct 2026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Customer</w:t>
            </w:r>
          </w:p>
        </w:tc>
        <w:tc>
          <w:tcPr>
            <w:tcW w:type="dxa" w:w="4873"/>
          </w:tcPr>
          <w:p>
            <w:r>
              <w:t>[Customer name]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Owner</w:t>
            </w:r>
          </w:p>
        </w:tc>
        <w:tc>
          <w:tcPr>
            <w:tcW w:type="dxa" w:w="4873"/>
          </w:tcPr>
          <w:p>
            <w:r>
              <w:t>[Programme / migration lead]</w:t>
            </w:r>
          </w:p>
        </w:tc>
      </w:tr>
    </w:tbl>
    <w:p/>
    <w:p>
      <w:r>
        <w:rPr>
          <w:i/>
          <w:color w:val="676C6E"/>
          <w:sz w:val="18"/>
        </w:rPr>
        <w:t>Template provided as-is. Replace bracketed text, delete guidance you do not need, and validate vendor programme terms before use.</w:t>
      </w:r>
    </w:p>
    <w:p>
      <w:pPr>
        <w:pStyle w:val="Heading1"/>
      </w:pPr>
      <w:r>
        <w:t>1.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POC title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In-country Indic-language customer-service assistant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Business sponsor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[Name, role]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[Name, role]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Start / decision date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[dd-mmm-yyyy] / [dd-mmm-yyyy]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Time box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4–6 weeks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Isolated sandbox in JioCloud with budget alerts and guardrails</w:t>
            </w:r>
          </w:p>
        </w:tc>
      </w:tr>
    </w:tbl>
    <w:p/>
    <w:p>
      <w:pPr>
        <w:pStyle w:val="Heading1"/>
      </w:pPr>
      <w:r>
        <w:t>2. Business question and hypothesis</w:t>
      </w:r>
    </w:p>
    <w:p>
      <w:r>
        <w:t>Business question: [What decision will this POC enable?]</w:t>
      </w:r>
    </w:p>
    <w:p>
      <w:r>
        <w:t>Hypothesis (example): An assistant running entirely on in-country infrastructure can resolve 60% of Hindi and English billing queries without agent hand-off, with no personal data leaving India.</w:t>
      </w:r>
    </w:p>
    <w:p>
      <w:pPr>
        <w:pStyle w:val="Heading1"/>
      </w:pPr>
      <w:r>
        <w:t>3. Success criteria</w:t>
      </w:r>
    </w:p>
    <w:p>
      <w:r>
        <w:t>Each criterion must be measurable and agreed by the sponsor before build starts.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835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Measurement method</w:t>
            </w:r>
          </w:p>
        </w:tc>
        <w:tc>
          <w:tcPr>
            <w:tcW w:type="dxa" w:w="113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Resolution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≥ 60% of 1,000 sampled queries resolved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Languages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Hindi and English accuracy within 5 points of each other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Residency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100% of prompts, logs and embeddings stored in India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Latency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p95 ≤ 3 seconds from Mumbai, Delhi and Bengaluru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Compliance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DPDP consent and purpose logging demonstrated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Scope</w:t>
      </w:r>
    </w:p>
    <w:p>
      <w:r>
        <w:t>In scope:</w:t>
      </w:r>
    </w:p>
    <w:p>
      <w:pPr>
        <w:pStyle w:val="ListBullet"/>
      </w:pPr>
      <w:r>
        <w:t>[Use cases / user journeys]</w:t>
      </w:r>
    </w:p>
    <w:p>
      <w:pPr>
        <w:pStyle w:val="ListBullet"/>
      </w:pPr>
      <w:r>
        <w:t>[Data sets and volumes]</w:t>
      </w:r>
    </w:p>
    <w:p>
      <w:pPr>
        <w:pStyle w:val="ListBullet"/>
      </w:pPr>
      <w:r>
        <w:t>[Integrations]</w:t>
      </w:r>
    </w:p>
    <w:p>
      <w:r>
        <w:t>Out of scope:</w:t>
      </w:r>
    </w:p>
    <w:p>
      <w:pPr>
        <w:pStyle w:val="ListBullet"/>
      </w:pPr>
      <w:r>
        <w:t>Production cut-over</w:t>
      </w:r>
    </w:p>
    <w:p>
      <w:pPr>
        <w:pStyle w:val="ListBullet"/>
      </w:pPr>
      <w:r>
        <w:t>Full HA / DR (designed, not built)</w:t>
      </w:r>
    </w:p>
    <w:p>
      <w:pPr>
        <w:pStyle w:val="ListBullet"/>
      </w:pPr>
      <w:r>
        <w:t>[Other exclusions]</w:t>
      </w:r>
    </w:p>
    <w:p>
      <w:pPr>
        <w:pStyle w:val="Heading1"/>
      </w:pPr>
      <w:r>
        <w:t>5. Architecture (POC)</w:t>
      </w:r>
    </w:p>
    <w:p>
      <w:r>
        <w:t>Services (example): In-country GPU compute, vector database, API gateway, Jio network.</w:t>
      </w:r>
    </w:p>
    <w:p>
      <w:r>
        <w:t>Guardrails: Sovereign landing zone — segregated environments, in-country keys and logging; Central IdP with MFA, PAM and session recording; budgets and alerts; data classification applied to POC data; no production credentials.</w:t>
      </w:r>
    </w:p>
    <w:p>
      <w:pPr>
        <w:pStyle w:val="Heading1"/>
      </w:pPr>
      <w:r>
        <w:t>6.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Data set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1417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Handling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[e.g. policy documents]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[Internal / Personal]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[GB / rows]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[System]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[Masked / synthetic / approved copy]</w:t>
            </w:r>
          </w:p>
        </w:tc>
      </w:tr>
    </w:tbl>
    <w:p/>
    <w:p>
      <w:pPr>
        <w:pStyle w:val="Heading1"/>
      </w:pPr>
      <w:r>
        <w:t>7.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5102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Activities</w:t>
            </w:r>
          </w:p>
        </w:tc>
        <w:tc>
          <w:tcPr>
            <w:tcW w:type="dxa" w:w="3402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Charter sign-off, environment, data access, test set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Signed charter, sandbox ready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2–3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Build minimum architecture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Working POC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Testing against criteria; user feedback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Results log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Cost model, production architecture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Production design and estimate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Read-out and decision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Go / no-go</w:t>
            </w:r>
          </w:p>
        </w:tc>
      </w:tr>
    </w:tbl>
    <w:p/>
    <w:p>
      <w:pPr>
        <w:pStyle w:val="Heading1"/>
      </w:pPr>
      <w:r>
        <w:t>8.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4819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Sponsor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Owns the decision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Design and delivery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Data owner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Approves data use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Approves guardrails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Users / testers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Evaluate outcomes</w:t>
            </w:r>
          </w:p>
        </w:tc>
      </w:tr>
    </w:tbl>
    <w:p/>
    <w:p>
      <w:pPr>
        <w:pStyle w:val="Heading1"/>
      </w:pPr>
      <w:r>
        <w:t>9. Risks and assumptions</w:t>
      </w:r>
    </w:p>
    <w:p>
      <w:pPr>
        <w:pStyle w:val="ListBullet"/>
      </w:pPr>
      <w:r>
        <w:t>Data access approved by [date].</w:t>
      </w:r>
    </w:p>
    <w:p>
      <w:pPr>
        <w:pStyle w:val="ListBullet"/>
      </w:pPr>
      <w:r>
        <w:t>Test users available in week 4.</w:t>
      </w:r>
    </w:p>
    <w:p>
      <w:pPr>
        <w:pStyle w:val="ListBullet"/>
      </w:pPr>
      <w:r>
        <w:t>Vendor quotas / service availability in the target region confirmed.</w:t>
      </w:r>
    </w:p>
    <w:p>
      <w:pPr>
        <w:pStyle w:val="ListBullet"/>
      </w:pPr>
      <w:r>
        <w:t>[Other]</w:t>
      </w:r>
    </w:p>
    <w:p>
      <w:pPr>
        <w:pStyle w:val="Heading1"/>
      </w:pPr>
      <w:r>
        <w:t>10. Funding</w:t>
      </w:r>
    </w:p>
    <w:p>
      <w:pPr>
        <w:pStyle w:val="ListBullet"/>
      </w:pPr>
      <w:r>
        <w:t>Term commitment pricing (INR) — Lower run-rate for committed capacity</w:t>
      </w:r>
    </w:p>
    <w:p>
      <w:pPr>
        <w:pStyle w:val="ListBullet"/>
      </w:pPr>
      <w:r>
        <w:t>Connectivity + cloud bundle — Combined network and cloud terms</w:t>
      </w:r>
    </w:p>
    <w:p>
      <w:pPr>
        <w:pStyle w:val="ListBullet"/>
      </w:pPr>
      <w:r>
        <w:t>Migration assistance (vendor-specific) — Migration support where offered</w:t>
      </w:r>
    </w:p>
    <w:p>
      <w:pPr>
        <w:pStyle w:val="Heading1"/>
      </w:pPr>
      <w:r>
        <w:t>11. Decision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Next steps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Signed (sponsor)</w:t>
            </w:r>
          </w:p>
        </w:tc>
        <w:tc>
          <w:tcPr>
            <w:tcW w:type="dxa" w:w="113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[Go / No-go / Extend]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12.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Business sponsor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19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19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191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19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