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442B"/>
          <w:sz w:val="22"/>
        </w:rPr>
        <w:t>CloudMigrate.in</w:t>
      </w:r>
    </w:p>
    <w:p>
      <w:r>
        <w:rPr>
          <w:b/>
          <w:sz w:val="52"/>
        </w:rPr>
        <w:t>Proof of Concept Charter</w:t>
      </w:r>
    </w:p>
    <w:p>
      <w:r>
        <w:rPr>
          <w:color w:val="676C6E"/>
          <w:sz w:val="24"/>
        </w:rPr>
        <w:t>Template with a worked example for Oracle Cloud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BE7DC"/>
          </w:tcPr>
          <w:p>
            <w:r>
              <w:t>Cloud</w:t>
            </w:r>
          </w:p>
        </w:tc>
        <w:tc>
          <w:tcPr>
            <w:tcW w:type="dxa" w:w="4873"/>
          </w:tcPr>
          <w:p>
            <w:r>
              <w:t>Oracle Cloud Infrastructure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v1.0 — 21 Oct 2026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Customer</w:t>
            </w:r>
          </w:p>
        </w:tc>
        <w:tc>
          <w:tcPr>
            <w:tcW w:type="dxa" w:w="4873"/>
          </w:tcPr>
          <w:p>
            <w:r>
              <w:t>[Customer name]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Owner</w:t>
            </w:r>
          </w:p>
        </w:tc>
        <w:tc>
          <w:tcPr>
            <w:tcW w:type="dxa" w:w="4873"/>
          </w:tcPr>
          <w:p>
            <w:r>
              <w:t>[Programme / migration lead]</w:t>
            </w:r>
          </w:p>
        </w:tc>
      </w:tr>
    </w:tbl>
    <w:p/>
    <w:p>
      <w:r>
        <w:rPr>
          <w:i/>
          <w:color w:val="676C6E"/>
          <w:sz w:val="18"/>
        </w:rPr>
        <w:t>Template provided as-is. Replace bracketed text, delete guidance you do not need, and validate vendor programme terms before use.</w:t>
      </w:r>
    </w:p>
    <w:p>
      <w:pPr>
        <w:pStyle w:val="Heading1"/>
      </w:pPr>
      <w:r>
        <w:t>1.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POC title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Exadata workload-replay POC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Start / decision date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[dd-mmm-yyyy] / [dd-mmm-yyyy]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Time box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4–6 weeks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Isolated sandbox in Oracle Cloud Infrastructure with budget alerts and guardrails</w:t>
            </w:r>
          </w:p>
        </w:tc>
      </w:tr>
    </w:tbl>
    <w:p/>
    <w:p>
      <w:pPr>
        <w:pStyle w:val="Heading1"/>
      </w:pPr>
      <w:r>
        <w:t>2. Business question and hypothesis</w:t>
      </w:r>
    </w:p>
    <w:p>
      <w:r>
        <w:t>Business question: [What decision will this POC enable?]</w:t>
      </w:r>
    </w:p>
    <w:p>
      <w:r>
        <w:t>Hypothesis (example): Moving the order-management database to Exadata Database Service cuts month-end batch time by 50% with no more OCPUs than currently licensed.</w:t>
      </w:r>
    </w:p>
    <w:p>
      <w:pPr>
        <w:pStyle w:val="Heading1"/>
      </w:pPr>
      <w:r>
        <w:t>3. Success criteria</w:t>
      </w:r>
    </w:p>
    <w:p>
      <w:r>
        <w:t>Each criterion must be measurable and agreed by the sponsor before build starts.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Measurement method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Batch runtime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≤ 50% of current month-end runtime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OLTP latency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p95 transaction response no worse than today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Licensing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OCPU allocation within existing processor entitlements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Stability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0 regressions flagged by SQL Performance Analyzer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Cost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Projected run-rate within business case with BYOL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Scope</w:t>
      </w:r>
    </w:p>
    <w:p>
      <w:r>
        <w:t>In scope:</w:t>
      </w:r>
    </w:p>
    <w:p>
      <w:pPr>
        <w:pStyle w:val="ListBullet"/>
      </w:pPr>
      <w:r>
        <w:t>[Use cases / user journeys]</w:t>
      </w:r>
    </w:p>
    <w:p>
      <w:pPr>
        <w:pStyle w:val="ListBullet"/>
      </w:pPr>
      <w:r>
        <w:t>[Data sets and volumes]</w:t>
      </w:r>
    </w:p>
    <w:p>
      <w:pPr>
        <w:pStyle w:val="ListBullet"/>
      </w:pPr>
      <w:r>
        <w:t>[Integrations]</w:t>
      </w:r>
    </w:p>
    <w:p>
      <w:r>
        <w:t>Out of scope:</w:t>
      </w:r>
    </w:p>
    <w:p>
      <w:pPr>
        <w:pStyle w:val="ListBullet"/>
      </w:pPr>
      <w:r>
        <w:t>Production cut-over</w:t>
      </w:r>
    </w:p>
    <w:p>
      <w:pPr>
        <w:pStyle w:val="ListBullet"/>
      </w:pPr>
      <w:r>
        <w:t>Full HA / DR (designed, not built)</w:t>
      </w:r>
    </w:p>
    <w:p>
      <w:pPr>
        <w:pStyle w:val="ListBullet"/>
      </w:pPr>
      <w:r>
        <w:t>[Other exclusions]</w:t>
      </w:r>
    </w:p>
    <w:p>
      <w:pPr>
        <w:pStyle w:val="Heading1"/>
      </w:pPr>
      <w:r>
        <w:t>5. Architecture (POC)</w:t>
      </w:r>
    </w:p>
    <w:p>
      <w:r>
        <w:t>Services (example): Exadata Database Service, Database Replay, SQL Performance Analyzer, Data Guard.</w:t>
      </w:r>
    </w:p>
    <w:p>
      <w:r>
        <w:t>Guardrails: OCI Landing Zone (CIS-aligned) — compartments, policies; OCI IAM identity domains federated to the corporate IdP, MFA; budgets and alerts; data classification applied to POC data; no production credentials.</w:t>
      </w:r>
    </w:p>
    <w:p>
      <w:pPr>
        <w:pStyle w:val="Heading1"/>
      </w:pPr>
      <w:r>
        <w:t>6.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Data set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141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Handling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[e.g. policy documents]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[Internal / Personal]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[GB / rows]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[System]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[Masked / synthetic / approved copy]</w:t>
            </w:r>
          </w:p>
        </w:tc>
      </w:tr>
    </w:tbl>
    <w:p/>
    <w:p>
      <w:pPr>
        <w:pStyle w:val="Heading1"/>
      </w:pPr>
      <w:r>
        <w:t>7.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51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34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Charter sign-off, environment, data access, test set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Signed charter, sandbox ready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2–3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Build minimum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Working POC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Testing against criteria; user feedback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Results log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Cost model, production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Production design and estimate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Read-out and decision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Go / no-go</w:t>
            </w:r>
          </w:p>
        </w:tc>
      </w:tr>
    </w:tbl>
    <w:p/>
    <w:p>
      <w:pPr>
        <w:pStyle w:val="Heading1"/>
      </w:pPr>
      <w:r>
        <w:t>8.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4819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Sponsor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Owns the decision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Design and delivery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Data owner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data use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guardrails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Users / testers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Evaluate outcomes</w:t>
            </w:r>
          </w:p>
        </w:tc>
      </w:tr>
    </w:tbl>
    <w:p/>
    <w:p>
      <w:pPr>
        <w:pStyle w:val="Heading1"/>
      </w:pPr>
      <w:r>
        <w:t>9. Risks and assumptions</w:t>
      </w:r>
    </w:p>
    <w:p>
      <w:pPr>
        <w:pStyle w:val="ListBullet"/>
      </w:pPr>
      <w:r>
        <w:t>Data access approved by [date].</w:t>
      </w:r>
    </w:p>
    <w:p>
      <w:pPr>
        <w:pStyle w:val="ListBullet"/>
      </w:pPr>
      <w:r>
        <w:t>Test users available in week 4.</w:t>
      </w:r>
    </w:p>
    <w:p>
      <w:pPr>
        <w:pStyle w:val="ListBullet"/>
      </w:pPr>
      <w:r>
        <w:t>Vendor quotas / service availability in the target region confirmed.</w:t>
      </w:r>
    </w:p>
    <w:p>
      <w:pPr>
        <w:pStyle w:val="ListBullet"/>
      </w:pPr>
      <w:r>
        <w:t>[Other]</w:t>
      </w:r>
    </w:p>
    <w:p>
      <w:pPr>
        <w:pStyle w:val="Heading1"/>
      </w:pPr>
      <w:r>
        <w:t>10. Funding</w:t>
      </w:r>
    </w:p>
    <w:p>
      <w:pPr>
        <w:pStyle w:val="ListBullet"/>
      </w:pPr>
      <w:r>
        <w:t>Oracle Cloud Lift Services — Oracle engineering support for migration</w:t>
      </w:r>
    </w:p>
    <w:p>
      <w:pPr>
        <w:pStyle w:val="ListBullet"/>
      </w:pPr>
      <w:r>
        <w:t>Oracle Support Rewards — Rewards on OCI spend applied to on-prem support invoices</w:t>
      </w:r>
    </w:p>
    <w:p>
      <w:pPr>
        <w:pStyle w:val="ListBullet"/>
      </w:pPr>
      <w:r>
        <w:t>Annual Universal Credits — Committed OCI consumption across services</w:t>
      </w:r>
    </w:p>
    <w:p>
      <w:pPr>
        <w:pStyle w:val="Heading1"/>
      </w:pPr>
      <w:r>
        <w:t>11. Decision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Next steps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Signed (sponsor)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[Go / No-go / Extend]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12.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19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19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19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19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