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笛语跨品牌服装搭配专家内核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30"/>
          <w:szCs w:val="30"/>
        </w:rPr>
        <w:t xml:space="preserve">PRD 与执行里程碑 v1.0 · 完整性与对齐性审查报告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审查对象：笛语跨品牌服装搭配专家内核_PRD与执行里程碑_v1.0.docx（基线日期 2026-08-12）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21"/>
          <w:szCs w:val="21"/>
        </w:rPr>
        <w:t xml:space="preserve">审查日期：2026-08-12 · 审查方式：全文逐节审查 + 交叉引用追溯 + 数字口径核算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〇、审查总判定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先说结论，再给证据。总判定分三层：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判定维度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含义（大白话）</w:t>
            </w:r>
          </w:p>
        </w:tc>
        <w:tc>
          <w:tcPr>
            <w:tcW w:type="dxa" w:w="4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结构完整性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该有的章节和要素是否都在</w:t>
            </w:r>
          </w:p>
        </w:tc>
        <w:tc>
          <w:tcPr>
            <w:tcW w:type="dxa" w:w="4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合格，且高于常规PRD水平。目标、非目标、原则、场景、能力、输入输出合同、功能需求、评测、里程碑、风险、决策权全部在位，还带有状态机、防泄漏、角色隔离等少见的反漂移设计。</w:t>
            </w:r>
          </w:p>
        </w:tc>
      </w:tr>
      <w:tr>
        <w:tc>
          <w:tcPr>
            <w:tcW w:type="dxa" w:w="1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对齐闭环</w:t>
            </w:r>
          </w:p>
        </w:tc>
        <w:tc>
          <w:tcPr>
            <w:tcW w:type="dxa" w:w="3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每个承诺能否顺藤摸瓜找到“谁做、何时做、怎么验收”——一条链断了就叫断点</w:t>
            </w:r>
          </w:p>
        </w:tc>
        <w:tc>
          <w:tcPr>
            <w:tcW w:type="dxa" w:w="4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主链闭合（目标→功能需求→评测门→里程碑→收口清单大体可追溯），但存在 12 处二级断点，其中 4 处会直接影响 M0/M1 的收口有效性。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数字口径自洽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文档里不同位置的数字能否互相对上账</w:t>
            </w:r>
          </w:p>
        </w:tc>
        <w:tc>
          <w:tcPr>
            <w:tcW w:type="dxa" w:w="4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存在 2 处硬伤（人月总账不平；M0 清单与 17.1 首任务清单互斥）和 1 处待证明（12–18 个月工期区间没有关键路径支撑，12 个月下限按文档自身依赖关系推算不可达）。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综合结论：本文档可以作为立项基线使用；但不应在不修订的情况下直接冻结为执行合同。按文档自身的变更控制条款（范围变化须 Founder 裁决 + PRD 版本增量），建议先出 v1.1 增量修订，收进本报告的 5 项 P0 缺口；其余 P1/P2 项写入 M0–M2 的交付物清单即可，不需要推翻任何现有结构。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优先级口径：【P0】进入 M0 前必须修订，否则 M0 冻结的合同本身有洞；【P1】应并入 M0–M2 交付物清单；【P2】可留待对应里程碑处理。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一、审查方法与判定标准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完整性 = 要素覆盖：对照“产品合同 + 执行路线图”类文档应含的要素清单逐项核对。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对齐闭环 = 可追溯性：任取一个目标（G）、场景（S）、能力（C）、功能需求（FR）、输出对象，向下追到评测门与里程碑交付物；任取一个交付物，向上追到它服务的承诺。任何一端追不到，记为断点。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口径自洽 = 数字核算：对人月、周期、语料规模、专家容量做加法和交叉验算。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公平性原则：文档在“文档控制”中已声明“详细 Schema、阈值与知识单元数量在 M0–M2 中最终冻结”。凡属已声明延迟冻结的事项，不计为疏漏；只有既未交付、又未声明延迟、又无归属的事项才记为疏漏。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零假设原则：本报告只基于文档文本与既有项目裁决记录，凡文档未写明的事项一律标记为“待裁决/待核验”，不代为假设。涉及法规的条目仅指出“缺少工作流”，具体义务以法务核验为准，本报告不构成法律意见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二、已经成立的部分（事实陈述，非评价）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以下机制在文档中完整在位，审查未发现内部矛盾，后续修订不应动摇这些骨架：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主追溯链闭合：G-01~G-10 十个目标全部能落到 FR/NFR；硬门（10.1）与 FR 验收要点一致（库存幻觉=0 ↔ FR-06，虚构事实=0 ↔ FR-14，决策轨迹100% ↔ FR-07）。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知识状态链（8.4）七级晋级 + “模型输出只是候选”原则 + M4“不得把候选标为 accepted”三处互相咬合，无矛盾。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防泄漏与角色隔离设计成体系：隐藏评测先于知识生成冻结（M2→M4 依赖）、生成者与守护者上下文物理隔离、评测泄漏为强制停止条件，三处一致。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失败关闭合同（6.4）逐输入对象定义了“缺什么就不许答什么”，与非目标、品类安全边界一致。失败关闭的意思是：信息不够就宁可收窄或停止，像银行卡输错三次就锁卡，而不是硬猜。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决策权矩阵（16.3）与角色分工（8.2）、执行纪律（17.2）三处角色一致，无越权路径。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对外表达边界（9.4）自发对齐了广告法式的“不做绝对化承诺”要求，这是文档中唯一已隐式覆盖的合规点。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“清单即收口”纪律（14 节：缺报告/Receipt/Checker 不得口头判定完成）本身是优点——但也正因为清单是收口的唯一依据，清单里缺的东西就是真缺口，这是下一节断点判定的依据。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三、对齐闭环断点清单（12 项）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每项给出：文档内证据位置 → 断在哪里 → 不修的后果 → 修复动作。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100"/>
        <w:gridCol w:w="1350"/>
        <w:gridCol w:w="3456"/>
        <w:gridCol w:w="70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断点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证据位置</w:t>
            </w:r>
          </w:p>
        </w:tc>
        <w:tc>
          <w:tcPr>
            <w:tcW w:type="dxa" w:w="345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后果与修复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BrandTruthPack（品牌事实包）没有 Schema 交付物。它是六层事实优先级的第二层、G-01 跨品牌迁移和 M10 未见品牌测试的核心输入，但 M0–M12 任何一个交付清单里都没有 brand_truth_pack.schema。M1 的 brand_style_space 是风格坐标系，不等于事实包结构。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6.1 / 6.3 定义 vs 13 节 M1 交付清单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后果：120–180 个参考品牌档案和 30–50 个隐藏品牌将没有统一格式；M10 考试时“发给系统的考卷格式”无合同。修复：M1 清单增补 brand_truth_pack.schema.v0.1.json。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 个输出对象中至少 6 个没有 Schema 交付物：OutfitPlan、StylingDiagnosis、TransformationPlan、AlternativePlan、SuitabilityExplanation、BrandAudienceInterpretation。执行序列 12.1 第 3 步承诺“建立输出 Schema”，但 M1/M6/M7 清单只列了 decision_trace、styling_thesis、narrative_package 三个。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6.2 vs 13 节各清单、12.1 第 3 步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后果：按 14 节“清单即收口”原则，M1 可以在主输出对象未定义的情况下“通过”。修复：M1 清单补齐输出对象 Schema（或显式声明打包为一个 output_objects bundle 交付）。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S-03“单品多套生命”没有对应 FR。八大核心场景之一，只有隐藏测试第 2 条部分覆盖，功能需求清单中无验收锚点。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4.4 vs 7 节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后果：这个卖点做没做成，没有判据。修复：新增 FR-21（同一商品 × N 类人群/场景生成差异化方案并说明机制），验收并入 10.3。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S-07“门店成交辅助”覆盖不完整：“拒绝强推”有隐藏测试，但“试穿顺序、导购话术辅助”既无输出对象也无 FR。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4.4 / 6.2 vs 7 节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后果：导购场景实际交付物不明。修复：要么增补输出对象与 FR，要么在 4.4 显式把 S-07 降级为“内容场景的副产品，V1.0 不承诺交互式导购辅助”。二选一，需 Founder 裁决。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S-08“跨品牌/跨品类比较解释”无 FR，仅隐藏测试第 1 条间接覆盖。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4.4 vs 7 节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修复：并入 FR-18/19 的验收要点，或明确其只作为评测手段而非产品功能。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FR-20“反馈隔离”（内容表现、门店修改只进候选账本）没有归属里程碑。M11 的 dashboard 是看数，不是“反馈→候选知识→再审查”的回路；M12 是基础设施加固。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 节 vs 13 节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后果：上线后知识如何更新没有施工项，运营期知识治理悬空。修复：M12 增补 feedback_to_candidate_ledger 交付物，或立 M13 运营期知识治理合同。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C-06 造型诊断在组件清单（11.1）中无归属组件。12 个组件构成的是“解析→过滤→组合→排序”的生成流；而 S-04 诊断现有造型是另一条流（先判为什么不成立，再改），没有组件承接。DiagnosticCard 知识类型存在，但没有引擎消费它。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5.2 C-06 / 4.4 S-04 vs 11.1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后果：M6 可能只建了组合器、没建诊断器，而验收门发现不了。修复：11.1 增 StylingDiagnosisEngine，或在 M6 合同中显式声明诊断由哪个组件承接。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M0 交付清单与 17.1 首任务清单互斥：17.1 缺 non_goals_and_stop_conditions.v1.0.yaml（M0 有）；M0 清单缺 knowledge_state_machine.v1.0.yaml（17.1 有）。而 17.1 自称“只完成 M0”，两清单理应是包含关系。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vs 17.1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后果：第一个执行任务就不知道按哪张清单收口——这是即刻生效的缺陷，因为 17.1 是“唯一推荐的下一任务”。修复：两清单对齐；知识状态机属于核心合同，建议正式并入 M0。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品类安全与合规在“七道商业发布门”中没有独立门。10.1 有品类安全硬门，M9 有安全验收，但 10.4 的七道门没有一道显式承接“安全/合规”，硬门与七道门之间没有映射表。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10.1 / M9 vs 10.4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后果：最终发布裁决时安全归属含糊，容易被并入“专家知识门”而弱化。修复：增设第八道 Safety &amp; Compliance Gate，或给出硬门→七道门显式映射表。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质量门依赖专家评审，但没有评分者校准要求。未见品牌通过率≥80% 由“匹配品类专家按冻结评分卡”评出——评分卡冻结了，评委没校准：无双盲、无评分者一致性阈值（两个评委给同一份卷子打分应接近到什么程度）、无抽样设计。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10.2 / 15.4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后果：≥80% 这个数可以被“选哪位评委”左右，门形同虚设；且 8,000–15,000 条评测用例远超专家人评容量（见第五节核算），必然是机评为主 + 人评抽样，但抽样方案不存在。修复：M2 增补 rater_calibration + sampling_design 交付物。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评测基线冻结后没有修订协议。“冻结后不得失败降标”防的是考不过就改分数线——正确；但如果考卷本身出错（阈值定错、隐藏品牌档案有误），文档没有给出合法的修订通道。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10.2 / 文档控制</w:t>
            </w:r>
          </w:p>
        </w:tc>
        <w:tc>
          <w:tcPr>
            <w:tcW w:type="dxa" w:w="34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后果：要么僵局，要么私下改考卷，两者都毁掉评测公信力。修复：M2 增补 benchmark revision protocol：仅允许非失败触发的修订，须 Founder 裁决 + 版本增量 + 全量重跑重新基线。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POC → Pilot MVP → Commercial V1.0 三级投资阶梯（15.1）与 M0–M12 里程碑轴从未互相映射。POC 24–36 人月对应到哪个 M 结束？Pilot 的“至少三类品类”选哪三类？POC 失败的止损判据是什么？全部缺失。</w:t>
            </w:r>
          </w:p>
        </w:tc>
        <w:tc>
          <w:tcPr>
            <w:tcW w:type="dxa" w:w="135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15.1 vs 13 节</w:t>
            </w:r>
          </w:p>
        </w:tc>
        <w:tc>
          <w:tcPr>
            <w:tcW w:type="dxa" w:w="345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后果：无法在 24–36 人月处止损或转向；投资决策与执行节奏脱钩。修复：v1.1 增加映射表（建议：POC ≈ M0–M4 早批 + 判据；Pilot ≈ M5–M11 三品类先行；V1.0 = M12 全五类），并为 POC 定义 kill/pivot 判据。</w:t>
            </w:r>
          </w:p>
        </w:tc>
        <w:tc>
          <w:tcPr>
            <w:tcW w:type="dxa" w:w="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四、结构性疏漏（7 项）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以下不是链条断点，而是整块缺失的工作流或裁决。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A.【P0】合规与法务工作流整体缺位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证据：团队配置（15.3）没有法务/合规角色；风险清单 R-01~R-10 没有一条合规风险；七道发布门没有合规门；全文只有 M9 的 privacy and consent contract 一个交付物触及此域。以下为必须由法务核验的事项清单（本报告只指出“没有安排人去核验”这一事实）：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未成年人个人信息：童装、青少年是首发品类，涉及不满 14 周岁儿童的个人信息在国内按敏感个人信息处理、需监护人同意。IndividualProfile 采集体型、肤色等身体信息时如何区分成人与儿童路径，文档未涉及。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AI 生成内容标识：国内对 AI 生成合成内容有强制标识要求（2025 年 9 月起施行的标识办法），各内容平台另有自己的 AIGC 标注与矩阵账号治理规则。账号矩阵批量发布 AI 参与生成的内容，这是日常运营层面的合规义务，与叙事真实性门是两回事。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数据出境与运行时模型：若生产推理使用境外模型 API 处理国内消费者的身体数据，涉及个人信息出境合规路径。这与疏漏 C（运行时模型未裁决）直接联动。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面向公众提供生成式 AI 服务的备案/登记义务是否触发，取决于产品形态（内部工具 vs 公众服务），需要在产品形态裁决后核验。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模型厂商服务条款：用 GPT×Claude 做系统性知识蒸馏并构建商业知识资产，是否触碰两家厂商服务条款中对“输出用途”的限制，需要核验一次并留档。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修复：新增合规工作流：M0 增 compliance_review_contract 交付物（列出待核验清单与责任人），M2 前完成首轮法务核验，七道门增设或并入合规门（对应断点 9），团队增加兼职法务/合规角色。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B.【P0】数据冷启动无主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8.6 规划了 120–180 个参考品牌事实档案 + 30–50 个隐藏未见品牌，但全文没有回答：谁建设、依据什么信息源、归属哪个里程碑、算多少工作量。三个加重因素：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时序压力：隐藏品牌档案必须在 M2 冻结时就绪（unseen_brand_split 是 M2 交付物），即项目第 7–16 周窗口内完成 30–50 个高质量档案，这是最前置的重活。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量级核算（本报告估算，按每档案 2–4 个专家/运营工作日）：150–230 个档案 ≈ 300–920 工作日 ≈ 14–42 人月——接近 M4 一整个里程碑的体量，但不在任何人月预算里。评测/数据运营 1–2 人的编制无法在窗口期内消化。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防泄漏约束：隐藏品牌档案的建设者不能是候选生成链的参与者（否则 M2 的泄漏检查失去意义），意味着需要专门指定隔离的建设角色——这进一步收窄了可用人手。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修复：v1.1 新增“语料与品牌档案建设”工作流条目：归属 M1–M2、指定隔离角色、纳入人月总账；同时补上 M3–M6 知识引出与离线评测所需的“仿真货盘语料”由谁供给（真实 ERP 要到 M8 才接入，此前的题目需要仿真货盘）。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C.【P1】运行时形态缺位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生产推理用什么模型，全文未裁决。8.2 只定义了蒸馏期角色（GPT 出题、Claude 答题），M6 的“LLM 解释”、NFR-08 的“可替换模型”都没有指明生产链模型。而既有笛语主链已存在明确裁决：生产主链不依赖 OpenAI API、Reviewer 因安全语义假阴性退出放行、底座冻结“不新增多模型路由”。新项目 PRD 既未继承也未显式豁免这些裁决——两套合同之间需要一个衔接条款。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交互场景没有时延目标：S-07 导购当着顾客的面用，秒级和分钟级是两个产品；批量内容生成可以慢。NFR 清单没有任何时延/可用性指标，M12 有 latency guards 交付物却没有目标值可守。修复：NFR 增补分场景时延目标，或在文档控制的延迟冻结清单中显式加入“时延阈值 M6 冻结”。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各角色的使用界面（总部内容团队、门店、导购分别通过什么端使用）未声明。作为“内核”PRD 可以延迟，但应显式声明延迟，否则 S-07 类场景的成立性悬空。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D.【P0】“复用笛语底座”未清单化（与数字硬伤直接联动）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15.1 用“复用底座 90–135 人月 / 从零 125–185 人月”两套数，但复用哪些组件、各省多少，没有清单。第五节核算显示：里程碑人月总和恰好等于“从零”口径，意味着 35–50 人月的“复用节省”没有落到任何里程碑头上——两套数字对不上账。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更实质的问题：现有底座带着自己的冻结边界（不新增微服务、工作流平台、消息队列、多模型路由、数据库平台），而 M12 要求多租户隔离、批量编排、模型替换回归——若复用，这些冻结边界必须重新裁决；若不复用，90–135 的口径作废。这是一个必须显式裁决的矛盾，文档现在把它藏在一行括号里。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E.【P1】商业判据缺失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M11 通过标准里“业务信号”无阈值：门店采用率、内容成本、品牌方续约意愿都没有最小判据；NFR-05 只记录成本、不设上限。质量门齐备而商业门空心，最后一公里的“值不值”只剩 Founder 主观裁决。修复：M11 冻结前定义 3–5 个最小商业 KPI（例如：单条可发布内容全成本上限、试点门店周活跃采用率下限、试点品牌续约意向），阈值可以在 M11 基线时定，但指标名录应在 v1.1 进合同。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F.【P1】现金成本与人月口径未定义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25,000–50,000 份模型回答 + 8,000–15,000 评测用例的反复运行，是一笔真实的 API 现金支出，全文只有人月、没有算力/调用预算条目。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“人月”的口径未定义：8.2 把 Claude Code、Codex 列为执行代理，若代理承担大量施工，90–135 人月的含义与纯人力口径完全不同——这直接影响预算和团队编制的解读。修复：15.1 加一句口径声明 + 新增 API 成本预算行。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G.【P1】治理带宽与风险清单补项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Founder 单点带宽：0.3–0.5 FTE 要完成 13 个里程碑 × PASS/CONDITIONAL/BLOCK 裁决 + 知识接受回执 + 高风险多人审查的召集。裁决吞吐量是全项目的单点瓶颈，而风险清单没有这一条。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风险清单（16.1）建议补五项：专家资源不可得或系统性分歧无法收敛（现有专家分歧只有模型分歧账本，没有专家分歧仲裁机制）；模型供应商变更/涨价/停服（NFR-08 有机制，风险表无条目）；平台政策风险（限流、AIGC 标识、矩阵账号治理）；语料建设进度风险（对应疏漏 B）；合规风险（对应疏漏 A）。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五、数字口径核对（算术过程）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5.1 人月总账不平（硬伤）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M0–M12 逐项求和：3+6+8+7+12+14+12+9+9+10+8+14+12 = 124（下限）；4+9+12+10+18+20+17+14+13+15+12+22+18 = 184（上限）。即里程碑表合计 124–184 人月，与“从零完整建设 125–185 人月”几乎完全重合；而标题口径“复用笛语底座 90–135 人月”与里程碑表相差的 35–50 人月没有在任何里程碑上落账。结论：二者只能取其一——要么按复用口径逐里程碑扣减并列出复用组件清单，要么承认计划口径就是从零建设。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5.2 工期区间缺关键路径支撑（待证明）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关键路径的意思是：决定总工期的最长依赖链，好比一桌菜的开饭时间由炖得最久的那道菜决定。串行求和：83–118 周（约 19–27 个月）。按 12.3 声明的并行流推算（M1∥M2、M3∥M2、M6 骨架∥M4、M7/M8/M9 并行、其余串行，此为本报告的推算假设），可压到约 60–88 周 ≈ 14–20 个月。对照宣称的 12–18 个月：18 个月上限大体可信，12 个月下限在文档自身的依赖关系下不可达。修复：M0 交付物中增加关键路径图，并把区间修为 14–20 个月或给出压缩手段。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5.3 专家容量对不上评测规模（设计缺口）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专家总预算 180–260 个工作日（15.4，含五类品类全部审查 + 评测 + 试点）。仅做一轮 20% 抽样人评：10,000 用例 × 20% × 15 分钟 ≈ 62 个专家日——一轮就吃掉总预算的四分之一，而 M10 之前至少需要多轮。结论：评测必然是机评为主 + 人评抽样，但全文没有机评/人评分工与抽样设计，这正是断点 10 要求在 M2 补的东西。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5"/>
          <w:szCs w:val="25"/>
        </w:rPr>
        <w:t xml:space="preserve">5.4 验算无问题的部分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知识漏斗比例合理：400–700 基础问题 → 12k–25k 场景实例（约 30 倍展开）→ 25k–50k 回答（含对抗轮）→ 6k–10k 候选 → 4k–6.5k 接受（约 65% 接受率），内部比例无异常。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工作量占比（15.2）下限之和恰为 100%，文档已自注区间重叠原因，无问题。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团队规模与工期粗算：8–10 全职 × 12–18 个月 ≈ 96–180 人月，与两套口径均可兼容，不构成额外矛盾。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六、建议的 PRD v1.1 增量修订清单（可直接执行）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200"/>
        <w:gridCol w:w="1800"/>
        <w:gridCol w:w="2606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修订动作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落点</w:t>
            </w:r>
          </w:p>
        </w:tc>
        <w:tc>
          <w:tcPr>
            <w:tcW w:type="dxa" w:w="26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清单增补 brand_truth_pack.schema，并补齐 6 个缺失的输出对象 Schema（或声明 bundle 交付）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M1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1、2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对齐 M0 与 17.1 两张清单；knowledge_state_machine 正式并入 M0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13/14/17.1</w:t>
            </w:r>
          </w:p>
        </w:tc>
        <w:tc>
          <w:tcPr>
            <w:tcW w:type="dxa" w:w="26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8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新增映射表：POC/Pilot/V1.0 ↔ 里程碑区段，并为 POC 定义 kill/pivot 判据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15.1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12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新增合规工作流：M0 增 compliance_review_contract；七道门增设合规门或给出硬门映射表；团队增法务角色；风险清单增合规项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10.4 / 15.3 / 16.1</w:t>
            </w:r>
          </w:p>
        </w:tc>
        <w:tc>
          <w:tcPr>
            <w:tcW w:type="dxa" w:w="26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疏漏 A、断点 9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新增“语料与品牌档案建设”工作流：归属 M1–M2、指定隔离角色、纳入人月总账；补仿真货盘语料供给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8.6 / 13 节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疏漏 B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人月对账：复用组件清单化并逐里程碑落账，或改按从零口径；增加 API 现金预算行与人月口径声明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15.1</w:t>
            </w:r>
          </w:p>
        </w:tc>
        <w:tc>
          <w:tcPr>
            <w:tcW w:type="dxa" w:w="26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疏漏 D、F / 5.1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增补三件套：rater_calibration（评分者校准）、sampling_design（机评/人评抽样）、benchmark revision protocol（基线修订协议）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 节 M2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10、11 / 5.3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 FR-21（单品多套生命）；裁决 S-07 的 V1.0 承诺级别；S-08 并入 FR-18/19 验收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 节 / 4.4</w:t>
            </w:r>
          </w:p>
        </w:tc>
        <w:tc>
          <w:tcPr>
            <w:tcW w:type="dxa" w:w="26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3、4、5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11.1 增 StylingDiagnosisEngine 或在 M6 合同声明诊断承接组件；M12 增 feedback_to_candidate_ledger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11.1 / 13 节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断点 6、7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增补运行时条款：生产推理模型裁决（含与既有主链“不依赖 OpenAI API”等裁决的衔接）、分场景时延目标、端侧形态延迟冻结声明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 节 / NFR</w:t>
            </w:r>
          </w:p>
        </w:tc>
        <w:tc>
          <w:tcPr>
            <w:tcW w:type="dxa" w:w="26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疏漏 C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冻结最小商业 KPI 名录；风险清单补 5 项；工期区间修为 14–20 个月或附关键路径图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 / 15 / 16 节</w:t>
            </w:r>
          </w:p>
        </w:tc>
        <w:tc>
          <w:tcPr>
            <w:tcW w:type="dxa" w:w="26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疏漏 E、G / 5.2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七、需要 Founder 裁决的开放问题（零假设，不代答）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以下问题从文档内推不出答案，本报告不做假设，逐项列出等待裁决：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1. 复用笛语底座的具体组件清单是什么？现有底座的冻结边界（不新增微服务/工作流平台/多模型路由等）在新项目中是继承、豁免还是重新裁决？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2. POC 止于哪个里程碑？花完 24–36 人月时，用什么判据决定继续、转向还是停止？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3. Pilot MVP 的“至少三类品类”选哪三类？按什么准则选（商业优先级、安全风险最低、语料最易得）？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4. 个体资料怎么采集：消费者自报、导购代录、还是问卷？照片在 V1 里到底用不用、何时用？（NFR-06 只说“照片不是唯一来源”，未裁决采集方式。）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5. 商品属性从哪来：PIM/人工录入为准，还是需要图像识别提取？后者是一条未立项的工程线，直接影响工程量。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6. 生产推理模型策略：境内还是境外模型、单模型还是多模型？（与合规、与既有主链裁决双重联动。）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7. 发布终态：长期保持人工审核在环，还是过门之后允许自动发布？（3.2 非目标只禁止“过门前”自动发布，终态未裁决。）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8. 150–230 个品牌档案与蒸馏语料由谁建设：内部运营、外包、还是执行代理 + 人工抽检？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八、终判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这份文档的骨架质量在同类 PRD 中属于少见的严谨：主追溯链是通的，反漂移机制（状态链、防泄漏、角色隔离、失败关闭、清单收口）成体系且互相咬合。审查发现的问题集中在三类：清单级断点（承诺了但没有排进交付清单，12 处）、整块工作流缺失（合规、语料建设、商业判据、运行时形态，7 项）、数字口径（2 处硬伤 + 1 处待证明）。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对齐闭环判定：一级闭环成立；二级闭环存在 12 处断点；口径层 2 处不平。其中 5 项 P0（输出/事实包 Schema 清单、双清单互斥、投资阶梯映射、合规工作流、语料归属 + 数字对账）应在进入 M0 前以 v1.1 收进——因为 M0 的本质就是冻结合同，带着这些洞冻结，等于把缺口公证成了基线。其余项作为 M0–M2 交付物条目处理即可。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本报告全部结论基于文档文本与既有项目裁决记录推得，所有估算处均已标注为估算；涉及法规事项以法务核验为准。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2026-08-12T11:38:32.799Z</dcterms:created>
  <dcterms:modified xsi:type="dcterms:W3CDTF">2026-08-12T11:38:32.813Z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