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M0 首任务执行申请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4E8C"/>
          <w:sz w:val="26"/>
          <w:szCs w:val="26"/>
        </w:rPr>
        <w:t xml:space="preserve">DIYU-CBFSK-001 · 独立立项与合同冻结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控制项</w:t>
            </w:r>
          </w:p>
        </w:tc>
        <w:tc>
          <w:tcPr>
            <w:tcW w:type="dxa" w:w="70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申请 ID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DIYU-CBFSK-EXEC-REQ-M0-002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申请任务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GKB-CROSS-BRAND-STYLING-EXPERT-KERNEL-M0-CONTRACT-AND-BENCHMARK-FOUNDATION-001（唯一推荐首任务）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生效前置条件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PRD v1.1 全文（笛语跨品牌服装搭配专家内核_PRD与执行里程碑_v1.1.docx）经 Founder 签署生效。签署前本申请不生效、不得开工。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依据文件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PRD v1.1 全文（v1.0 与 Delta 002 已合并，不再需要对照两份文档）＋ Work 交接基线 DIYU-CBFSK-WORK-HANDOFF-20260812-001。PRD v1.0、Delta 002、完整性审查报告与两份前序执行申请已归入 归档_v1.0/，仅作历史证据，不再是执行依据。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任务范围</w:t>
            </w:r>
          </w:p>
        </w:tc>
        <w:tc>
          <w:tcPr>
            <w:tcW w:type="dxa" w:w="7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仅完成 M0，并为 M1–M2 建立可执行基础；产出 PRD v1.1 第 13 / 14 / 17.1 节统一清单全部十四项交付物。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工作量与周期基线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2–3 周 ／ 3–4 人月（维持 v1.0 里程碑基线）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本申请取代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本申请合并并取代 DIYU-CBFSK-EXEC-REQ-M0-001（引用了已被 002 取代的 Delta 001）与 DIYU-CBFSK-WORK-EXEC-REQUEST-20260812-001（其 18 项 M0 清单与 Delta D-03 冲突）。两者已归档，不再作为执行依据。</w:t>
            </w:r>
          </w:p>
        </w:tc>
      </w:tr>
      <w:tr>
        <w:tc>
          <w:tcPr>
            <w:tcW w:type="dxa" w:w="2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Founder 已裁决冲突项</w:t>
            </w:r>
          </w:p>
        </w:tc>
        <w:tc>
          <w:tcPr>
            <w:tcW w:type="dxa" w:w="70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① 运行时模型供给、个体资料双模式、商品属性来源、人工发布终态四项合同写入 PRD v1.1 正文（11.2 NFR-08、6.1、3.2），不单列为 M0 合同文件——M0 清单据此定为 14 项，18 项版作废。② 试点三品类冻结时点＝M10 通过后、M11 启动前（非 M2），按 PRD v1.1 第 15.5 节覆盖规则。③ M11 为夹具品牌仿真试点，关键门＝仿真运行门；真实验证移入真实品牌补验批次。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>一、交付物清单（与 PRD v1.1 第 13 / 14 / 17.1 节完全一致）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project_charter.v1.0.yaml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capability_contract.v1.0.yaml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category_scope_contract.v1.0.yaml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input_output_boundary.v1.0.yaml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role_and_decision_rights.v1.0.yaml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non_goals_and_stop_conditions.v1.0.yaml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knowledge_state_machine.v1.0.yaml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architecture_and_integration_boundary.v1.0.yaml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compliance_review_contract.v1.0.yaml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data_and_fixture_workflow.v1.0.yaml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execution_critical_path_and_decision_gates.v1.0.yaml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 对象模型 Brief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8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评测冻结 Brief</w:t>
            </w:r>
          </w:p>
        </w:tc>
      </w:tr>
      <w:tr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8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M0 checker / fixtures / report / receipt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二、执行角色与流程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>Founder 授权（PRD v1.1 签署 + 本申请签署）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Codex / Claude Code 按明确角色执行（合同 YAML、Checker、Fixtures 落盘）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Claude Code Guardian 独立工作区审查（越界、矛盾、遗漏）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→ Founder M0 裁决：PASS / CONDITIONAL / BLOCK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同一会话不得同时担任候选生成者与 Guardian；M0 阶段虽无知识生成，工作区隔离纪律照常执行，为 M4 养成惯例。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目录结构按 PRD 附录 A 建立，projects/cross_brand_styling_expert_kernel/ 独立仓或独立项目空间（D-01 解耦裁决），不挂靠笛语现有仓。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角色边界：Founder 冻结业务范围与风险接受并作最终裁决；Codex / Claude Code 按批准合同落盘 M0 对象、Schema Brief、Checker、Fixtures、Report、Receipt 与重放证据；Claude Code Guardian 在隔离上下文审查范围一致性、对象完整性、清单闭环、事实边界与验收可重放性，不产生业务真源；外部专家与法务在后续指定节点介入，本次申请不宣称已取得该等审查。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Claude Code 的审查结论是工程与完整性审查意见，不替代 Founder 的最终业务授权，也不得被写成 Founder 的业务批准。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三、本任务禁止事项（红线）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不开始大规模知识蒸馏；不生成品牌专属 Prompt；不复制品牌专属专家。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不接入真实品牌生产与正式库存；不创建 Serving；不进入自动内容发布。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不触碰、不重写、不漂移笛语现有 P7C／Content Kernel／DIFY／CSO 任何状态（解耦裁决）。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不把模型知识广度当作专家等价证明；不把任何候选知识标记为 accepted 或 production_servable。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隐藏品牌与夹具品牌数据在本任务中只定义工作流合同，不实际生成语料（语料生成属 M1–M2 执行范围）。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不得获取、输出或持久化 Founder 提供的模型 API 明文凭证；本次也不得以“测试方便”为由索要凭证。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不得把夹具品牌、模拟库存或合成顾客当作真实业务证据；不得在 M1 Schema 冻结前正式生成夹具品牌资产（M0 只定义其治理合同）。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不得创建或翻转 Serving、RAG、DIFY、生产发布或 Commercial V1.0 状态。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不得为任何品牌复制独立专家内核、补写隐藏品牌专属 Prompt，或向生成链泄漏隐藏答案。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不得自行更改本申请与 PRD v1.1 中已冻结的产品裁决；如发现指令内部矛盾，须停下并报 Founder 裁决，不得自行绕过。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四、验收与收口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Checker 全绿：十四项交付物均有必需输入、输出、失败状态与负责角色；与现有笛语资产零接触验证通过。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Guardian 独立审查报告：无越界、无矛盾、无遗漏、无与 v1.1 Delta 冲突条文。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工作树、版本、输入清单、原始输出与报告可重放；Receipt 完整。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Founder 形成明确的 PASS ／ CONDITIONAL ／ BLOCK 裁决后，方可进入 M1。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>五、Guardian 审查项与审批回执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Guardian 应逐项返回审查结论，而非只回复“同意”：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① 范围一致：是否严格停留在 M0，且未提前生成知识、夹具资产或生产能力 → PASS / FAIL ＋ 证据。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② 清单闭环：十四项交付物、M1 Schema Brief、M2 评测冻结 Brief、负责人与失败状态是否可追溯 → PASS / FAIL ＋ 缺口。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③ 边界安全：独立解耦、API 凭证、顾客档案、人工发布与夹具品牌不可证明范围是否清楚 → PASS / FAIL ＋ 风险。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④ 可验收性：交付物是否可运行 Checker、可重放、可出 Report / Receipt，不以文档数量替代结果 → PASS / FAIL ＋ 修复建议。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⑤ 最终意见：是否已达到可向 Founder 申请执行授权的程度 → APPROVE / APPROVE_WITH_CONDITIONS / REJECT。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回执须记录：approval_request_id（DIYU-CBFSK-EXEC-REQ-M0-002）、reviewer_role、decision、scope_alignment、deliverable_closure、fact_and_safety_boundaries、blocking_findings、non_blocking_findings、required_delta_before_execution、reviewed_version_or_file_hash、review_timestamp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>批准后的唯一后续动作：若 Guardian 返回 APPROVE 或无阻断性的 APPROVE_WITH_CONDITIONS，则将回执与本申请一并报 Founder；只有 Founder 明确批准后才允许开工 M0。任何 REJECT 或阻断性条件必须先修复并重审。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>六、审核与授权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  <w:tc>
          <w:tcPr>
            <w:tcW w:type="dxa" w:w="4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Claude 侧一致性预审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已完成 · PASS（附注）</w:t>
            </w:r>
          </w:p>
        </w:tc>
        <w:tc>
          <w:tcPr>
            <w:tcW w:type="dxa" w:w="4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本申请与 PRD v1.1 全文、Work 交接基线逐项核对无冲突；两份前序执行申请之间的三处冲突（M0 清单 14 vs 18 项、试点品类冻结时点、M11 定性）已由 Founder 裁决并落文于控制表。附注：① 生效前置＝PRD v1.1 全文获 Founder 签署；② GPT 预审环节因执行侧网络故障由 Claude 侧代行，已记录在案，决策权矩阵不变。审核：Claude（Cowork 执行侧）· 2026-08-12</w:t>
            </w:r>
          </w:p>
        </w:tc>
      </w:tr>
      <w:tr>
        <w:tc>
          <w:tcPr>
            <w:tcW w:type="dxa" w:w="2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>Founder 授权（PRD v1.1 ＋ 本申请）</w:t>
            </w:r>
          </w:p>
        </w:tc>
        <w:tc>
          <w:tcPr>
            <w:tcW w:type="dxa" w:w="23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＿＿＿＿＿＿＿＿</w:t>
            </w:r>
          </w:p>
        </w:tc>
        <w:tc>
          <w:tcPr>
            <w:tcW w:type="dxa" w:w="4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签署：＿＿＿＿＿＿　日期：＿＿＿＿＿＿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2026-08-12T13:39:43.658Z</dcterms:created>
  <dcterms:modified xsi:type="dcterms:W3CDTF">2026-08-12T13:39:43.658Z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