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M0 首任务执行申请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2E4E8C"/>
          <w:sz w:val="26"/>
          <w:szCs w:val="26"/>
        </w:rPr>
        <w:t xml:space="preserve">DIYU-CBFSK-001 · 独立立项与合同冻结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控制项</w:t>
            </w:r>
          </w:p>
        </w:tc>
        <w:tc>
          <w:tcPr>
            <w:tcW w:type="dxa" w:w="70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申请 ID</w:t>
            </w:r>
          </w:p>
        </w:tc>
        <w:tc>
          <w:tcPr>
            <w:tcW w:type="dxa" w:w="7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DIYU-CBFSK-EXEC-REQ-M0-003</w:t>
            </w:r>
          </w:p>
        </w:tc>
      </w:tr>
      <w:tr>
        <w:tc>
          <w:tcPr>
            <w:tcW w:type="dxa" w:w="2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申请任务</w:t>
            </w:r>
          </w:p>
        </w:tc>
        <w:tc>
          <w:tcPr>
            <w:tcW w:type="dxa" w:w="70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GKB-CROSS-BRAND-STYLING-EXPERT-KERNEL-M0-CONTRACT-AND-BENCHMARK-FOUNDATION-001（唯一推荐首任务）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生效前置条件</w:t>
            </w:r>
          </w:p>
        </w:tc>
        <w:tc>
          <w:tcPr>
            <w:tcW w:type="dxa" w:w="7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PRD v1.2全文（笛语跨品牌服装搭配专家内核_PRD与执行里程碑_v1.2.docx）经Founder签署生效，且本申请经Founder签署。两项均未满足前，m0_authorized=false，不得开工。</w:t>
            </w:r>
          </w:p>
        </w:tc>
      </w:tr>
      <w:tr>
        <w:tc>
          <w:tcPr>
            <w:tcW w:type="dxa" w:w="2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依据文件</w:t>
            </w:r>
          </w:p>
        </w:tc>
        <w:tc>
          <w:tcPr>
            <w:tcW w:type="dxa" w:w="70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待Founder签署的PRD v1.2全文候选＋PRD_v1.2_change_map.yaml＋PRD_v1.2_核验回执.docx＋治理角色规范源。v1.2生效前，根目录v1.1仍保持远程当前活基线且状态PENDING_FOUNDER_SIGNATURE；不得提前归档。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任务范围</w:t>
            </w:r>
          </w:p>
        </w:tc>
        <w:tc>
          <w:tcPr>
            <w:tcW w:type="dxa" w:w="7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仅申请完成M0，并为M1–M2建立可执行基础；产出PRD v1.2第13/14/17.1节统一的十四项顶层交付物。D-17—D-29与S1—S8写入现有合同文件和M1/M2 Brief，不增加第15项。</w:t>
            </w:r>
          </w:p>
        </w:tc>
      </w:tr>
      <w:tr>
        <w:tc>
          <w:tcPr>
            <w:tcW w:type="dxa" w:w="2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工作量与周期基线</w:t>
            </w:r>
          </w:p>
        </w:tc>
        <w:tc>
          <w:tcPr>
            <w:tcW w:type="dxa" w:w="70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2–3 周 ／ 3–4 人月（维持 v1.0 里程碑基线）</w:t>
            </w:r>
          </w:p>
        </w:tc>
      </w:tr>
      <w:tr>
        <w:tc>
          <w:tcPr>
            <w:tcW w:type="dxa" w:w="2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本申请取代</w:t>
            </w:r>
          </w:p>
        </w:tc>
        <w:tc>
          <w:tcPr>
            <w:tcW w:type="dxa" w:w="70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本申请取代DIYU-CBFSK-EXEC-REQ-M0-002（M0执行申请v1.1）。更早的001及18项版均仍为已归档历史文件，不得作为执行依据。</w:t>
            </w:r>
          </w:p>
        </w:tc>
      </w:tr>
      <w:tr>
        <w:tc>
          <w:tcPr>
            <w:tcW w:type="dxa" w:w="2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Founder 已裁决冲突项</w:t>
            </w:r>
          </w:p>
        </w:tc>
        <w:tc>
          <w:tcPr>
            <w:tcW w:type="dxa" w:w="70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① M0顶层交付清单仍为14项，D-17—D-29与S1—S8均内嵌现有合同与M1/M2 Brief。② M11仍为夹具品牌仿真试点，增加Founder真实品牌注入优先路径与Codex夹具回退；注入非M11硬门。③ 未见品牌内容物理隔离于主仓；Founder数据不得进入。④ M12名称、M0—M12顺序与Commercial V1.0路线不变。⑤ 人设连续性、自媒体原生语感和多模态商品理解升为正式能力与评测域。⑥ VM与实时成交辅助当前不强制实现，但保留前后向兼容端口。⑦ 默认人工审核；自动发布仅由Founder按租户/品牌/账号/风险级别显式授权，FR-17与人工可发布率≥75%不变。⑧ M11至少三类不变；正式真实品牌导入前五类必须100%可开启就绪。⑨ 单一Founder＋隔离AI角色模型、任务分级、条件/合规台账和Project CI进入M0合同。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>一、交付物清单（与 PRD v1.2 第 13 / 14 / 17.1 节完全一致）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3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project_charter.v1.0.yaml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capability_contract.v1.0.yaml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category_scope_contract.v1.0.yaml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input_output_boundary.v1.0.yaml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role_and_decision_rights.v1.0.yaml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non_goals_and_stop_conditions.v1.0.yaml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knowledge_state_machine.v1.0.yaml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architecture_and_integration_boundary.v1.0.yaml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compliance_review_contract.v1.0.yaml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data_and_fixture_workflow.v1.0.yaml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execution_critical_path_and_decision_gates.v1.0.yaml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M1 对象模型 Brief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M2 评测冻结 Brief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M0 checker / fixtures / report / receipt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二、执行角色与流程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>Founder 授权（PRD v1.2 签署 + 本申请签署）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→ Codex / Claude Code 按明确角色执行（合同 YAML、Checker、Fixtures 落盘）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→ Claude Code Guardian 独立工作区审查（越界、矛盾、遗漏）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→ Founder M0 裁决：PASS / CONDITIONAL / BLOCK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同一会话不得同时担任候选生成者与 Guardian；M0 阶段虽无知识生成，工作区隔离纪律照常执行，为 M4 养成惯例。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目录结构按 PRD 附录 A 建立，projects/cross_brand_styling_expert_kernel/ 独立仓或独立项目空间（D-01 解耦裁决），不挂靠笛语现有仓。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角色边界：Founder 冻结业务范围与风险接受并作最终裁决；Codex / Claude Code 按批准合同落盘 M0 对象、Schema Brief、Checker、Fixtures、Report、Receipt 与重放证据；Claude Code Guardian 在隔离上下文审查范围一致性、对象完整性、清单闭环、事实边界与验收可重放性，不产生业务真源；外部专家与法务在后续指定节点介入，本次申请不宣称已取得该等审查。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Claude Code 的审查结论是工程与完整性审查意见，不替代 Founder 的最终业务授权，也不得被写成 Founder 的业务批准。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三、本任务禁止事项（红线）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不开始大规模知识蒸馏；不生成品牌专属 Prompt；不复制品牌专属专家。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不接入真实品牌生产与正式库存；不创建 Serving；不进入自动内容发布。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不触碰、不重写、不漂移笛语现有 P7C／Content Kernel／DIFY／CSO 任何状态（解耦裁决）。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不把模型知识广度当作专家等价证明；不把任何候选知识标记为 accepted 或 production_servable。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隐藏品牌与夹具品牌数据在本任务中只定义工作流合同，不实际生成语料（语料生成属 M1–M2 执行范围）。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不得获取、输出或持久化 Founder 提供的模型 API 明文凭证；本次也不得以“测试方便”为由索要凭证。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不得把夹具品牌、模拟库存或合成顾客当作真实业务证据；不得在 M1 Schema 冻结前正式生成夹具品牌资产（M0 只定义其治理合同）。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不得创建或翻转 Serving、RAG、DIFY、生产发布或 Commercial V1.0 状态。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不得为任何品牌复制独立专家内核、补写隐藏品牌专属 Prompt，或向生成链泄漏隐藏答案。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不得自行更改本申请与 PRD v1.2 中已冻结的产品裁决；如发现指令内部矛盾，须停下并报 Founder 裁决，不得自行绕过。</w:t>
      </w:r>
    </w:p>
    <w:p>
      <w:pPr>
        <w:pStyle w:val="ListParagraph"/>
      </w:pPr>
      <w:r>
        <w:t>• M0不得实际接收、处理、保存或测试Founder真实品牌资料；只定义FounderProvidedRealBrandPackage、使用范围、隔离与Receipt合同。</w:t>
      </w:r>
    </w:p>
    <w:p>
      <w:pPr>
        <w:pStyle w:val="ListParagraph"/>
      </w:pPr>
      <w:r>
        <w:t>• M0不得运行多模态商品识别或产生正式VisualAttributeExtractionResult；只定义证据分级、Schema、评测与失败关闭Brief。</w:t>
      </w:r>
    </w:p>
    <w:p>
      <w:pPr>
        <w:pStyle w:val="ListParagraph"/>
      </w:pPr>
      <w:r>
        <w:t>• M0不得建立搭配师人设记忆生产库、写入已发布观点或运行人设持久化；只定义对象、边界、M1 Schema与M2评测Brief。</w:t>
      </w:r>
    </w:p>
    <w:p>
      <w:pPr>
        <w:pStyle w:val="ListParagraph"/>
      </w:pPr>
      <w:r>
        <w:t>• M0不得启用自动发布；publication_mode仍为human_review。本任务只定义Founder授权、前置检查、审计、撤回、回滚与Kill Switch合同。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四、验收与收口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Checker 全绿：十四项交付物均有必需输入、输出、失败状态与负责角色；与现有笛语资产零接触验证通过。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Guardian 独立审查报告：无越界、无矛盾、无遗漏、无与 PRD v1.2 及 D-17—D-29 冲突条文。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工作树、版本、输入清单、原始输出与报告可重放；Receipt 完整。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Founder 形成明确的 PASS ／ CONDITIONAL ／ BLOCK 裁决后，方可进入 M1。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>五、Guardian 审查项与审批回执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Guardian 应逐项返回审查结论，而非只回复“同意”：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① 范围一致：是否严格停留在 M0，且未提前生成知识、夹具资产或生产能力 → PASS / FAIL ＋ 证据。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② 清单闭环：十四项交付物、M1 Schema Brief、M2 评测冻结 Brief、负责人与失败状态是否可追溯 → PASS / FAIL ＋ 缺口。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③ 边界安全：独立解耦、API 凭证、顾客档案、Founder控制发布、多模态事实分级与夹具/Founder注入品牌不可证明范围是否清楚 → PASS / FAIL ＋ 风险。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④ 可验收性：交付物是否可运行 Checker、可重放、可出 Report / Receipt，不以文档数量替代结果 → PASS / FAIL ＋ 修复建议。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⑤ 最终意见：是否已达到可向 Founder 申请执行授权的程度 → APPROVE / APPROVE_WITH_CONDITIONS / REJECT。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回执须记录：approval_request_id（DIYU-CBFSK-EXEC-REQ-M0-003）、reviewer_role、decision、scope_alignment、deliverable_closure、fact_and_safety_boundaries、blocking_findings、non_blocking_findings、required_delta_before_execution、reviewed_version_or_file_hash、review_timestamp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批准后的唯一后续动作：若 Guardian 返回 APPROVE 或无阻断性的 APPROVE_WITH_CONDITIONS，则将回执与本申请一并报 Founder；只有 Founder 明确批准后才允许开工 M0。任何 REJECT 或阻断性条件必须先修复并重审。</w:t>
      </w:r>
    </w:p>
    <w:p>
      <w:pPr>
        <w:pStyle w:val="ListParagraph"/>
      </w:pPr>
      <w:r>
        <w:t>• ⑥ 人设与语感闭环：人设连续性、历史观点/栏目、自媒体原生语感是否进入M1对象和M2评测合同 → PASS / FAIL ＋证据。</w:t>
      </w:r>
    </w:p>
    <w:p>
      <w:pPr>
        <w:pStyle w:val="ListParagraph"/>
      </w:pPr>
      <w:r>
        <w:t>• ⑦ 多模态事实边界：authoritative_structured_fact &gt; human_verified_visual_attribute &gt; multimodal_inferred_visual_attribute &gt; general_model_inference是否明确，不可仅凭图片断言项是否失败关闭 → PASS / FAIL ＋风险。</w:t>
      </w:r>
    </w:p>
    <w:p>
      <w:pPr>
        <w:pStyle w:val="ListParagraph"/>
      </w:pPr>
      <w:r>
        <w:t>• ⑧ 发布模式：是否正确表达为默认人工、Founder可授权自动发布，且既非永久禁止也非默认开启 → PASS / FAIL ＋证据。</w:t>
      </w:r>
    </w:p>
    <w:p>
      <w:pPr>
        <w:pStyle w:val="ListParagraph"/>
      </w:pPr>
      <w:r>
        <w:t>• ⑨ 扩展兼容：VM与实时成交辅助是否不列入V1.0/M12强制门且保留版本化扩展端口 → PASS / FAIL ＋证据。</w:t>
      </w:r>
    </w:p>
    <w:p>
      <w:pPr>
        <w:pStyle w:val="ListParagraph"/>
      </w:pPr>
      <w:r>
        <w:t>• ⑩ M0顶层清单：第13/14/17.1节与本申请是否仍严格为同一组14项，无第15项或18项版回潮 → PASS / FAIL ＋证据。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>六、审核与授权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626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结论</w:t>
            </w:r>
          </w:p>
        </w:tc>
        <w:tc>
          <w:tcPr>
            <w:tcW w:type="dxa" w:w="46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文档一致性预审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候选生成侧自检完成 · 非Guardian结论</w:t>
            </w:r>
          </w:p>
        </w:tc>
        <w:tc>
          <w:tcPr>
            <w:tcW w:type="dxa" w:w="4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已核对PRD v1.2、D-17—D-29、S1—S8、M0十四项、M1/M2承接、多模态来源分层、隐藏集隔离、单一Founder治理与Project CI。此项只是候选施工侧自检（TEMPORARY_EXECUTION_WRITER），独立Guardian与ChatGPT总顾问尚未审查。execution_run_id=2fcbfed0-be7e-4b6f-938e-7f84109ab162</w:t>
            </w:r>
          </w:p>
        </w:tc>
      </w:tr>
      <w:tr>
        <w:tc>
          <w:tcPr>
            <w:tcW w:type="dxa" w:w="21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Founder 授权（PRD v1.2 ＋ 本申请）</w:t>
            </w:r>
          </w:p>
        </w:tc>
        <w:tc>
          <w:tcPr>
            <w:tcW w:type="dxa" w:w="23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＿＿＿＿＿＿＿＿</w:t>
            </w:r>
          </w:p>
        </w:tc>
        <w:tc>
          <w:tcPr>
            <w:tcW w:type="dxa" w:w="46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签署：＿＿＿＿＿＿　日期：＿＿＿＿＿＿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DIYU-CBFSK-001  |  M0 执行申请 v1.2  |  EXEC-REQ-M0-003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2026-08-12T13:39:43.658Z</dcterms:created>
  <dcterms:modified xsi:type="dcterms:W3CDTF">2026-08-12T13:39:43.658Z</dcterms:modified>
  <dc:title>笛语跨品牌服装搭配专家内核 M0 执行申请 v1.2</dc:title>
  <dc:description>EXECUTION_RUN_ID=2fcbfed0-be7e-4b6f-938e-7f84109ab162; M0_AUTHORIZED_FALSE; requires Founder signature on PRD v1.2 and this request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