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840" w:after="160" w:line="300" w:lineRule="auto"/>
      </w:pPr>
      <w:r>
        <w:rPr>
          <w:rFonts w:ascii="Noto Sans CJK SC" w:hAnsi="Noto Sans CJK SC" w:eastAsia="Noto Sans CJK SC"/>
          <w:b/>
          <w:color w:val="B7791F"/>
          <w:sz w:val="21"/>
        </w:rPr>
        <w:t>DIYU  /  PROJECT INITIATION</w:t>
      </w:r>
    </w:p>
    <w:p>
      <w:pPr>
        <w:keepNext w:val="0"/>
        <w:keepLines w:val="0"/>
        <w:pBdr>
          <w:bottom w:val="single" w:sz="18" w:space="1" w:color="B7791F"/>
        </w:pBdr>
        <w:spacing w:before="0" w:after="80" w:line="300" w:lineRule="auto"/>
      </w:pPr>
    </w:p>
    <w:p>
      <w:pPr>
        <w:keepNext w:val="0"/>
        <w:keepLines w:val="0"/>
        <w:spacing w:before="240" w:after="160" w:line="240" w:lineRule="auto"/>
        <w:jc w:val="left"/>
      </w:pPr>
      <w:r>
        <w:rPr>
          <w:rFonts w:ascii="Noto Sans CJK SC" w:hAnsi="Noto Sans CJK SC" w:eastAsia="Noto Sans CJK SC"/>
          <w:b/>
          <w:color w:val="102A43"/>
          <w:sz w:val="56"/>
        </w:rPr>
        <w:t>笛语跨品牌服装搭配专家内核</w:t>
      </w:r>
    </w:p>
    <w:p>
      <w:pPr>
        <w:keepNext w:val="0"/>
        <w:keepLines w:val="0"/>
        <w:spacing w:before="0" w:after="360" w:line="276" w:lineRule="auto"/>
        <w:jc w:val="left"/>
      </w:pPr>
      <w:r>
        <w:rPr>
          <w:rFonts w:ascii="Noto Sans CJK SC" w:hAnsi="Noto Sans CJK SC" w:eastAsia="Noto Sans CJK SC"/>
          <w:b w:val="0"/>
          <w:color w:val="2C7A7B"/>
          <w:sz w:val="24"/>
        </w:rPr>
        <w:t>Product Requirements Document · Execution Roadmap · Milestone Deliverables</w:t>
      </w:r>
    </w:p>
    <w:p>
      <w:pPr>
        <w:keepNext w:val="0"/>
        <w:keepLines w:val="0"/>
        <w:spacing w:before="120" w:after="360" w:line="288" w:lineRule="auto"/>
      </w:pPr>
      <w:r>
        <w:rPr>
          <w:rFonts w:ascii="Noto Serif CJK SC" w:hAnsi="Noto Serif CJK SC" w:eastAsia="Noto Serif CJK SC"/>
          <w:b w:val="0"/>
          <w:color w:val="1A202C"/>
          <w:sz w:val="30"/>
        </w:rPr>
        <w:t>跨品牌 · 跨品类 · 库存约束 · 个体适配 · 专家叙事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Project ID（项目编号）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DIYU-CBFSK-001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Document Version（文档版本）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PRD v1.1 · 独立解耦与审查修复基线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Project Status（项目状态）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PROJECT_INITIATED / EXECUTION_NOT_STARTED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Business Authority（业务裁决）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Founder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Knowledge Distillation（知识蒸馏）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GPT-5.6 Pro × Claude Code</w:t>
            </w:r>
          </w:p>
        </w:tc>
      </w:tr>
      <w:tr>
        <w:tc>
          <w:tcPr>
            <w:tcW w:type="dxa" w:w="2948"/>
            <w:shd w:fill="EDF2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18"/>
              </w:rPr>
              <w:t>Baseline Date（基线日期）</w:t>
            </w:r>
          </w:p>
        </w:tc>
        <w:tc>
          <w:tcPr>
            <w:tcW w:type="dxa" w:w="612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keepLines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2026-08-12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B7791F"/>
              <w:left w:val="single" w:sz="18" w:color="B7791F"/>
              <w:bottom w:val="single" w:sz="10" w:color="B7791F"/>
              <w:right w:val="single" w:sz="10" w:color="B7791F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正式立项裁决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本项目从笛语现有内容生产与陈列场景中独立立项。项目目标不是为每个品牌分别创建一个AI搭配师，而是建设一个可跨品牌、跨品类迁移的顶级服装搭配专家内核；品牌只提供品牌事实，运行时只提供真实货盘、目标人群与具体任务。叙事化内容能力属于专家内核的必要组成，不是后置文案润色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640" w:after="0" w:line="300" w:lineRule="auto"/>
        <w:jc w:val="center"/>
      </w:pPr>
      <w:r>
        <w:rPr>
          <w:rFonts w:ascii="Noto Sans CJK SC" w:hAnsi="Noto Sans CJK SC" w:eastAsia="Noto Sans CJK SC"/>
          <w:b w:val="0"/>
          <w:color w:val="718096"/>
          <w:sz w:val="18"/>
        </w:rPr>
        <w:t>内部评审与施工基线</w:t>
      </w:r>
    </w:p>
    <w:p>
      <w:r>
        <w:br w:type="page"/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06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Document Purpose（文档目的）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冻结项目产品合同、范围、能力、执行路径、里程碑交付物与验收门。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Authority（权威来源）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Founder在本轮对话中的正式立项指令与此前已形成的业务裁决。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Scope Status（范围状态）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产品使命与一级范围冻结；详细Schema、阈值与知识单元数量在M0—M2中最终冻结。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Execution Status（执行状态）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未开始。本文档不表示任何知识、模型、Serving、RAG或生产状态已经翻转。</w:t>
            </w:r>
          </w:p>
        </w:tc>
      </w:tr>
      <w:tr>
        <w:trPr>
          <w:cantSplit/>
        </w:trPr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Relationship to Existing Diyu Work（与现有笛语工作关系）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独立解耦（standalone_decoupled）。本项目与笛语现有P7C扩量门、Content Kernel、CandidatePack、Serving、RAG与DIFY完全独立，互不污染、互不翻转状态；未来仅允许笛语底座通过版本化API/SDK/Schema/组件包消费本项目能力。</w:t>
            </w:r>
          </w:p>
        </w:tc>
      </w:tr>
      <w:tr>
        <w:trPr>
          <w:cantSplit/>
        </w:trPr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Change Control（变更控制）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范围变化必须形成Founder裁决与PRD版本增量；不得通过执行代理自行扩大或缩小产品合同。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13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81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64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v1.0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2026-08-12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正式立项基线</w:t>
            </w:r>
          </w:p>
        </w:tc>
        <w:tc>
          <w:tcPr>
            <w:tcW w:type="dxa" w:w="464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首次冻结跨品牌、跨品类、库存约束、个体适配、叙事化表达与GPT×Claude Code知识蒸馏合同。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v1.1</w:t>
            </w:r>
          </w:p>
        </w:tc>
        <w:tc>
          <w:tcPr>
            <w:tcW w:type="dxa" w:w="170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2026-08-12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独立解耦与审查修复基线</w:t>
            </w:r>
          </w:p>
        </w:tc>
        <w:tc>
          <w:tcPr>
            <w:tcW w:type="dxa" w:w="464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合并 PRD v1.1 Delta（DIYU-CBFSK-PRD-DELTA-v1.1-002）全部16条（D-01~D-16），按其第五部分21行映射表机械应用。含：架构独立解耦与预算改判、M0唯一清单统一、Schema交付补齐、语料与夹具品牌工作流、投资阶梯与关键路径、第八道安全合规发布门、M11改判为仿真试点、运行时模型/个体资料双模式/商品属性来源/人工发布终态四项Founder裁决。Founder 裁决：模型供给、个体资料双模式、商品属性来源、人工发布四项合同写入本PRD正文，不单列为M0合同文件；M0交付清单定为14项。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1. 项目立项与产品定义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11. 技术与运营要求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2. 背景、机会与独立立项理由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12. 执行步骤与依赖关系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3. 产品目标、非目标与设计原则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13. 里程碑、交付物与验收门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4. 领域范围、用户与核心场景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14. 里程碑交付总清单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5. 专家内核能力模型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15. 工程量、周期与团队配置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6. 输入、输出与事实优先级合同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16. 风险、停止条件与决策权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7. 功能需求清单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17. 首个执行任务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8. GPT × Claude Code知识蒸馏与知识工程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附录A. 推荐目录与文件命名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9. 叙事智能与账号矩阵内容合同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附录B. 核心术语表</w:t>
            </w:r>
          </w:p>
        </w:tc>
      </w:tr>
      <w:tr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10. 评测体系与商业发布门</w:t>
            </w:r>
          </w:p>
        </w:tc>
        <w:tc>
          <w:tcPr>
            <w:tcW w:type="dxa" w:w="4535"/>
            <w:tcMar>
              <w:top w:w="55" w:type="dxa"/>
              <w:start w:w="80" w:type="dxa"/>
              <w:bottom w:w="55" w:type="dxa"/>
              <w:end w:w="80" w:type="dxa"/>
            </w:tcMar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keepLines w:val="0"/>
              <w:spacing w:before="0" w:after="0" w:line="264" w:lineRule="auto"/>
            </w:pPr>
          </w:p>
        </w:tc>
      </w:tr>
    </w:tbl>
    <w:p>
      <w:r>
        <w:br w:type="page"/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1. 项目立项与产品定义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1.1 正式项目名称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中文正式名称：笛语跨品牌服装搭配专家内核。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英文工作名称：DIYU Cross-Brand &amp; Cross-Category Fashion Styling Expert Kernel。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项目编号：DIYU-CBFSK-001。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1.2 一句话产品定义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6FFF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2C7A7B"/>
              <w:left w:val="single" w:sz="18" w:color="2C7A7B"/>
              <w:bottom w:val="single" w:sz="10" w:color="2C7A7B"/>
              <w:right w:val="single" w:sz="10" w:color="2C7A7B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2C7A7B"/>
                <w:sz w:val="21"/>
              </w:rPr>
              <w:t>Product Definition（产品定义）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构建一个能够跨品牌、跨品类理解品牌定位与目标人群，在总部或门店真实可售货盘约束下，针对不同体型、肤色、气质、年龄阶段、功能需求与穿着场景，生成可解释、可替代、可购买的专业搭配方案，并将每次专业判断转化为真实、有观点、有场景、有变化的自媒体叙事内容的数字化顶级服装搭配专家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1.3 北极星结果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系统面对一个此前没有专门建设过的新品牌与新货盘，只读取必要的品牌事实、品类规则、目标人群与实时库存，仍能够完成以下闭环：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理解品牌在为谁服务、顾客希望成为什么样的人，以及品牌允许怎样表达身体、气质与生活方式。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诊断一套现有衣服为什么成立或不成立，明确需要增加、去除、替换、重组、简化或重新场景化的部分。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在真实货盘中选择商品，说明选中理由、排除理由、副作用与库存不足时的替代方案。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针对不同体型、肤色、身高比例、气质、年龄阶段、功能需求与场景生成不同答案。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把专业判断转化为总部搭配师账号、门店搭配师账号及其他品牌账号矩阵可以持续发布的叙事化内容。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保留事实来源、决策轨迹、不确定性和人工升级边界。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1.4 项目状态合同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9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46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PROJECT_INITIATED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已由Founder正式单独立项。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EXECUTION_NOT_STARTED</w:t>
            </w:r>
          </w:p>
        </w:tc>
        <w:tc>
          <w:tcPr>
            <w:tcW w:type="dxa" w:w="646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尚未进入知识生成、代码施工或品牌试点。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SCOPE_BASELINE_FROZEN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一级产品使命、五类首发品类与知识蒸馏方法已冻结。</w:t>
            </w:r>
          </w:p>
        </w:tc>
      </w:tr>
      <w:tr>
        <w:trPr>
          <w:cantSplit/>
        </w:trPr>
        <w:tc>
          <w:tcPr>
            <w:tcW w:type="dxa" w:w="289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PRODUCTION_SERVABLE_FALSE</w:t>
            </w:r>
          </w:p>
        </w:tc>
        <w:tc>
          <w:tcPr>
            <w:tcW w:type="dxa" w:w="646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任何候选知识与原型均不得被视为正式可服务能力。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SCALE_DECISION_HOLD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未通过未见品牌/未见品类迁移门前，不得宣称商业级专家等价。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ARCHITECTURE_RELATIONSHIP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STANDALONE_DECOUPLED——本项目独立于笛语系统底座建设，拥有独立的项目空间/代码仓、产品合同、知识状态机、数据模型、隐藏评测、版本体系、发布节奏、多租户与权限设计、部署运维边界、商业化路线、里程碑与Founder裁决。</w:t>
            </w:r>
          </w:p>
        </w:tc>
      </w:tr>
      <w:tr>
        <w:trPr>
          <w:cantSplit/>
        </w:trPr>
        <w:tc>
          <w:tcPr>
            <w:tcW w:type="dxa" w:w="289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FUTURE_INTEGRATION_MODE</w:t>
            </w:r>
          </w:p>
        </w:tc>
        <w:tc>
          <w:tcPr>
            <w:tcW w:type="dxa" w:w="646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DIYU_FOUNDATION_CONSUMES_KERNEL_COMPONENTS——未来集成的唯一合法方向为笛语系统底座通过版本化API、SDK、Schema或组件包消费本项目能力；禁止把内核拆散复制进笛语现有模块。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2. 背景、机会与独立立项理由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2.1 业务机会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国内市场已经具备AI搭配、库存推荐、商品内容生成与账号矩阵管理等单点能力，但公开可见产品尚未形成一个稳定的“跨品牌、跨品类专家判断—真实货盘—个体适配—叙事化内容—账号矩阵”统一产品合同。笛语的机会不在于再做一个搭配推荐器，而在于把顶级专家能力变成可迁移、可审计、可持续内容化的系统资产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2.2 当前通用LLM与普通知识库的不足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通用LLM“知道很多”不等于在品牌、品类、库存与个体条件冲突时能够稳定做出正确取舍。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普通RAG或知识百科容易生成穿搭口诀、色彩常识和干巴巴的知识点，无法证明专业判断的边界与可迁移性。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仅有观点表达仍不足以形成账号价值；消费者需要看到“什么人、什么处境、为什么以前没搭对、改变了什么”。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为每个品牌复制一套专属专家知识成本高、不可扩展，并掩盖系统缺乏真正跨品牌迁移能力的问题。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只看内容播放或销售上涨，无法证明搭配判断正确；专业评测、事实约束与内容评测必须分离。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2.3 为什么必须独立立项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能力对象不同：本项目建设的是专业搭配决策与叙事智能，不是现有236个内容原子或P1—P5产品输出合同的简单扩展。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评测对象不同：必须建立未见品牌、未见品类、跨受众、真实库存和叙事真实性的独立隐藏基准。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知识状态不同：模型蒸馏结果只能进入候选知识链，不能与已接受领域真源混写。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风险边界不同：童装、青少年、运动功能与个体身体适配带来独立的安全、隐私和表达风险。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商业路径不同：本项目最终可形成总部全货盘内容产品、单店现货内容产品、导购辅助与个体搭配服务。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架构关系已裁决为独立解耦（standalone_decoupled）：本项目拥有独立的项目空间/代码仓、产品合同、知识状态机、数据模型、隐藏评测、版本体系、发布节奏、多租户与权限设计、部署运维边界、商业化路线、里程碑与Founder裁决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不依赖清单：本项目不依赖笛语现有P7C、Content Kernel、CandidatePack、Serving Projection、RAG、DIFY、当前CSO实现与现有内容扩量门。上述均不是本项目的依赖或验收对象；两者互不污染、互不翻转状态。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未来集成唯一合法路径：笛语系统底座通过版本化API、SDK、Schema或组件包消费和复用本项目能力；禁止把内核拆散复制进笛语现有模块，或由底座重新定义其知识与决策合同。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底座优先复用组件清单：BrandResolver、CategoryRouter/CategoryAdapter、AudienceResolver、GarmentSemanticLayer、InventoryGroundingLayer、ConstraintEngine、CandidateComposer、StylingRanker、DecisionTraceEngine、NarrativeEngine、AccountProjector、EvaluationRunner，以及Brand Truth Pack / Inventory Snapshot / Individual Profile / Styling Decision Trace四类Schema、知识状态机、未见品牌与未见品类评测体系。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CSO集成边界：本项目NarrativeEngine输出已受专业决策约束的NarrativePackage；笛语CSO可做平台、人设、节奏与表达适配，但不得更改已接受专业结论、添加不存在的商品、虚构真实经历、为内容效果覆盖品类安全，或将高播放反馈直接写回专家知识真源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3. 产品目标、非目标与设计原则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3.1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7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63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成功含义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G-01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跨品牌迁移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面对未针对性建设过的品牌，仅凭品牌事实包即可形成符合该品牌的专业搭配判断。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G-02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跨品类迁移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共享一个专家认知内核，同时正确调用女装、童装、青少年潮流、亲子潮流、运动潮流的品类机制与硬约束。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G-03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目标受众理解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理解品牌目标人群的身份、生活阶段、审美成熟度、风险接受度、身体需求与穿衣任务。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G-04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真实货盘约束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总部内容只使用总部有效货盘；门店内容只使用该店可售款色码；缺货后可替换、撤稿或收窄。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G-05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个体适配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针对体型、肤色、气质、身高比例、年龄阶段、功能需求和场景给出差异化方案。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G-06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造型重构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不仅会增加配饰，还能做减法、替换、再平衡、重设焦点、现代化与重新场景化。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G-07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专家叙事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从专业决策中发现人物处境、误解、冲突、变化和结论，输出非教程式、非知识点堆砌的内容。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G-08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账号矩阵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总部、门店、搭配师、店长、导购等账号使用不同事实范围、专业视角与内容职责。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G-09</w:t>
            </w:r>
          </w:p>
        </w:tc>
        <w:tc>
          <w:tcPr>
            <w:tcW w:type="dxa" w:w="181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可解释与可审计</w:t>
            </w:r>
          </w:p>
        </w:tc>
        <w:tc>
          <w:tcPr>
            <w:tcW w:type="dxa" w:w="663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所有正式结果保存事实、规则、选择、排除、不确定性、模型与知识版本。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G-10</w:t>
            </w:r>
          </w:p>
        </w:tc>
        <w:tc>
          <w:tcPr>
            <w:tcW w:type="dxa" w:w="181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可规模交付</w:t>
            </w:r>
          </w:p>
        </w:tc>
        <w:tc>
          <w:tcPr>
            <w:tcW w:type="dxa" w:w="663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在多租户、多品牌、多门店环境中保持数据隔离、成本可控、任务可恢复和结果可回归。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3.2 非目标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以下内容明确不属于本项目V1.0产品承诺：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三维虚拟试衣、人体精确测量、服装CAD仿真与成衣设计。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以自动图像识别直接评价消费者“缺陷”或进行外貌排名。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以“年薪百万专家”角色提示词替代可验证能力。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承诺内容必然爆款，或把播放量直接视为专业知识正确。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将一次模型回答、跨模型一致或高分文案直接升级为领域真源。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为每个品牌复制一整套独立专家内核。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自动发布内容：本项目V1.0全生命周期保持人工审核在环，自动发布终态不属于V1.0产品承诺——包括所有商业发布门通过之后。（保留不变：FR-17发布前库存复核、“人工可发布率≥75%”质量门。）</w:t>
      </w:r>
    </w:p>
    <w:p>
      <w:pPr>
        <w:keepNext w:val="0"/>
        <w:keepLines w:val="0"/>
        <w:spacing w:before="0" w:after="56" w:line="293" w:lineRule="auto"/>
        <w:ind w:left="567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以图像识别自动生成或提取商品属性：商品与货盘属性以品牌专属数据库（品牌真源／PIM／ERP等）为唯一来源，V1.0不立项图像识别属性提取工程线；字段缺失时按FR-05既有路径触发收窄或要求补充，不得脑补属性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3.3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24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589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产品含义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P-01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One Expert Kernel（一个专家内核）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共享跨品牌、跨品类认知能力；品牌与品类通过适配合同提供事实和约束。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P-02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Narrative from Decision（叙事源于决策）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先形成专业判断，再提取叙事；不得为了故事效果扭曲搭配结论。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P-03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Facts before Fluency（事实优先于流畅）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商品、库存、品牌、人群和具体经历缺失时必须收窄、询问或停止。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P-04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Mechanisms over Slogans（机制优于口诀）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保存视觉作用机制、适用条件、副作用和例外，不堆砌“显高显瘦”等口号。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P-05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Transfer before Memorization（迁移优于记忆）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用未见品牌与未见品类测试证明能力，防止品牌名称映射到固定模板。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P-06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Model Output is Candidate（模型输出是候选）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GPT与Claude提供候选知识，不拥有最终知识裁决权。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P-07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Category Safety by Design（品类安全内建）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童装、青少年和运动品类必须具有独立的安全、功能、年龄适当性和表达边界。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P-08</w:t>
            </w:r>
          </w:p>
        </w:tc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Accepted Decision before Content（先接受决策再生产内容）</w:t>
            </w:r>
          </w:p>
        </w:tc>
        <w:tc>
          <w:tcPr>
            <w:tcW w:type="dxa" w:w="589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内容质量不能掩盖搭配判断错误。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P-09</w:t>
            </w:r>
          </w:p>
        </w:tc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Delta-only Promotion（增量晋级）</w:t>
            </w:r>
          </w:p>
        </w:tc>
        <w:tc>
          <w:tcPr>
            <w:tcW w:type="dxa" w:w="5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任何知识、规则与评测改动只按已接受基线增量检查。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4. 领域范围、用户与核心场景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4.1 首发品类范围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品类</w:t>
            </w:r>
          </w:p>
        </w:tc>
        <w:tc>
          <w:tcPr>
            <w:tcW w:type="dxa" w:w="19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核心受众</w:t>
            </w:r>
          </w:p>
        </w:tc>
        <w:tc>
          <w:tcPr>
            <w:tcW w:type="dxa" w:w="36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独特专业合同</w:t>
            </w:r>
          </w:p>
        </w:tc>
        <w:tc>
          <w:tcPr>
            <w:tcW w:type="dxa" w:w="238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重点输出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女装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成人女性；职业、生活方式与个体审美差异显著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身体比例、肤色、气质、年龄表达、正式度、场景转换、衣橱重构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总部全货盘搭配、门店现货搭配、个体适配、IP内容</w:t>
            </w:r>
          </w:p>
        </w:tc>
      </w:tr>
      <w:tr>
        <w:trPr>
          <w:cantSplit/>
        </w:trPr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童装</w:t>
            </w:r>
          </w:p>
        </w:tc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儿童与家长双重决策者</w:t>
            </w:r>
          </w:p>
        </w:tc>
        <w:tc>
          <w:tcPr>
            <w:tcW w:type="dxa" w:w="36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年龄与发育、活动自由、穿脱便利、面料触感、安全、耐洗、成长余量；禁止成人化身体评价</w:t>
            </w:r>
          </w:p>
        </w:tc>
        <w:tc>
          <w:tcPr>
            <w:tcW w:type="dxa" w:w="238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家长决策内容、儿童自主选择、场景与功能搭配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青少年潮流时装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青春期与年轻潮流人群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同伴文化、身份探索、圈层符号、校规/家庭边界、身体发育、年龄适当性；避免身体羞耻与消费焦虑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趋势解释、圈层语境、校园/社交场景、可控尝试</w:t>
            </w:r>
          </w:p>
        </w:tc>
      </w:tr>
      <w:tr>
        <w:trPr>
          <w:cantSplit/>
        </w:trPr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亲子潮流时装</w:t>
            </w:r>
          </w:p>
        </w:tc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家庭组合与亲子关系表达</w:t>
            </w:r>
          </w:p>
        </w:tc>
        <w:tc>
          <w:tcPr>
            <w:tcW w:type="dxa" w:w="36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关联而不雷同、年龄差异、色彩图案呼应、舒适、安全、拍摄与出行场景</w:t>
            </w:r>
          </w:p>
        </w:tc>
        <w:tc>
          <w:tcPr>
            <w:tcW w:type="dxa" w:w="238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亲子成套逻辑、家庭场景叙事、单店组合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运动潮流时装</w:t>
            </w:r>
          </w:p>
        </w:tc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运动、通勤、休闲跨场景人群</w:t>
            </w:r>
          </w:p>
        </w:tc>
        <w:tc>
          <w:tcPr>
            <w:tcW w:type="dxa" w:w="36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运动类型、活动幅度、功能面料、支撑、伸展、透气、鞋服关系、安全；功能合同优先</w:t>
            </w:r>
          </w:p>
        </w:tc>
        <w:tc>
          <w:tcPr>
            <w:tcW w:type="dxa" w:w="238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运动前后场景、功能与潮流平衡、可售组合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产品架构从第一天按跨品类设计；商业V1.0须完成上述五类品类的显式支持。男装、中性时装、户外生活方式、鞋包配饰作为后续扩展，不得在V1.0中暗示已完整支持。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4.2 品牌范围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覆盖市面主流品牌风格，而非只覆盖少数参考品牌。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以连续风格坐标、受众模型和品牌事实包解析品牌，不以品牌名称直接映射固定搭配模板。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支持总部品牌级、区域级、加盟门店级不同货盘与内容权限。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品牌专属数据库只保存真实品牌参数、禁用规则、本季策略和历史接受案例，不重复建设专家通识。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4.3 用户与利益相关者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55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69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核心需求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品牌Founder/老板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判断产品是否形成可感知的专业差异、品牌资产与商业价值。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品牌总部商品/陈列/内容团队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使用全货盘建立品牌搭配观点、内容栏目、商品组合与门店指导。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区域/加盟商/门店经营者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基于本店真实库存、本地天气与顾客需求生产可买、可试穿的内容。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搭配师/店长/导购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获得专业诊断、试穿建议、替代方案与可表达的内容。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终端消费者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理解什么适合自己、为什么、怎样扬长避短、如何使用现有衣物。</w:t>
            </w:r>
          </w:p>
        </w:tc>
      </w:tr>
      <w:tr>
        <w:trPr>
          <w:cantSplit/>
        </w:trPr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知识工程与评测团队</w:t>
            </w:r>
          </w:p>
        </w:tc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构建、审查、版本化和验证专家知识与失败边界。</w:t>
            </w:r>
          </w:p>
        </w:tc>
      </w:tr>
      <w:tr>
        <w:trPr>
          <w:cantSplit/>
        </w:trPr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内容策略/CSO团队</w:t>
            </w:r>
          </w:p>
        </w:tc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将已接受专业判断投影为不同账号、平台与栏目。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4.4 核心业务场景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7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3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600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产品结果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S-01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总部全货盘搭配体系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读取品牌全部有效货品，建立系列、场景、人群、单品多生命与内容栏目。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S-02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单店现货搭配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只使用本店可售款色码，结合当地天气、客群、库存深度和经营任务输出方案与内容。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S-03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单品多套生命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围绕一个现有商品生成不同人群、场景、正式度与风格版本，并说明变化机制。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S-04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现有造型诊断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判断需要增加、去除、替换、再平衡、转移焦点、现代化或场景化的部分。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S-05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个体适配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面向体型、肤色、气质、身高比例、职业、预算、舒适边界与场景给出方案。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S-06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搭配师IP内容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从真实搭配决策中生产观点、冲突、变化、技巧与人物处境，形成持续栏目。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S-07</w:t>
            </w:r>
          </w:p>
        </w:tc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门店成交辅助</w:t>
            </w:r>
          </w:p>
        </w:tc>
        <w:tc>
          <w:tcPr>
            <w:tcW w:type="dxa" w:w="600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导购提供试穿顺序、选择理由、替代方案和不可强推边界。【V1.0承诺级别·建议默认待确认】＝基于已接受搭配决策生成的“导购辅助要点”，作为ContentProjection的一种投影类型，M7实现、M11验收；实时交互式导购工具不属于V1.0承诺。</w:t>
            </w:r>
          </w:p>
        </w:tc>
      </w:tr>
      <w:tr>
        <w:trPr>
          <w:cantSplit/>
        </w:trPr>
        <w:tc>
          <w:tcPr>
            <w:tcW w:type="dxa" w:w="7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S-08</w:t>
            </w:r>
          </w:p>
        </w:tc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跨品牌/跨品类比较</w:t>
            </w:r>
          </w:p>
        </w:tc>
        <w:tc>
          <w:tcPr>
            <w:tcW w:type="dxa" w:w="600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解释相同单品或相同人群在不同品牌、品类与功能合同下为什么答案不同。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4.5 账号矩阵职责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198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账号</w:t>
            </w:r>
          </w:p>
        </w:tc>
        <w:tc>
          <w:tcPr>
            <w:tcW w:type="dxa" w:w="306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可读事实范围</w:t>
            </w:r>
          </w:p>
        </w:tc>
        <w:tc>
          <w:tcPr>
            <w:tcW w:type="dxa" w:w="419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内容职责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品牌总部搭配师账号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品牌全部有效货品、品牌策略与目标人群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品牌穿衣主张、全货盘搭配、衣橱体系、系列变化与审美教育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门店搭配师账号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本店真实库存、当地天气、客群与门店任务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现在可以买到、可以试穿、适合本地生活的具体组合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品牌主账号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品牌真源与季度表达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品牌价值、生活方式、季度主题，不承担所有个体搭配细节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店长账号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门店经营现场与角色权限内事实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货品取舍、真实运营判断、顾客常见困难，不虚构个人经历</w:t>
            </w:r>
          </w:p>
        </w:tc>
      </w:tr>
      <w:tr>
        <w:trPr>
          <w:cantSplit/>
        </w:trPr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导购账号</w:t>
            </w:r>
          </w:p>
        </w:tc>
        <w:tc>
          <w:tcPr>
            <w:tcW w:type="dxa" w:w="306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当班门店可售货品与试穿反馈</w:t>
            </w:r>
          </w:p>
        </w:tc>
        <w:tc>
          <w:tcPr>
            <w:tcW w:type="dxa" w:w="419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试穿问题、搭配替代、服务细节与成交辅助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亲子/运动等品类角色账号</w:t>
            </w:r>
          </w:p>
        </w:tc>
        <w:tc>
          <w:tcPr>
            <w:tcW w:type="dxa" w:w="306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对应品类事实与安全边界</w:t>
            </w:r>
          </w:p>
        </w:tc>
        <w:tc>
          <w:tcPr>
            <w:tcW w:type="dxa" w:w="419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品类特有场景、功能、家庭关系或运动生活方式内容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5. 专家内核能力模型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5.1 产品能力不是“专业知识 + 文案润色”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专家内核必须在同一次任务中完成专业判断与叙事价值发现。叙事不是把“提高腰线”改写得口语化，而是识别目标人群真实处境、常见误解、品牌与身体条件冲突、造型变化和可被记住的专业结论。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品牌与品类理解</w:t>
              <w:br/>
              <w:t>+ 目标受众与个体理解</w:t>
              <w:br/>
              <w:t>+ 商品与库存事实</w:t>
              <w:br/>
              <w:t>+ 场景、功能与经营目标</w:t>
              <w:br/>
              <w:t>+ 视觉机制与搭配变换语法</w:t>
              <w:br/>
              <w:t>────────────────────────</w:t>
              <w:br/>
              <w:t>→ 专业诊断与候选组合</w:t>
              <w:br/>
              <w:t>→ 选择、排除、副作用与替代</w:t>
              <w:br/>
              <w:t>→ Styling Thesis（搭配命题）</w:t>
              <w:br/>
              <w:t>→ Narrative Arc（叙事弧）</w:t>
              <w:br/>
              <w:t>→ 账号与平台内容投影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5.2 十二项核心能力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555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Brand Interpretation（品牌解析）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解析品牌定位、目标市场、风格坐标、身体关系、正式度、审美风险与禁用表达。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C-02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Audience Intelligence（受众智能）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理解身份、生活阶段、穿衣目标、审美成熟度、预算、风险接受度和真实场景。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C-03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Category Adaptation（品类适配）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共享底层机制，同时调用女装、童装、青少年、亲子与运动潮流的品类规则和硬约束。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C-04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Human Visual Profile（人体视觉档案）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用比例、量感、线条、视觉重心、肤色与气质描述需求，不依赖粗糙身材标签。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C-05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Garment &amp; Outfit Semantics（商品与组合语义）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理解品类、廓形、长度、材质、色彩、图案、结构、功能与商品角色。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C-06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Styling Diagnosis（造型诊断）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指出现有造型为什么成立或不成立，区分视觉、品牌、功能、库存和场景问题。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C-07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Transformation Grammar（变换语法）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执行增加、删除、替换、再平衡、重设焦点、简化、现代化、增强结构、放松结构与重新场景化。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C-08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Inventory-grounded Composition（库存约束组合）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只从有效货盘生成候选；识别断码、低库存、库存角色和发布前状态变化。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C-09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Multi-objective Trade-off（多目标取舍）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在品牌、个体、场景、功能、经营目标和顾客接受度冲突时做可解释选择。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C-10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Decision Trace（决策轨迹）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保存使用事实、规则、候选、排除、副作用、不确定性、替代和人工升级。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C-11</w:t>
            </w:r>
          </w:p>
        </w:tc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Narrative Intelligence（叙事智能）</w:t>
            </w:r>
          </w:p>
        </w:tc>
        <w:tc>
          <w:tcPr>
            <w:tcW w:type="dxa" w:w="55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从专业判断中发现人、处境、误解、冲突、变化与结论，避免教程式知识点堆砌。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C-12</w:t>
            </w:r>
          </w:p>
        </w:tc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Cross-brand/category Transfer（跨品牌/品类迁移）</w:t>
            </w:r>
          </w:p>
        </w:tc>
        <w:tc>
          <w:tcPr>
            <w:tcW w:type="dxa" w:w="555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在未见品牌和边缘品类任务上保持核心判断与安全边界。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5.3 品牌风格空间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不得把品牌只归入“法式、通勤、轻奢”等单标签。M1需建立连续风格坐标，至少覆盖结构感、装饰度、趋势度、女性/中性表达、身体曲线关系、正式度、色彩强度、材质质朴/光泽、视觉密度、年龄表达、城市/自然、文化倾向、搭配门槛与个性强度等维度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5.4 人体与服装视觉机制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系统内部目标是“强化优势、弱化非优势区域、调整视觉重心与身份表达”，而不是对身体进行价值排序。知识对象必须描述横纵分割、腰线、肩部体量、上下重心、面部附近色彩、材质体积感、图案位置、露肤、鞋口裤脚、包袋位置、领口与配饰等变量如何共同影响视觉效果，并保存副作用与失效条件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6. 输入、输出与事实优先级合同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6.1 输入对象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UniversalExpertKernel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跨品牌、跨品类的通用专业机制、规则、案例与评测能力。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CategoryAdapter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女装、童装、青少年、亲子、运动潮流的品类机制与硬约束。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BrandTruthPack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品牌定位、目标人群、风格坐标、禁用规则、价格带、场景、本季策略与已接受案例。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InventorySnapshot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总部或门店在特定时间的可售款色码、库存状态、商品角色、图片与必要属性。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AudienceProfile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目标群体的身份、生活阶段、穿衣任务、审美成熟度、风险接受度与场景。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IndividualProfile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具体消费者的比例、肤色、气质、身高、舒适边界、预算、希望强化/弱化的方面。采集遵循下方“个体资料双模式合同”：非实名搭配模式（默认）与完整顾客档案模式（经授权）。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StylingTaskContext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本次任务目标、平台、账号角色、场景、天气、地区、内容栏目与经营目标。</w:t>
            </w:r>
          </w:p>
        </w:tc>
      </w:tr>
    </w:tbl>
    <w:p>
      <w:pPr>
        <w:spacing w:after="0"/>
      </w:pPr>
    </w:p>
    <w:p>
      <w:pPr>
        <w:spacing w:after="0"/>
      </w:pPr>
      <w:r>
        <w:t>个体资料双模式合同（v1.1新增）</w:t>
      </w:r>
    </w:p>
    <w:p>
      <w:pPr>
        <w:spacing w:after="0"/>
      </w:pPr>
      <w:r>
        <w:t>能力与数据分离原则：系统对各类款式适合什么体型、肤色、气质、发型、预算与舒适边界的判断，属于专家内核的知识能力（MechanismCard / DecisionRuleCard的正常工作），不依赖任何个体数据采集即可运行。个体资料仅在服务具体消费者的任务中按下列双模式采集。</w:t>
      </w:r>
    </w:p>
    <w:p>
      <w:pPr>
        <w:spacing w:after="0"/>
      </w:pPr>
      <w:r>
        <w:t>模式一 非实名搭配模式（默认）：适用于顾客只做一次搭配，或未要求建立长期档案。采集通道包括自然语言自述、简短问答、导购代录与上传照片。系统提取结构化特征后形成非实名个体档案，默认不长期保存姓名与原始肖像，保存经提取的体型、肤色、气质、发型、预算、舒适边界与拒绝项等搭配信息。</w:t>
      </w:r>
    </w:p>
    <w:p>
      <w:pPr>
        <w:spacing w:after="0"/>
      </w:pPr>
      <w:r>
        <w:t>模式二 完整顾客档案模式（经授权）：须由经授权角色发起，并取得顾客有效授权后，方可在约定用途、范围和保存期限内建立完整实名顾客档案；“门店想保存”不能单独代替顾客授权。可保存内容：姓名及必要联系方式；原始照片或肖像；体型、肤色、气质、发型；预算、舒适边界和拒绝项；尺码、试穿记录、购买记录；历次搭配方案、反馈及人工修改；顾客明确要求保存的其他相关信息。顾客权利：可查询、更正、撤回授权、申请删除。未满14周岁须取得监护人同意并适用专门规则（与品类安全合同联动）。</w:t>
      </w:r>
    </w:p>
    <w:p>
      <w:pPr>
        <w:spacing w:after="0"/>
      </w:pPr>
      <w:r>
        <w:t>法务警示条款：去除姓名不自动等于匿名化——仍可关联到具体顾客的档案属于个人信息。敏感信息处理、未成年人资料与保存期限须在M0—M2完成法务核验（见10.4合规核验清单第⑥项）。</w:t>
      </w:r>
    </w:p>
    <w:p>
      <w:pPr>
        <w:spacing w:after="0"/>
      </w:pPr>
      <w:r>
        <w:t>施工落点：M1交付individual_profile.schema（含双模式标记位与授权状态字段）；M9交付采集与授权流程合同、同意管理与删除流程checker。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6.2 输出对象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BrandAudienceInterpretation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本次任务下对品牌、品类、目标人群和个体需求的结构化理解。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StylingDiagnosis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当前造型或货盘的问题、候选原因、排除项与所需补充事实。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StylingThesis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本次搭配必须表达的核心命题和专业观点。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OutfitPlan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选中商品、款色码、组合关系、穿法、场景与适用人群。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InclusionExclusionReasons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为什么选、为什么不选、哪些常见做法在当前条件下失效。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TransformationPlan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增加、删除、替换、再平衡、重设焦点等具体动作。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AlternativePlan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缺货、顾客不接受、场景变化或预算变化时的替代与降级方案。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SuitabilityExplanation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对比例、肤色、气质、年龄、功能与身份表达的作用和副作用。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NarrativePackage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人物处境、常见误解、冲突、决策、变化、结论和可拍摄动作。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ContentProjection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面向不同账号、平台与栏目生成的图文、口播、分镜或直播要点。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DecisionTrace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事实、知识、模型、候选、排除、不确定性、版本和人工修改记录。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6.3 事实与规则优先级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Specific Runtime Facts（具体运行事实）</w:t>
              <w:br/>
              <w:t xml:space="preserve">  &gt; Brand Truth Pack（品牌真源）</w:t>
              <w:br/>
              <w:t xml:space="preserve">    &gt; Category Hard Constraints（品类硬约束）</w:t>
              <w:br/>
              <w:t xml:space="preserve">      &gt; Accepted General Expert Knowledge（已接受通用专家知识）</w:t>
              <w:br/>
              <w:t xml:space="preserve">        &gt; Retrieved Cases（检索案例）</w:t>
              <w:br/>
              <w:t xml:space="preserve">          &gt; Model Inference（模型推断）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任何下层信息不得覆盖上层明确事实。模型推断必须显式标记，不得伪装为品牌、商品、顾客或真实经历。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6.4 缺失输入与失败关闭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缺少真实商品清单：不得输出具体可购买组合；可输出需要补充的数据与通用诊断框架。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门店库存不明：不得把总部货盘冒充门店现货。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品牌目标人群或禁用规则不明：只能提供候选解释，并要求一次高价值补充。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具体消费者资料不足：不得编造身材、肤色、气质或生活场景。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童装/青少年年龄与场景不明：不得输出可能不适龄、成人化或安全风险较高的建议。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运动品类功能信息不足：不得用纯视觉搭配替代性能与安全判断。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叙事所需真实事件不存在：只能使用群体性处境、假设情境或明确标注的演绎，不得虚构真实顾客。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7. 功能需求清单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76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ID</w:t>
            </w:r>
          </w:p>
        </w:tc>
        <w:tc>
          <w:tcPr>
            <w:tcW w:type="dxa" w:w="133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能力域</w:t>
            </w:r>
          </w:p>
        </w:tc>
        <w:tc>
          <w:tcPr>
            <w:tcW w:type="dxa" w:w="45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需求</w:t>
            </w:r>
          </w:p>
        </w:tc>
        <w:tc>
          <w:tcPr>
            <w:tcW w:type="dxa" w:w="25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验收要点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FR-01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品牌解析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系统必须从BrandTruthPack生成结构化品牌风格、受众、禁用与本季变化，不得只依据品牌名称。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隐藏品牌名称替换后仍能基于事实包完成任务。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FR-02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品类路由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系统必须识别女装、童装、青少年、亲子、运动潮流及其组合任务，并调用对应适配器。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错误品类规则调用率为0。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FR-03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目标受众建模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系统必须使用身份、生活阶段、场景、风险接受度与穿衣目标，不得只输出年龄段标签。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输出含关键受众变量与缺失项。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FR-04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人体视觉建模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系统必须支持比例、量感、视觉重心、肤色、气质和舒适边界。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不依赖“梨形/苹果形”等单标签给出结论。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FR-05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商品语义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系统必须识别品类、廓形、材质、颜色、结构、功能与商品角色。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关键商品字段缺失时触发收窄或补充。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FR-06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库存过滤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候选商品必须先通过货盘、门店、款色码与可售状态过滤。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非库存商品正式推荐率为0。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FR-07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搭配诊断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系统必须给出观察、候选原因、排除、决策与验证，而不是只给结论。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DecisionTrace字段完整率100%。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FR-08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多方案比较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系统必须在重要任务中生成至少两个合理候选并说明取舍。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存在选择理由、排除理由与副作用。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FR-09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造型变换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系统必须支持Add/Remove/Replace/Rebalance/Redirect/Simplify/Modernize/Structure/Relax/Contextualize。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不得默认只通过增加配饰解决问题。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FR-10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个体扬长避短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系统必须解释怎样强化优势、弱化非优势区域和调整视觉重心。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对外语言不得进行身体羞辱或绝对效果承诺。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FR-11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品类安全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童装、青少年和运动建议必须通过年龄、功能、活动与安全规则。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严重安全违规率为0。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FR-12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搭配命题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每个可发布内容必须先生成StylingThesis。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内容可以回溯到已接受搭配决策。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FR-13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叙事发现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系统必须识别人、处境、误解、冲突、变化和结论，而非知识点口语化。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叙事质量评测达到冻结阈值。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FR-14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真实叙事边界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不得虚构具体顾客经历、门店事件、销售结果或功能效果。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fabricated_real_event_rate=0。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FR-15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账号差异化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不同账号必须具有不同事实权限、专业视角、内容职责和行动目标。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不得以同一稿件换口吻形成矩阵。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FR-16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平台投影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系统可将同一已接受判断投影为图文、口播、分镜、直播要点等。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核心事实与专业结论保持一致。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FR-17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可售性复核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门店内容发布前必须重新校验库存状态。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失效商品自动替换、撤稿或转为非现货表达。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FR-18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跨品牌迁移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系统必须通过未见品牌隐藏测试。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达到M10冻结门槛；M10迁移报告须包含“同一单品／同一人群在不同品牌下为什么答案不同”的对比解释样例。</w:t>
            </w:r>
          </w:p>
        </w:tc>
      </w:tr>
      <w:tr>
        <w:trPr>
          <w:cantSplit/>
        </w:trPr>
        <w:tc>
          <w:tcPr>
            <w:tcW w:type="dxa" w:w="76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FR-19</w:t>
            </w:r>
          </w:p>
        </w:tc>
        <w:tc>
          <w:tcPr>
            <w:tcW w:type="dxa" w:w="13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跨品类迁移</w:t>
            </w:r>
          </w:p>
        </w:tc>
        <w:tc>
          <w:tcPr>
            <w:tcW w:type="dxa" w:w="45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系统必须在五类首发品类及边缘任务中保持适配。</w:t>
            </w:r>
          </w:p>
        </w:tc>
        <w:tc>
          <w:tcPr>
            <w:tcW w:type="dxa" w:w="25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严重跨品类误用率低于冻结阈值；M10迁移报告须包含跨品类比较解释样例。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FR-20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反馈隔离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内容表现、用户反馈和门店修改只进入候选账本，不直接改写知识真源。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所有晋级均有审核与版本记录；施工落点为M12交付物feedback_to_candidate_ledger。</w:t>
            </w:r>
          </w:p>
        </w:tc>
      </w:tr>
      <w:tr>
        <w:trPr>
          <w:cantSplit/>
        </w:trPr>
        <w:tc>
          <w:tcPr>
            <w:tcW w:type="dxa" w:w="76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FR-21</w:t>
            </w:r>
          </w:p>
        </w:tc>
        <w:tc>
          <w:tcPr>
            <w:tcW w:type="dxa" w:w="13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单品多套生命</w:t>
            </w:r>
          </w:p>
        </w:tc>
        <w:tc>
          <w:tcPr>
            <w:tcW w:type="dxa" w:w="45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系统必须能围绕同一商品，面向不同人群、场景、正式度与风格生成差异化方案，并说明变化机制。</w:t>
            </w:r>
          </w:p>
        </w:tc>
        <w:tc>
          <w:tcPr>
            <w:tcW w:type="dxa" w:w="25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验收并入10.3隐藏测试与M10迁移报告。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8. GPT × Claude Code知识蒸馏与知识工程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8.1 方法裁决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EBF8F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102A43"/>
              <w:left w:val="single" w:sz="18" w:color="102A43"/>
              <w:bottom w:val="single" w:sz="10" w:color="102A43"/>
              <w:right w:val="single" w:sz="10" w:color="102A43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102A43"/>
                <w:sz w:val="21"/>
              </w:rPr>
              <w:t>Black-box Behavioral Distillation（黑盒行为蒸馏）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项目不读取Claude模型内部权重。GPT通过高区分度问题设计，迫使Claude在品牌、品类、受众、库存、身体、场景、功能、冲突与叙事条件下外显判断；Claude Code负责批量执行、结构化落盘、跨批次比较与检查。输出只能进入模型引出的候选知识链。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8.2 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冻结业务范围、裁决产品价值、批准知识晋级与商业发布。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GPT-5.6 Pro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产品架构、问题系统、对抗提问、跨模型比较、知识结构化规范、验收合同与Founder决策支持。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— Elicitation Workspace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按冻结问题包批量回答、生成候选规则/案例/反例、结构化文件、运行一致性与覆盖检查。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Codex — Engineering Workspace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按授权Brief实现Schema、Checker、批处理、评测、接口和确定性工程；不做最终业务裁决。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— Guardian Workspace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使用隔离上下文独立审查越界、矛盾、遗漏与评测泄漏；不得复用Elicitation工作记忆。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外部专家组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对关键规则、品类安全、案例真实性、跨品牌通用性与内容专业度进行校准。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同一个Claude Code会话不得同时充当候选生成者和独立守护者。必须使用独立工作区、独立上下文和不同任务合同。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8.3 问题系统的核心维度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Category（品类）</w:t>
              <w:br/>
              <w:t>× Brand Style Space（品牌风格坐标）</w:t>
              <w:br/>
              <w:t>× Audience / Individual（受众与个体）</w:t>
              <w:br/>
              <w:t>× Garment &amp; Inventory（商品与货盘）</w:t>
              <w:br/>
              <w:t>× Scene &amp; Function（场景与功能）</w:t>
              <w:br/>
              <w:t>× Conflict（冲突条件）</w:t>
              <w:br/>
              <w:t>× Transformation（增删替换重构）</w:t>
              <w:br/>
              <w:t>× Narrative Task（叙事任务）</w:t>
              <w:br/>
              <w:t>× Account / Platform（账号与平台）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问题设计不得以“请列出原则”为主。高价值问题必须包含多条件冲突、排除理由、副作用、规则失效、跨品牌迁移、跨品类迁移和叙事真实性约束。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8.4 候选知识状态链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model_elicited_candidate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Claude或GPT回答形成的初始候选。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cross_model_contested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由另一模型攻击、反例化、要求补充条件并记录分歧。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source_or_case_checked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有来源、真实案例或可验证机制支持。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expert_reviewed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至少一名匹配品类专家审查；高风险项需多人审查。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benchmark_validated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通过隐藏测试、反例与跨品牌/品类迁移。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founder_accepted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Founder接受其业务作用与边界。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production_servable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同时通过知识、技术、风险与运行门后才可服务。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8.5 知识单元类型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知识对象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ConceptCard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规范概念、属性、同义词、边界。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MechanismCard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服装变量怎样影响视觉、功能、身份和场景，包含副作用与失效条件。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DecisionRuleCard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前置条件、判断逻辑、冲突优先级、输出与例外。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DiagnosticCard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观察、候选原因、证据、排除、动作与升级。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TransformationPattern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增删替换、再平衡、焦点转移、现代化和场景化模式。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CategoryConstraintCard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童装、青少年、亲子、运动等品类硬约束与安全边界。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CaseTrace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品牌、受众、货盘、候选、排除、取舍、结果、干扰变量和可迁移范围。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NarrativePatternCard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从已接受决策中形成处境、误解、冲突、变化和结论的叙事模式。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NegativeCase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看似合理但专业、品牌、库存、功能或事实边界错误的反例。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EvaluationCard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题目、输入、预期边界、评分标准、硬失败和裁决说明。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8.6 规模规划（工程预算，不是凑数指标）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49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175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规划量级</w:t>
            </w:r>
          </w:p>
        </w:tc>
        <w:tc>
          <w:tcPr>
            <w:tcW w:type="dxa" w:w="4989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高区分度基础问题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400—700条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冻结能力维度、冲突、反例、叙事和迁移问题。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场景化问题实例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12,000—25,000条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通过组合覆盖与试验设计展开，不穷举所有笛卡尔积。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Claude候选回答与对抗轮次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25,000—50,000份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包含首答、反例、迁移、重写条件和分歧记录。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正式候选知识单元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6,000—10,000个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进入结构化候选池。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V1.0已接受专家知识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4,000—6,500个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须通过状态链和评测；允许低于候选数量。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隐藏/回归评测用例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8,000—15,000个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覆盖五类品类、未见品牌、库存、个体、叙事和安全。</w:t>
            </w:r>
          </w:p>
        </w:tc>
      </w:tr>
      <w:tr>
        <w:trPr>
          <w:cantSplit/>
        </w:trPr>
        <w:tc>
          <w:tcPr>
            <w:tcW w:type="dxa" w:w="249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参考品牌事实档案</w:t>
            </w:r>
          </w:p>
        </w:tc>
        <w:tc>
          <w:tcPr>
            <w:tcW w:type="dxa" w:w="175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120—180个</w:t>
            </w:r>
          </w:p>
        </w:tc>
        <w:tc>
          <w:tcPr>
            <w:tcW w:type="dxa" w:w="4989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用于风格空间与开发，不等于为每品牌建立专家。</w:t>
            </w:r>
          </w:p>
        </w:tc>
      </w:tr>
      <w:tr>
        <w:trPr>
          <w:cantSplit/>
        </w:trPr>
        <w:tc>
          <w:tcPr>
            <w:tcW w:type="dxa" w:w="249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隐藏未见品牌</w:t>
            </w:r>
          </w:p>
        </w:tc>
        <w:tc>
          <w:tcPr>
            <w:tcW w:type="dxa" w:w="175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30—50个</w:t>
            </w:r>
          </w:p>
        </w:tc>
        <w:tc>
          <w:tcPr>
            <w:tcW w:type="dxa" w:w="4989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开发与知识生成不可针对性读取答案。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8.7 语料、品牌档案与夹具品牌工作流</w:t>
      </w:r>
    </w:p>
    <w:p>
      <w:pPr>
        <w:spacing w:after="0"/>
      </w:pPr>
      <w:r>
        <w:t>夹具品牌供给路径【已裁决】：试点三品类所需的品牌数据内容由Codex依据已冻结Schema与品类合同模拟合成，经Claude Code完整性审核后冻结为系统的夹具品牌（Fixture Brand）。用途：M1—M6开发调试、M6 golden/negative/boundary fixtures、非隐藏回归评测、M3—M6知识引出所需的仿真货盘、M11仿真试点运行。合成资产必须显式标记synthetic_fixture_brand / non_real_inventory / non_commercial_evidence，不得使用可误认为真实品牌的名称或叙事。</w:t>
      </w:r>
    </w:p>
    <w:p>
      <w:pPr>
        <w:spacing w:after="0"/>
      </w:pPr>
      <w:r>
        <w:t>隐藏品牌合成路径【已裁决】：8.6规划的30—50个隐藏未见品牌同样由合成路径建设。隔离条款随之生效：合成与审核必须在Guardian侧独立工作区完成，产物只进入冻结隐藏集；合成脚本、参数与随机种子入Receipt；任何夹具品牌数据或其合成会话不得复用于隐藏集，反之亦然。违反即触发16.2停止条件。</w:t>
      </w:r>
    </w:p>
    <w:p>
      <w:pPr>
        <w:spacing w:after="0"/>
      </w:pPr>
      <w:r>
        <w:t>同质性控制【建议默认·待Founder确认】：考卷与教材同为合成时，最大风险是“题和练习出自同一口锅”——系统可能只学会合成腔，而非真实迁移能力。控制手段：夹具池与隐藏池必须使用不同的生成配方与参数空间；隐藏池须覆盖夹具池未使用的风格坐标区域；Guardian出同质性检查报告；M2泄漏检查扩展为“泄漏＋同质性”双检查。</w:t>
      </w:r>
    </w:p>
    <w:p>
      <w:pPr>
        <w:spacing w:after="0"/>
      </w:pPr>
      <w:r>
        <w:t>时序与责任：M0在data_and_fixture_workflow.v1.0.yaml中指定“语料与档案建设负责人”；30—50个隐藏品牌在M2冻结前建成；120—180个参考品牌档案M1—M5渐进建设，不必全部挤进M2；仿真货盘与M8接入的生产库存物理分离，不得互相混写。</w:t>
      </w:r>
    </w:p>
    <w:p>
      <w:pPr>
        <w:spacing w:after="0"/>
      </w:pPr>
      <w:r>
        <w:t>成本口径：品牌档案建设量级估算（约14—42人月）记为待验证假设，不直接写入正式预算；M0以3—5个档案的实测工时校准单价后再入预算。</w:t>
      </w:r>
    </w:p>
    <w:p>
      <w:pPr>
        <w:spacing w:after="0"/>
      </w:pPr>
      <w:r>
        <w:t>固有局限（如实记录）：夹具与隐藏品牌均为模型合成后，“未见品牌测试”证明的是对新合成品牌的迁移，对真实品牌的迁移强度弱一档——第一个真实品牌接入即第一次真实考试。该局限由13节M11真实品牌补验批次与对外宣称限制兜底，本节同质性控制用于收窄合成分布与真实分布的差距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9. 叙事智能与账号矩阵内容合同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9.1 叙事化能力定义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叙事化不是把专业术语改成口语，也不是套用“反常识标题 + 三个技巧”。系统必须从真实搭配决策中识别一个值得讲述的变化：某类人为什么总在某处出错；品牌目标与个体需求为什么发生冲突；一件旧衣服为什么以前没有被正确使用；删除、替换或重组后，造型和身份表达发生了什么变化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9.2 标准叙事骨架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Human Situation（人的现实处境）</w:t>
              <w:br/>
              <w:t>→ Styling Problem（具体穿衣或货品问题）</w:t>
              <w:br/>
              <w:t>→ Common Misjudgment（常见误解）</w:t>
              <w:br/>
              <w:t>→ Professional Conflict（品牌/身体/场景/功能冲突）</w:t>
              <w:br/>
              <w:t>→ Expert Decision（专家取舍）</w:t>
              <w:br/>
              <w:t>→ Transformation（增加、删除、替换或重构）</w:t>
              <w:br/>
              <w:t>→ Why It Works（视觉与品牌机制）</w:t>
              <w:br/>
              <w:t>→ Who / When（适合谁、什么场景）</w:t>
              <w:br/>
              <w:t>→ Sellable Evidence（真实可售商品与替代）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9.3 叙事质量标准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26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697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专业成立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搭配判断、视觉机制、功能和品类边界正确。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有人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明确某类真实目标受众的处境，不是抽象知识点。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有冲突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存在选择、误解、取舍或常见失败，而非平铺直叙。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有变化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清楚展示增加、删除、替换或重新组织前后的差异。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有品牌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内容体现品牌服务谁、允许怎样表达，而不是通用穿搭稿。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有货品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可售商品和库存范围可追溯；无货时不得强行挂载。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有边界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不虚构顾客、门店事件、销售效果和功能功效。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可拍摄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存在清晰动作、镜头、试穿、对比或讲述结构。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非课件</w:t>
            </w:r>
          </w:p>
        </w:tc>
        <w:tc>
          <w:tcPr>
            <w:tcW w:type="dxa" w:w="697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避免培训课件式定义、原则堆砌和居高临下说教。</w:t>
            </w:r>
          </w:p>
        </w:tc>
      </w:tr>
      <w:tr>
        <w:trPr>
          <w:cantSplit/>
        </w:trPr>
        <w:tc>
          <w:tcPr>
            <w:tcW w:type="dxa" w:w="226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账号独有</w:t>
            </w:r>
          </w:p>
        </w:tc>
        <w:tc>
          <w:tcPr>
            <w:tcW w:type="dxa" w:w="697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不同账号不是同稿改写，而是不同信息权限和任务。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9.4 身体与年龄表达边界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系统内部使用“需要强化的优势、需要弱化关注的区域、比例调整目标”等中性字段。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对外不使用“遮丑、身材缺陷、灾难身材”等贬损性标签，不做绝对显瘦、显高或变美承诺。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童装不得使用成人化身体评价；青少年不得制造身体羞耻、过度消费焦虑或不适龄性表达。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运动品类不得把视觉建议包装为专业性能、伤病预防或医疗效果。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10. 评测体系与商业发布门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10.1 硬门指标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438"/>
            <w:shd w:fill="9B2C2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硬门</w:t>
            </w:r>
          </w:p>
        </w:tc>
        <w:tc>
          <w:tcPr>
            <w:tcW w:type="dxa" w:w="6803"/>
            <w:shd w:fill="9B2C2C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库存真实性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inventory_hallucination_rate = 0；总部库存不得冒充门店库存。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品牌硬规则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brand_hard_rule_violation_rate = 0。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品类安全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童装、青少年、运动严重安全违规率 = 0。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事实叙事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fabricated_real_person_or_event_rate = 0。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决策轨迹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正式结果DecisionTrace覆盖率 = 100%。</w:t>
            </w:r>
          </w:p>
        </w:tc>
      </w:tr>
      <w:tr>
        <w:trPr>
          <w:cantSplit/>
        </w:trPr>
        <w:tc>
          <w:tcPr>
            <w:tcW w:type="dxa" w:w="243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知识状态</w:t>
            </w:r>
          </w:p>
        </w:tc>
        <w:tc>
          <w:tcPr>
            <w:tcW w:type="dxa" w:w="680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未达production_servable的知识不得进入正式生成。</w:t>
            </w:r>
          </w:p>
        </w:tc>
      </w:tr>
      <w:tr>
        <w:trPr>
          <w:cantSplit/>
        </w:trPr>
        <w:tc>
          <w:tcPr>
            <w:tcW w:type="dxa" w:w="243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评测隔离</w:t>
            </w:r>
          </w:p>
        </w:tc>
        <w:tc>
          <w:tcPr>
            <w:tcW w:type="dxa" w:w="680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隐藏品牌、隐藏品类和评分答案不得泄漏给候选生成链。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10.2 建议质量门（M2冻结前可调整，冻结后不得失败降标）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74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建议阈值</w:t>
            </w:r>
          </w:p>
        </w:tc>
        <w:tc>
          <w:tcPr>
            <w:tcW w:type="dxa" w:w="4932"/>
            <w:shd w:fill="2C7A7B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未见品牌专家通过率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80%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由匹配品类专家按冻结评分卡评审。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未见品类/边缘任务通过率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75%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重点检查规则迁移与安全边界。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严重风格错位率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&lt; 5%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包括把品牌搭成系统自己的固定审美。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核心判断重复一致率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允许表述变化，不允许关键选择无依据漂移。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专业解释平均分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4.0/5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含选择、排除、副作用与替代。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叙事质量平均分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4.0/5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含人、冲突、变化、品牌、货品与真实性。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账号差异化通过率</w:t>
            </w:r>
          </w:p>
        </w:tc>
        <w:tc>
          <w:tcPr>
            <w:tcW w:type="dxa" w:w="147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85%</w:t>
            </w:r>
          </w:p>
        </w:tc>
        <w:tc>
          <w:tcPr>
            <w:tcW w:type="dxa" w:w="49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不同账号具备不同事实范围、任务和叙事视角。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人工可发布率</w:t>
            </w:r>
          </w:p>
        </w:tc>
        <w:tc>
          <w:tcPr>
            <w:tcW w:type="dxa" w:w="147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≥ 75%</w:t>
            </w:r>
          </w:p>
        </w:tc>
        <w:tc>
          <w:tcPr>
            <w:tcW w:type="dxa" w:w="493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试点团队在不改专业结论的情况下可直接或轻改发布。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10.3 必须设置的隐藏测试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同一商品放入不同品牌，检查品牌语法和目标人群是否改变。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同一品牌面对不同年龄、体型、肤色、气质、职业与场景，检查答案是否真正差异化。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同一造型要求分别做加法与减法，检查系统是否只会添加。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品牌风格、个体视觉目标、运动功能和库存任务发生冲突，检查取舍。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主推款不适合具体顾客，检查系统能否拒绝强推。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不存在库存、事实缺失或门店断码，检查系统是否失败关闭。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给出未见品牌事实包，禁止为其补写专属Prompt。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给出品类边缘任务，检查是否错误调用女装规则。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给出高质量但虚构顾客故事，检查事实叙事门。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10.4 商业发布八道门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发布门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通过含义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Semantic Contract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对象、输入、输出、优先级和失败状态完整。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 Knowledge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知识状态链、来源、专家审查和反例通过。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Transfer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未见品牌与未见品类迁移通过。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 Grounding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总部/门店可售性与发布前复核通过。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 Truth Gate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叙事真实、专业成立、账号差异化通过。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Operational Scalability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批量、恢复、成本、版本、审计和多租户隔离通过。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Safety &amp; Compliance Gate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品类安全硬门、隐私与授权合同、AIGC标识义务、未成年人个人信息与数据出境核验通过。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 Final Decision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Founder最终批准Commercial V1.0。</w:t>
            </w:r>
          </w:p>
        </w:tc>
      </w:tr>
    </w:tbl>
    <w:p>
      <w:pPr>
        <w:spacing w:after="0"/>
      </w:pPr>
    </w:p>
    <w:p>
      <w:pPr>
        <w:spacing w:after="0"/>
      </w:pPr>
      <w:r>
        <w:t>M2的hard_gate_definitions须扩展为“硬门→八道门”显式映射表，确保10.1每一条硬门都能追溯到承接它的发布门。</w:t>
      </w:r>
    </w:p>
    <w:p>
      <w:pPr>
        <w:spacing w:after="0"/>
      </w:pPr>
      <w:r>
        <w:t>M0须交付compliance_review_contract.v1.0.yaml，确定合规责任人、核验清单与决策时间表；具体法律结论由法务形成。首轮法务核验须在M2冻结前完成，不得整体推迟到M9。首批核验清单六项：</w:t>
      </w:r>
    </w:p>
    <w:p>
      <w:pPr>
        <w:spacing w:after="0"/>
      </w:pPr>
      <w:r>
        <w:t>① 未满14周岁个人信息与监护人同意机制（童装、青少年为首发品类，直接触发）——《个人信息保护法》。</w:t>
      </w:r>
    </w:p>
    <w:p>
      <w:pPr>
        <w:spacing w:after="0"/>
      </w:pPr>
      <w:r>
        <w:t>② AI生成合成内容标识义务与各平台AIGC标注规则（账号矩阵批量发布场景）——《人工智能生成合成内容标识办法》。</w:t>
      </w:r>
    </w:p>
    <w:p>
      <w:pPr>
        <w:spacing w:after="0"/>
      </w:pPr>
      <w:r>
        <w:t>③ 数据出境路径核验：若任何环节使用境外模型API处理个体资料——《促进和规范数据跨境流动规定》。</w:t>
      </w:r>
    </w:p>
    <w:p>
      <w:pPr>
        <w:spacing w:after="0"/>
      </w:pPr>
      <w:r>
        <w:t>④ 面向公众提供生成式AI服务的备案适用性（取决于最终产品形态，形态裁决后核验）。</w:t>
      </w:r>
    </w:p>
    <w:p>
      <w:pPr>
        <w:spacing w:after="0"/>
      </w:pPr>
      <w:r>
        <w:t>⑤ 模型厂商服务条款对知识蒸馏用途的约束（GPT×Claude蒸馏链，核验一次并留档）。</w:t>
      </w:r>
    </w:p>
    <w:p>
      <w:pPr>
        <w:spacing w:after="0"/>
      </w:pPr>
      <w:r>
        <w:t>⑥ 完整顾客档案模式的敏感信息处理、保存期限与删除权流程（含“去标识化≠匿名化”认定）——《网络数据安全管理条例》。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11. 技术与运营要求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11.1 高层组件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94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29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BrandResolver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解析品牌事实与风格坐标。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CategoryRouter / CategoryAdapter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选择品类机制与硬约束。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AudienceResolver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解析目标受众与具体个体。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GarmentSemanticLayer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标准化商品、款色码、图像和功能属性。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InventoryGroundingLayer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生成特定时间、特定范围的可售候选。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ConstraintEngine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执行库存、品牌、品类、安全、用户拒绝和场景硬约束。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CandidateComposer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生成有限、可解释的搭配候选。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StylingRanker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在品牌、个体、场景、功能、经营目标之间排序和取舍。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DecisionTraceEngine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保存事实、知识、候选、排除、不确定性和版本。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NarrativeEngine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从已接受判断中生成StylingThesis和NarrativePackage。</w:t>
            </w:r>
          </w:p>
        </w:tc>
      </w:tr>
      <w:tr>
        <w:trPr>
          <w:cantSplit/>
        </w:trPr>
        <w:tc>
          <w:tcPr>
            <w:tcW w:type="dxa" w:w="29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AccountProjector</w:t>
            </w:r>
          </w:p>
        </w:tc>
        <w:tc>
          <w:tcPr>
            <w:tcW w:type="dxa" w:w="629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按账号权限、角色和平台生成内容。</w:t>
            </w:r>
          </w:p>
        </w:tc>
      </w:tr>
      <w:tr>
        <w:trPr>
          <w:cantSplit/>
        </w:trPr>
        <w:tc>
          <w:tcPr>
            <w:tcW w:type="dxa" w:w="294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EvaluationRunner</w:t>
            </w:r>
          </w:p>
        </w:tc>
        <w:tc>
          <w:tcPr>
            <w:tcW w:type="dxa" w:w="629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运行隐藏评测、回归、漂移和成本检查。</w:t>
            </w:r>
          </w:p>
        </w:tc>
      </w:tr>
    </w:tbl>
    <w:p>
      <w:pPr>
        <w:spacing w:after="0"/>
      </w:pPr>
    </w:p>
    <w:p>
      <w:pPr>
        <w:spacing w:after="0"/>
      </w:pPr>
      <w:r>
        <w:t>注记：C-06造型诊断（StylingDiagnosis）由M6搭配决策编译器承接——作为CandidateComposer之前的诊断步，不新增独立服务。M6合同与compiler qualification report必须包含诊断流验收。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11.2 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85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8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NFR-01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可审计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每次任务保留输入快照、知识版本、模型版本、输出、人工修改和发布状态。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NFR-02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可重放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相同输入与版本可重新运行并比较核心决策漂移。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NFR-03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多租户隔离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品牌事实、库存、顾客信息、内容和反馈必须隔离。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NFR-04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任务恢复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批量知识蒸馏、评测与内容生成支持检查点、失败重试和幂等。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NFR-05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成本守卫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记录每批问题、模型调用、接受知识和可发布内容的单位成本。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NFR-06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隐私最小化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个体资料按任务最小化收集；照片不是V1唯一事实来源。</w:t>
            </w:r>
          </w:p>
        </w:tc>
      </w:tr>
      <w:tr>
        <w:trPr>
          <w:cantSplit/>
        </w:trPr>
        <w:tc>
          <w:tcPr>
            <w:tcW w:type="dxa" w:w="85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NFR-07</w:t>
            </w:r>
          </w:p>
        </w:tc>
        <w:tc>
          <w:tcPr>
            <w:tcW w:type="dxa" w:w="19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版本化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品牌真源、库存快照、知识、评测、Prompt、模型与内容均有版本。</w:t>
            </w:r>
          </w:p>
        </w:tc>
      </w:tr>
      <w:tr>
        <w:trPr>
          <w:cantSplit/>
        </w:trPr>
        <w:tc>
          <w:tcPr>
            <w:tcW w:type="dxa" w:w="85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NFR-08</w:t>
            </w:r>
          </w:p>
        </w:tc>
        <w:tc>
          <w:tcPr>
            <w:tcW w:type="dxa" w:w="198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可替换模型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模型无关（model-agnostic）：系统必须能绑定并切换任意符合合同的模型。基础模型变更必须通过完整回归，模型与版本写入DecisionTrace，不得把能力绑定为某个模型的不可审计黑盒。模型供给方式＝测试期按需向Founder提出需求、由Founder提供模型API，本阶段不考虑自部署模型。生产模型最终选型的决策节点＝M12生产加固前，裁决人＝Founder；若候选为境外模型API且处理个体资料，须先通过10.4合规核验清单第③项数据出境核验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11.3 外部集成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ERP/PIM/POS/进销存：商品、款色码、库存、可售状态、门店与价格。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媒体生成服务：商品图、AI模特、视频素材和剪辑工程可接入成熟外部能力，不作为本内核自研主线。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内容发布与账号管理：可接入现有矩阵平台，但发布前必须通过事实和库存复核。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专家审查工作台：支持打分、评论、分歧、接受/拒绝、边界补充与版本记录。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12. 执行步骤与依赖关系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12.1 总体执行序列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color w:val="1A202C"/>
          <w:sz w:val="20"/>
        </w:rPr>
        <w:t>正式立项与独立工作面建立。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color w:val="1A202C"/>
          <w:sz w:val="20"/>
        </w:rPr>
        <w:t>冻结产品合同、非目标、五类品类边界和事实优先级。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color w:val="1A202C"/>
          <w:sz w:val="20"/>
        </w:rPr>
        <w:t>建立对象模型、品牌风格空间、品类适配合同与输出Schema。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color w:val="1A202C"/>
          <w:sz w:val="20"/>
        </w:rPr>
        <w:t>在知识生成之前冻结隐藏评测、评分卡、样本隔离和失败门。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color w:val="1A202C"/>
          <w:sz w:val="20"/>
        </w:rPr>
        <w:t>由GPT建立高区分度问题系统、反例系统与批次合同。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color w:val="1A202C"/>
          <w:sz w:val="20"/>
        </w:rPr>
        <w:t>Claude Code按批次执行知识引出、结构化落盘、分歧与覆盖检查。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color w:val="1A202C"/>
          <w:sz w:val="20"/>
        </w:rPr>
        <w:t>GPT与独立Claude Guardian进行对抗、反例、跨品牌/品类迁移审查。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color w:val="1A202C"/>
          <w:sz w:val="20"/>
        </w:rPr>
        <w:t>外部专家对高价值、高风险与高分歧候选进行校准并形成接受基线。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color w:val="1A202C"/>
          <w:sz w:val="20"/>
        </w:rPr>
        <w:t>实现受约束的搭配决策编译器，先通过离线评测。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color w:val="1A202C"/>
          <w:sz w:val="20"/>
        </w:rPr>
        <w:t>实现叙事智能与账号矩阵投影，确保叙事源于已接受决策。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11. </w:t>
      </w:r>
      <w:r>
        <w:rPr>
          <w:rFonts w:ascii="Noto Sans CJK SC" w:hAnsi="Noto Sans CJK SC" w:eastAsia="Noto Sans CJK SC"/>
          <w:b w:val="0"/>
          <w:color w:val="1A202C"/>
          <w:sz w:val="20"/>
        </w:rPr>
        <w:t>接入总部/门店库存与个体适配，完成可售性和隐私边界。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>12. 通过未见品牌、未见品类、仿真货盘约束和叙事真实性综合门。</w:t>
      </w:r>
    </w:p>
    <w:p>
      <w:pPr>
        <w:keepNext w:val="0"/>
        <w:keepLines w:val="0"/>
        <w:spacing w:before="0" w:after="70" w:line="293" w:lineRule="auto"/>
        <w:ind w:left="369" w:hanging="312"/>
      </w:pPr>
      <w:r>
        <w:rPr>
          <w:rFonts w:ascii="Noto Sans CJK SC" w:hAnsi="Noto Sans CJK SC" w:eastAsia="Noto Sans CJK SC"/>
          <w:b/>
          <w:color w:val="B7791F"/>
          <w:sz w:val="20"/>
        </w:rPr>
        <w:t>13. 进入多品牌、多门店、多品类仿真试点，随后完成生产加固和Founder最终发布裁决。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12.2 关键依赖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192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7313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M0 → M1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产品边界未冻结，不得建立最终对象模型。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 + M2 → M4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Schema与隐藏评测未冻结，不得大批量蒸馏。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M3 → M4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Claude Code只执行经预审的问题包，不自由扩写范围。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M5 → M6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决策编译器可以提前搭骨架，但不得把未接受知识当正式规则。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M6 → M7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叙事内容必须来自可追踪的专业决策。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M6 → M8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库存接入必须服务明确的候选过滤、选择和替代合同。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M7 + M8 + M9 → M10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迁移门同时检查专业、叙事、库存与品类安全。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M10 → M11</w:t>
            </w:r>
          </w:p>
        </w:tc>
        <w:tc>
          <w:tcPr>
            <w:tcW w:type="dxa" w:w="7313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迁移门未通过，不得以商业专家身份进入M11仿真试点。</w:t>
            </w:r>
          </w:p>
        </w:tc>
      </w:tr>
      <w:tr>
        <w:trPr>
          <w:cantSplit/>
        </w:trPr>
        <w:tc>
          <w:tcPr>
            <w:tcW w:type="dxa" w:w="19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M11 → M12</w:t>
            </w:r>
          </w:p>
        </w:tc>
        <w:tc>
          <w:tcPr>
            <w:tcW w:type="dxa" w:w="7313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生产加固依据仿真试点问题，不依据假想功能列表。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12.3 可并行工作流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M1对象模型与M2评测设计可并行，但M2最终冻结必须引用稳定对象。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M3问题系统与蒸馏执行工具可并行开发，正式批次必须等M2通过。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M4候选生成与M6编译器骨架可并行，正式规则接入等M5接受。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M7叙事评测可在首批已接受知识出现后启动。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M8库存接口与M9个体适配可在M6基础稳定后并行。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13. 里程碑、交付物与验收门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  <w:cantSplit/>
        </w:trPr>
        <w:tc>
          <w:tcPr>
            <w:tcW w:type="dxa" w:w="6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40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07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人月</w:t>
            </w:r>
          </w:p>
        </w:tc>
        <w:tc>
          <w:tcPr>
            <w:tcW w:type="dxa" w:w="277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M0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独立立项与合同冻结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2—3周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3—4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范围与角色门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语义骨架与品类适配合同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4—6周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6—9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对象完整门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M2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隐藏评测与评分基线冻结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5—7周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评测隔离门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M3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GPT高区分度问题系统V1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5—7周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7—10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问题质量门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M4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Claude Code蒸馏流水线与候选批次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12—18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候选完整性门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M5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专家知识合成、审查与接受基线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14—20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专家知识门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M6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搭配决策编译器V0.1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8—10周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12—17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受约束决策门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M7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叙事智能与账号投影V0.1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6—9周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9—14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叙事真实性门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M8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总部/门店库存约束引擎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6—8周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9—13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可售性门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M9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个体适配与品类安全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7—10周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10—15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个体与安全门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M10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未见品牌/未见品类迁移门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6—8周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核心商业门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M11</w:t>
            </w:r>
          </w:p>
        </w:tc>
        <w:tc>
          <w:tcPr>
            <w:tcW w:type="dxa" w:w="34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多品牌、多门店、多品类仿真试点（夹具品牌）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10—14周</w:t>
            </w:r>
          </w:p>
        </w:tc>
        <w:tc>
          <w:tcPr>
            <w:tcW w:type="dxa" w:w="107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14—22</w:t>
            </w:r>
          </w:p>
        </w:tc>
        <w:tc>
          <w:tcPr>
            <w:tcW w:type="dxa" w:w="277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仿真运行门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M12</w:t>
            </w:r>
          </w:p>
        </w:tc>
        <w:tc>
          <w:tcPr>
            <w:tcW w:type="dxa" w:w="34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Commercial V1.0生产加固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8—12周</w:t>
            </w:r>
          </w:p>
        </w:tc>
        <w:tc>
          <w:tcPr>
            <w:tcW w:type="dxa" w:w="107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12—18</w:t>
            </w:r>
          </w:p>
        </w:tc>
        <w:tc>
          <w:tcPr>
            <w:tcW w:type="dxa" w:w="277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八门联合发布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人月为跨产品、知识、工程、评测与专家审查的总工作量，不等于自然月；多个工作流可并行。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M0｜独立立项与合同冻结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目标：把本PRD转化为仓库中的可执行合同，建立独立项目空间，冻结角色、边界、非目标与状态。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project_charter.v1.0.yaml（项目章程）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capability_contract.v1.0.yaml（能力合同）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category_scope_contract.v1.0.yaml（五类品类范围）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input_output_boundary.v1.0.yaml（输入输出与事实优先级）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role_and_decision_rights.v1.0.yaml（角色与裁决权）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non_goals_and_stop_conditions.v1.0.yaml（非目标与停止条件）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knowledge_state_machine.v1.0.yaml（知识状态机）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architecture_and_integration_boundary.v1.0.yaml（独立解耦与集成边界合同）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compliance_review_contract.v1.0.yaml（合规核验合同：责任人、核验清单、决策时间表）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data_and_fixture_workflow.v1.0.yaml（品牌档案、评测语料与夹具品牌工作流合同）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execution_critical_path_and_decision_gates.v1.0.yaml（关键路径图＋Discovery继续/转向/停止判据）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M1 对象模型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M2 评测冻结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M0 checker / fixtures / report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注：Founder已裁决——运行时模型合同（11.2 NFR-08）、个体资料双模式（6.1）、商品属性来源与人工发布终态（3.2）四项直接写入本PRD正文，不单独立为M0合同文件；M0收口时按对应正文条款核验。本清单为M0唯一清单，13节、14节与17.1三处完全一致。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所有支持任务都有必需输入、输出、失败状态和负责角色；与笛语现有资产零接触验证通过（独立解耦裁决），现有P7C状态无漂移。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M1｜语义骨架与品类适配合同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目标：建立跨品牌、跨品类专家共同使用的对象、关系、枚举和品类硬约束。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brand_style_space.v0.1.yaml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audience_profile.schema.v0.1.json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human_visual_profile.schema.v0.1.json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garment_and_inventory.schema.v0.1.json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styling_task_context.schema.v0.1.json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styling_decision_trace.schema.v0.1.json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category_adapter_contracts/*.v0.1.yaml（五类）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semantic coverage checker /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brand_truth_pack.schema.v0.1.json（品牌事实包结构：定位、核心与次级人群、价格带、风格坐标、廓形/色彩/面料/图案语言、身体关系与正式度、风险接受度、禁用规则、典型场景、本季策略、历史已接受案例）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individual_profile.schema.v0.1.json（含双模式标记位与授权状态字段）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6.2的11个正式输出对象逐个Schema，或一个明确包含全部对象的StylingResultBundle.schema.v0.1.json整包（二选一）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输入对象覆盖映射表：7个输入对象↔Schema/合同文件一一对应（UniversalExpertKernel与CategoryAdapter为合同文件而非数据Schema，在映射表中注明即可）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不存在未定义对象、品牌与品类混用、运行时事实混入长期真源或女装规则默认覆盖其他品类；6.2的11个输出对象在Schema层全部可寻址，无一遗漏。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M2｜隐藏评测与评分基线冻结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目标：在大规模知识生成前冻结考试，阻止模型用自己生成的答案证明自己。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benchmark_capability_matrix.v0.1.yaml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unseen_brand_split.v0.1.yaml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unseen_category_edge_cases.v0.1.yaml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hard_gate_definitions.v0.1.yaml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 leakage checker / frozen manifest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rater_calibration_contract.v0.1.yaml（评分卡培训流程、双盲抽检、评分者一致性阈值）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evaluation_sampling_design.v0.1.yaml（机评与人评分工、抽样比例、分层维度：品类×任务类型×风险等级、复评触发条件）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benchmark_revision_protocol.v0.1.yaml（基线冻结后唯一合法修订通道：仅允许非失败触发的修订，须Founder裁决＋版本增量＋全量重跑重新基线；因失败而降标永久禁止）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泄漏＋同质性双检查报告（夹具池与隐藏池配方分离核验，见8.7）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隐藏集、评分卡、硬门和阈值冻结；后续失败不得降标；泄漏与同质性双检查通过。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M3｜GPT高区分度问题系统V1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目标：把百万级能力拆解为可测行为，并形成可批量执行、可对抗、可迁移的问题包。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question_taxonomy.v0.1.yaml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question_template_library.v0.1.jsonl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conflict_and_counterexample_pack.v0.1.jsonl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narrative_elicitation_pack.v0.1.jsonl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batch_assignment_plan.v0.1.yaml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question_quality_checker / duplicate-drift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问题覆盖多条件冲突、排除理由、副作用、规则失效、跨品牌/品类迁移与叙事真实性；禁止以知识清单题为主。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M4｜Claude Code蒸馏流水线与候选批次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目标：执行模型知识引出，保存原始回答、候选知识、分歧、来源和失败，不选择性丢弃。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elicitation_runner / checkpoint / resume / cost guard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raw_response_archive（原始响应全量保留）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candidate_knowledge/*.jsonl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model_disagreement_ledger.v0.1.jsonl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coverage_and_duplication_reports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receipts and immutable manifests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所有物理调用、失败、重试与候选均可追踪；不得把候选标为accepted。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M5｜专家知识合成、审查与接受基线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目标：将候选转化为机制、规则、案例、反例和叙事模式，并通过跨模型、来源、专家和Founder审查。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accepted_concepts_and_mechanisms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accepted_decision_rules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accepted_category_constraints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accepted_case_traces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accepted_narrative_patterns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rejected_or_deferred_ledger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expert_review_records / founder acceptance receipt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知识状态链完整；个人审美不得伪装为普遍规律；高风险知识有多人审查。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M6｜搭配决策编译器V0.1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目标：用结构化知识、硬约束、候选组合、排序与LLM解释形成受约束决策。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BrandResolver / CategoryRouter / AudienceResolver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ConstraintEngine / CandidateComposer / StylingRanker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DecisionTraceEngine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offline evaluation runner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golden/negative/boundary fixtures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compiler qualification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库存、品牌、品类、用户拒绝项等硬约束确定性执行；所有选择与排除可解释。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M7｜叙事智能与账号投影V0.1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目标：从已接受搭配决策中生成搭配命题、叙事弧、可拍动作和账号差异化内容。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styling_thesis.schema.v0.1.json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narrative_package.schema.v0.1.json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account_permission_and_voice_contracts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content_projection_templates（非固定文案模板）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truth checker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expert review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内容不是知识点口语化；不存在虚构真实人物、事件或销售结果；账号之间不是同稿改写。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M8｜总部/门店库存约束引擎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目标：接入商品与库存，支持总部全货盘和单店现货两种任务范围。（v1.1注记：引擎与接口合同交付不变，但验证对象改为仿真货盘源；真实ERP/PIM/POS系统对接验证并入真实品牌补验批次。）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 connector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snapshot service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store-scope authorization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pre-publish availability recheck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substitution/withdrawal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grounding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正式推荐商品全部存在于对应快照；门店与总部范围不混淆；失效商品可替换或撤稿；真实ERP/PIM/POS对接验证并入真实品牌补验批次。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M9｜个体适配与品类安全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目标：支持个体比例、肤色、气质、年龄、舒适边界和场景，同时落实童装、青少年与运动安全。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individual_profile intake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visual_goal and suitability model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 safety policies and checkers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body-language safety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privacy and consent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personal adaptation qualification report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不编造个体事实，不进行身体羞辱，不输出不适龄或功能安全越界建议。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M10｜未见品牌/未见品类迁移门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目标：证明同一个专家内核可以迁移，而不是品牌Prompt库或女装规则外推。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frozen hidden benchmark run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cross-brand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cross-category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stability and 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failure cluster and repair plan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 gate decision: PASS / CONDITIONAL / BLOCK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硬门全通过，质量门达到M2冻结阈值；失败不得通过补写隐藏品牌专属规则修复。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M11｜多品牌、多门店、多品类仿真试点（夹具品牌）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目标：以夹具品牌（Codex合成、Claude Code完整性审核后冻结）在多品牌、多门店、多品类条件下验证端到端产能与稳定性、专业与叙事质量、库存约束/替代/撤稿的确定性执行、账号矩阵差异化、成本与恢复能力。关键门＝仿真运行门（v1.0原“真实采用门”已改判）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pilot selection and frozen baseline（仿真试点选择与冻结基线）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fixture brand truth packs and simulated inventory integrations（夹具品牌事实包与仿真货盘接入）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HQ/store/account content calendars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 and brand review records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content/commerce signal dashboard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closeout and product-contract delta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真实品牌补验批次合同（四项未验证声明回填清单＋对外宣称限制）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专业质量、品牌适配、可售性、内容真实性与账号差异化在仿真环境下通过；播放量不得单独决定结论。本里程碑不再证明真实门店采用、真实消费者理解、真实库存对接与真实商业信号——该四项整体移入真实品牌补验批次。补验通过前，对外可宣称“已完成全链路仿真验证”，不得宣称“已通过真实市场／真实门店验证”。硬门不放松：inventory_hallucination_rate＝0等硬门在仿真环境照常执行，分母为夹具货盘快照，推荐夹具货盘外的商品同样计为硬失败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M12｜Commercial V1.0生产加固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目标：将试点能力变成可重复交付给多个品牌的生产系统。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交付物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multi-tenant isolation and permissions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versioning / audit / rollback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orchestration / retry / idempotency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cost and latency guards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 replacement regression suite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operations handbook and release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feedback_to_candidate_ledger（内容表现、用户反馈、门店修改只进候选账本；晋级必须走知识状态链，不得直写专家知识真源）</w:t>
      </w:r>
    </w:p>
    <w:p>
      <w:pPr>
        <w:pStyle w:val="Heading3"/>
        <w:keepNext/>
        <w:keepLines w:val="0"/>
        <w:spacing w:before="140" w:after="60" w:line="252" w:lineRule="auto"/>
      </w:pPr>
      <w:r>
        <w:rPr>
          <w:rFonts w:ascii="Noto Sans CJK SC" w:hAnsi="Noto Sans CJK SC" w:eastAsia="Noto Sans CJK SC"/>
          <w:b/>
          <w:color w:val="1A202C"/>
          <w:sz w:val="23"/>
        </w:rPr>
        <w:t>通过标准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八道商业发布门同时通过，并获得Founder最终批准。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14. 里程碑交付总清单</w:t>
      </w: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下列清单用于Founder、执行代理与Guardian在每个节点完成后进行收口。任何节点缺少报告、Receipt或Checker，不得仅凭口头说明判定完成。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M0 独立立项与合同冻结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project_charter.v1.0.yaml（项目章程）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capability_contract.v1.0.yaml（能力合同）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category_scope_contract.v1.0.yaml（五类品类范围）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input_output_boundary.v1.0.yaml（输入输出与事实优先级）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role_and_decision_rights.v1.0.yaml（角色与裁决权）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non_goals_and_stop_conditions.v1.0.yaml（非目标与停止条件）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knowledge_state_machine.v1.0.yaml（知识状态机）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architecture_and_integration_boundary.v1.0.yaml（独立解耦与集成边界合同）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compliance_review_contract.v1.0.yaml（合规核验合同：责任人、核验清单、决策时间表）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data_and_fixture_workflow.v1.0.yaml（品牌档案、评测语料与夹具品牌工作流合同）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execution_critical_path_and_decision_gates.v1.0.yaml（关键路径图＋Discovery继续/转向/停止判据）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M1 对象模型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M2 评测冻结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M0 checker / fixtures / report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（本清单与13节M0、17.1完全一致；Founder四项裁决写入PRD正文而不单列合同文件的说明见13节M0。）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验收门已通过：所有支持任务都有必需输入、输出、失败状态和负责角色；与笛语现有资产零接触验证通过（独立解耦裁决），现有P7C状态无漂移。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 语义骨架与品类适配合同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brand_style_space.v0.1.yaml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audience_profile.schema.v0.1.json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human_visual_profile.schema.v0.1.json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garment_and_inventory.schema.v0.1.json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styling_task_context.schema.v0.1.json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styling_decision_trace.schema.v0.1.json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category_adapter_contracts/*.v0.1.yaml（五类）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semantic coverage checker /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brand_truth_pack.schema.v0.1.json（品牌事实包结构）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individual_profile.schema.v0.1.json（含双模式标记位与授权状态字段）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6.2的11个正式输出对象逐个Schema，或StylingResultBundle.schema.v0.1.json整包（二选一）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输入对象覆盖映射表：7个输入对象↔Schema/合同文件一一对应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验收门已通过：不存在未定义对象、品牌与品类混用、运行时事实混入长期真源或女装规则默认覆盖其他品类；6.2的11个输出对象在Schema层全部可寻址，无一遗漏。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M2 隐藏评测与评分基线冻结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benchmark_capability_matrix.v0.1.yaml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unseen_brand_split.v0.1.yaml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unseen_category_edge_cases.v0.1.yaml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narrative_scoring_rubric.v0.1.yaml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hard_gate_definitions.v0.1.yaml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benchmark leakage checker / frozen manifest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rater_calibration_contract.v0.1.yaml（评分者校准）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evaluation_sampling_design.v0.1.yaml（机评/人评分工与抽样设计）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benchmark_revision_protocol.v0.1.yaml（基线修订协议）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泄漏＋同质性双检查报告（夹具池与隐藏池配方分离核验）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验收门已通过：隐藏集、评分卡、硬门和阈值冻结；后续失败不得降标；泄漏与同质性双检查通过。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M3 GPT高区分度问题系统V1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question_taxonomy.v0.1.yaml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question_template_library.v0.1.jsonl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conflict_and_counterexample_pack.v0.1.jsonl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narrative_elicitation_pack.v0.1.jsonl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batch_assignment_plan.v0.1.yaml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question_quality_checker / duplicate-drift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验收门已通过：问题覆盖多条件冲突、排除理由、副作用、规则失效、跨品牌/品类迁移与叙事真实性；禁止以知识清单题为主。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M4 Claude Code蒸馏流水线与候选批次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elicitation_runner / checkpoint / resume / cost guard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raw_response_archive（原始响应全量保留）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candidate_knowledge/*.jsonl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model_disagreement_ledger.v0.1.jsonl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coverage_and_duplication_reports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receipts and immutable manifests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验收门已通过：所有物理调用、失败、重试与候选均可追踪；不得把候选标为accepted。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M5 专家知识合成、审查与接受基线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accepted_concepts_and_mechanisms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accepted_decision_rules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accepted_category_constraints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accepted_case_traces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accepted_narrative_patterns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rejected_or_deferred_ledger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expert_review_records / founder acceptance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验收门已通过：知识状态链完整；个人审美不得伪装为普遍规律；高风险知识有多人审查。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M6 搭配决策编译器V0.1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BrandResolver / CategoryRouter / AudienceResolver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ConstraintEngine / CandidateComposer / StylingRanker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DecisionTraceEngine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offline evaluation runner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golden/negative/boundary fixtures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compiler qualification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验收门已通过：库存、品牌、品类、用户拒绝项等硬约束确定性执行；所有选择与排除可解释。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M7 叙事智能与账号投影V0.1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styling_thesis.schema.v0.1.json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narrative_package.schema.v0.1.json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account_permission_and_voice_contracts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content_projection_templates（非固定文案模板）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truth checker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narrative expert review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验收门已通过：内容不是知识点口语化；不存在虚构真实人物、事件或销售结果；账号之间不是同稿改写。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M8 总部/门店库存约束引擎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ERP/PIM/POS connector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snapshot service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store-scope authorization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pre-publish availability recheck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substitution/withdrawal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inventory grounding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验收门已通过：正式推荐商品全部存在于对应快照；门店与总部范围不混淆；失效商品可替换或撤稿；真实ERP/PIM/POS对接验证并入真实品牌补验批次。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M9 个体适配与品类安全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individual_profile intake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visual_goal and suitability model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category safety policies and checkers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body-language safety rules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privacy and consent contract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personal adaptation qualification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验收门已通过：不编造个体事实，不进行身体羞辱，不输出不适龄或功能安全越界建议。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M10 未见品牌/未见品类迁移门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frozen hidden benchmark run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cross-brand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cross-category transfer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stability and drift report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failure cluster and repair plan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 gate decision: PASS / CONDITIONAL / BLOCK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验收门已通过：硬门全通过，质量门达到M2冻结阈值；失败不得通过补写隐藏品牌专属规则修复。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M11 多品牌、多门店、多品类仿真试点（夹具品牌）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pilot selection and frozen baseline（仿真试点选择与冻结基线）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fixture brand truth packs and simulated inventory integrations（夹具品牌事实包与仿真货盘接入）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HQ/store/account content calendars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expert and brand review records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content/commerce signal dashboard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closeout and product-contract delta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真实品牌补验批次合同（四项未验证声明回填清单＋对外宣称限制）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专业质量、品牌适配、可售性、内容真实性与账号差异化在仿真环境下通过；播放量不得单独决定结论；真实门店采用、真实消费者理解、真实库存对接与真实商业信号四项已移入真实品牌补验批次，补验通过前不得宣称已通过真实市场／真实门店验证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M12 Commercial V1.0生产加固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multi-tenant isolation and permissions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versioning / audit / rollback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batch orchestration / retry / idempotency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cost and latency guards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model replacement regression suite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operations handbook and release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feedback_to_candidate_ledger（反馈只进候选账本，不得直写专家知识真源）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验收门已通过：八道商业发布门同时通过，并获得Founder最终批准。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工作树、版本、输入清单、原始输出与报告已可重放。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 xml:space="preserve">[ ] </w:t>
      </w:r>
      <w:r>
        <w:rPr>
          <w:rFonts w:ascii="Noto Sans CJK SC" w:hAnsi="Noto Sans CJK SC" w:eastAsia="Noto Sans CJK SC"/>
          <w:b w:val="0"/>
          <w:color w:val="1A202C"/>
          <w:sz w:val="20"/>
        </w:rPr>
        <w:t>Founder已形成明确的PASS / CONDITIONAL / BLOCK裁决。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15. 工程量、周期与团队配置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15.1 工程量裁决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5F5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9B2C2C"/>
              <w:left w:val="single" w:sz="18" w:color="9B2C2C"/>
              <w:bottom w:val="single" w:sz="10" w:color="9B2C2C"/>
              <w:right w:val="single" w:sz="10" w:color="9B2C2C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9B2C2C"/>
                <w:sz w:val="21"/>
              </w:rPr>
              <w:t>工程量与工期默认基线（v1.1改判） 架构关系裁决为独立解耦后，默认执行路线由“Commercial V1.0复用笛语底座”改为“独立完整建设（standalone_full_stack）”；默认工程量由90—135人月改判为125—185人月，默认自然周期由12—18个月改判为15—24个月。复用口径降级为条件路线：仅当确认存在中立、无业务耦合、不形成对笛语底座强依赖的可复用基础设施时，经Founder裁决后重新计算增量工程量。此前以女装为主、叙事与模型蒸馏尚未完全纳入的60—85人月估算不再适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187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59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53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工程量</w:t>
            </w:r>
          </w:p>
        </w:tc>
        <w:tc>
          <w:tcPr>
            <w:tcW w:type="dxa" w:w="124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自然周期／证明什么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Discovery 准备度门</w:t>
            </w:r>
          </w:p>
        </w:tc>
        <w:tc>
          <w:tcPr>
            <w:tcW w:type="dxa" w:w="4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M0—M3：合同冻结、语义骨架、隐藏评测冻结、问题系统V1</w:t>
            </w:r>
          </w:p>
        </w:tc>
        <w:tc>
          <w:tcPr>
            <w:tcW w:type="dxa" w:w="153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约24—35人月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证明“可以开考”——基础设施与考卷就绪；此时尚无蒸馏证据，不证明“能考过”。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限额POC证据批次</w:t>
            </w:r>
          </w:p>
        </w:tc>
        <w:tc>
          <w:tcPr>
            <w:tcW w:type="dxa" w:w="459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M4全面开跑前的小规模证据批：≤500场景实例、≤2,000候选回答、专家抽评≥100件（额度为建议默认，M0冻结时定）</w:t>
            </w:r>
          </w:p>
        </w:tc>
        <w:tc>
          <w:tcPr>
            <w:tcW w:type="dxa" w:w="153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约4—6人月</w:t>
            </w:r>
          </w:p>
        </w:tc>
        <w:tc>
          <w:tcPr>
            <w:tcW w:type="dxa" w:w="124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首批真实证据：问题系统区分度、候选知识质量、专家通过率初值，供继续/转向/停止判据使用。</w:t>
            </w:r>
          </w:p>
        </w:tc>
      </w:tr>
      <w:tr>
        <w:trPr>
          <w:cantSplit/>
        </w:trPr>
        <w:tc>
          <w:tcPr>
            <w:tcW w:type="dxa" w:w="187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Pilot MVP</w:t>
            </w:r>
          </w:p>
        </w:tc>
        <w:tc>
          <w:tcPr>
            <w:tcW w:type="dxa" w:w="4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M4—M11；试点品类按15.5覆盖规则选择，M11为夹具品牌仿真试点</w:t>
            </w:r>
          </w:p>
        </w:tc>
        <w:tc>
          <w:tcPr>
            <w:tcW w:type="dxa" w:w="153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累计约65—95人月</w:t>
            </w:r>
          </w:p>
        </w:tc>
        <w:tc>
          <w:tcPr>
            <w:tcW w:type="dxa" w:w="124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三类品类在仿真约束下的专业、叙事、库存、安全表现。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Commercial V1.0（默认路线：独立完整建设）</w:t>
            </w:r>
          </w:p>
        </w:tc>
        <w:tc>
          <w:tcPr>
            <w:tcW w:type="dxa" w:w="459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五类品类全量、未见品牌/品类迁移、多租户、审计、库存、个体适配与账号矩阵</w:t>
            </w:r>
          </w:p>
        </w:tc>
        <w:tc>
          <w:tcPr>
            <w:tcW w:type="dxa" w:w="153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累计125—185人月</w:t>
            </w:r>
          </w:p>
        </w:tc>
        <w:tc>
          <w:tcPr>
            <w:tcW w:type="dxa" w:w="124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15—24个月；八道商业发布门全过＋Founder最终批准。</w:t>
            </w:r>
          </w:p>
        </w:tc>
      </w:tr>
      <w:tr>
        <w:trPr>
          <w:cantSplit/>
        </w:trPr>
        <w:tc>
          <w:tcPr>
            <w:tcW w:type="dxa" w:w="187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6"/>
              </w:rPr>
              <w:t>复用笛语底座（条件路线，非默认）</w:t>
            </w:r>
          </w:p>
        </w:tc>
        <w:tc>
          <w:tcPr>
            <w:tcW w:type="dxa" w:w="459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仅当确认存在中立、无业务耦合、不形成对笛语底座强依赖的可复用基础设施时适用</w:t>
            </w:r>
          </w:p>
        </w:tc>
        <w:tc>
          <w:tcPr>
            <w:tcW w:type="dxa" w:w="153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经Founder裁决后重新计算增量工程量</w:t>
            </w:r>
          </w:p>
        </w:tc>
        <w:tc>
          <w:tcPr>
            <w:tcW w:type="dxa" w:w="124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6"/>
              </w:rPr>
              <w:t>v1.0的“90—135人月／12—18个月”口径已降级，不再作为默认基线。</w:t>
            </w:r>
          </w:p>
        </w:tc>
      </w:tr>
    </w:tbl>
    <w:p>
      <w:pPr>
        <w:spacing w:after="0"/>
      </w:pPr>
    </w:p>
    <w:p>
      <w:pPr>
        <w:spacing w:after="0"/>
      </w:pPr>
      <w:r>
        <w:t>对账结论：13节M0—M12逐项人月合计为124—184，与新默认基线125—185自洽；v1.0中“复用底座90—135人月”与里程碑表相差35—50人月未落账的问题随本次改判消除。</w:t>
      </w:r>
    </w:p>
    <w:p>
      <w:pPr>
        <w:spacing w:after="0"/>
      </w:pPr>
      <w:r>
        <w:t>工期结论：按12.3声明的并行流推算约14—20个月，落在新默认区间15—24个月内。M0仍须交付execution_critical_path_and_decision_gates.v1.0.yaml（关键路径图＋Discovery结束时的继续/转向/停止判据）；判据缺失时不得进入M4大规模蒸馏——此要求不因区间放宽而取消。</w:t>
      </w:r>
    </w:p>
    <w:p>
      <w:pPr>
        <w:spacing w:after="0"/>
      </w:pPr>
      <w:r>
        <w:t>团队配置维持核心全职8—10人＋外部专家组6—10名兼职；v1.1新增角色见15.3。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15.2 工作量结构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669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2551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知识蒸馏、知识工程与专家审查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30%—35%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推理、约束、评测与决策编译器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25%—30%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商品、库存、品牌和数据工程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15%—20%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叙事智能、账号投影与内容评测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12%—16%</w:t>
            </w:r>
          </w:p>
        </w:tc>
      </w:tr>
      <w:tr>
        <w:trPr>
          <w:cantSplit/>
        </w:trPr>
        <w:tc>
          <w:tcPr>
            <w:tcW w:type="dxa" w:w="669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产品交互、试点与运营</w:t>
            </w:r>
          </w:p>
        </w:tc>
        <w:tc>
          <w:tcPr>
            <w:tcW w:type="dxa" w:w="2551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8%—12%</w:t>
            </w:r>
          </w:p>
        </w:tc>
      </w:tr>
      <w:tr>
        <w:trPr>
          <w:cantSplit/>
        </w:trPr>
        <w:tc>
          <w:tcPr>
            <w:tcW w:type="dxa" w:w="669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8"/>
              </w:rPr>
              <w:t>生产治理、安全与运维</w:t>
            </w:r>
          </w:p>
        </w:tc>
        <w:tc>
          <w:tcPr>
            <w:tcW w:type="dxa" w:w="2551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8"/>
              </w:rPr>
              <w:t>10%—15%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占比区间存在重叠，原因是同一工作包可能同时包含知识、评测与工程活动。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15.3 建议核心团队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304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5102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 / Product Authority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0.3—0.5 FTE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业务与产品最终裁决。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产品与知识架构负责人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产品合同、语义模型、问题系统和知识晋级。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AI / Knowledge Engineer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2—3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蒸馏流水线、知识结构化、检索、推理和评测。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Backend / Data Engineer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1—2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商品、库存、任务、版本、接口和数据质量。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Full-stack Product Engineer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专家审查、品牌配置、内容与试点工作台。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Evaluation / Data Operations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1—2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题集、隐藏集、运行、标注、报告和回归。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CSO / Narrative Lead</w:t>
            </w:r>
          </w:p>
        </w:tc>
        <w:tc>
          <w:tcPr>
            <w:tcW w:type="dxa" w:w="130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</w:t>
            </w:r>
          </w:p>
        </w:tc>
        <w:tc>
          <w:tcPr>
            <w:tcW w:type="dxa" w:w="510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叙事质量、账号矩阵、平台原生表达与内容门。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外部专家组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6—10名兼职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女装、童装、青少年、亲子、运动、形象/色彩、VM与内容专业校准。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法务 / 合规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1名兼职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个人信息与未成年人合规、AIGC标识、数据出境、模型服务条款核验；承接compliance_review_contract与10.4合规核验清单。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语料与档案建设负责人</w:t>
            </w:r>
          </w:p>
        </w:tc>
        <w:tc>
          <w:tcPr>
            <w:tcW w:type="dxa" w:w="1304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1（可由评测/数据运营兼任）</w:t>
            </w:r>
          </w:p>
        </w:tc>
        <w:tc>
          <w:tcPr>
            <w:tcW w:type="dxa" w:w="5102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品牌事实档案、评测语料与夹具品牌工作流（8.7）；隐藏集建设须与候选生成链物理隔离。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建议核心全职团队为8—10人，并使用分阶段外部专家审查。单一高价搭配师不得成为唯一真源，否则系统容易把个人风格、年龄与客户群偏好误写成通用规律。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15.4 专家审查量级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POC：约40—60个专家工作日。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Pilot MVP：累计约100—150个专家工作日。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Commercial V1.0：累计约180—260个专家工作日，分布于五类品类、隐藏评测、仿真试点与真实品牌补验批次。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15.5 试点品类选择规则与商业信号口径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试点品类覆盖规则【已裁决】：Commercial V1.0的五类品类承诺不变。“三品类试点”指五类全部建设完成、正式商业发布之前，至少三类先进入小规模试运行。现在不锁死具体品类；M10通过后、M11启动前，按真实可获得的品牌、货盘与专家资源选择。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覆盖规则（硬性）：至少三类，且必须覆盖——一个成人审美与身体适配品类；一个未成年人或家庭安全品类；一个功能优先品类。典型组合：女装＋童装/青少年/亲子之一＋运动潮流。其余两类仍须在Commercial V1.0发布前完成正式验证（夹具环境下验证同样适用13节M11的对外宣称限制）；五类同时进入仿真试点属于扩大Pilot投入的可选项，不是当前必须条件。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商业KPI口径【已裁决】：KPI阈值与取舍由Founder自行判断，不写入合同硬门。决策节点＝M11试点基线冻结时，由Founder确定本轮试点关注的商业信号与判断口径。保留不变：M11仪表盘按专业、内容、商业三层分离呈现信号（R-10控制），播放量不得单独决定结论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15.6 后置事项决策节点指派表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以下事项按Founder裁决允许后置，但自v1.1起均有责任人与截止节点，不再存在“无人负责、无截止节点”状态：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生产模型最终选型 — 决策节点：M12生产加固前；裁决人：Founder；前置联动：境外API处理个体资料须先过10.4合规核验清单第③项数据出境核验。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试点三品类选定 — 决策节点：M10通过后、M11启动前；裁决人：Founder；约束：15.5覆盖规则。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商业KPI口径与阈值 — 决策节点：M11试点基线冻结时；裁决人：Founder；约束：三层信号分离呈现（R-10）。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限额POC证据批次额度 — 决策节点：M0冻结时；裁决人：Founder；15.1建议默认额度可改判。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端侧形态（总部/门店/导购各角色界面）【建议默认】 — 决策节点：M6前形成提案；裁决人：产品负责人提案＋Founder裁决；联动：4.4 S-07的投影类型依赖端侧形态确定。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分场景时延目标【建议默认】 — 决策节点：M6冻结；裁决人：产品负责人提案＋Founder裁决；批量内容生成与导购辅助两类场景分别定标。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隐藏品牌合成细则（配方分离与同质性控制）— 决策节点：M0合同→M2冻结；执行：Guardian侧＋Founder确认；依据：8.7。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真实品牌补验批次启动【建议默认·时点与宣称限制】 — 决策节点：首个真实品牌接入时（可提前）；裁决人：Founder；依据：13节M11回填清单与宣称限制。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16. 风险、停止条件与决策权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16.1 关键风险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  <w:cantSplit/>
        </w:trPr>
        <w:tc>
          <w:tcPr>
            <w:tcW w:type="dxa" w:w="680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1587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3288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表现</w:t>
            </w:r>
          </w:p>
        </w:tc>
        <w:tc>
          <w:tcPr>
            <w:tcW w:type="dxa" w:w="368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R-01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专家幻觉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模型输出结构完整、措辞自信但缺乏真实机制或边界。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候选状态、反例攻击、专家复核、隐藏测试。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R-02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模型共识偏误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GPT与Claude可能共同继承互联网中的同类偏见。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不以一致性替代证据；引入多专家与真实案例。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R-03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品牌记忆伪装迁移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系统根据品牌名称套模板。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匿名化事实包、未见品牌、名称替换测试。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R-04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女装规则泛化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把成人女装的显瘦、比例或表达规则错误用于童装、青少年、运动。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品类适配器、硬约束和边缘任务测试。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R-05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叙事反向污染专业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为了内容戏剧性选择不专业搭配或虚构事实。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Accepted Decision before Content；叙事真门。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R-06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库存数据质量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SKU、颜色、尺码、可售状态延迟导致内容不可买。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快照版本、发布前复核、撤稿与替代。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R-07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身体表达风险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制造羞耻、刻板标签或不适龄审美。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中性字段、品类安全、对外语言检查。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R-08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范围爆炸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品类、品牌、个体、场景组合无限扩张。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合同边界完整、覆盖矩阵、分阶段发布。</w:t>
            </w:r>
          </w:p>
        </w:tc>
      </w:tr>
      <w:tr>
        <w:trPr>
          <w:cantSplit/>
        </w:trPr>
        <w:tc>
          <w:tcPr>
            <w:tcW w:type="dxa" w:w="6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R-09</w:t>
            </w:r>
          </w:p>
        </w:tc>
        <w:tc>
          <w:tcPr>
            <w:tcW w:type="dxa" w:w="1587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评测泄漏</w:t>
            </w:r>
          </w:p>
        </w:tc>
        <w:tc>
          <w:tcPr>
            <w:tcW w:type="dxa" w:w="32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候选生成链读取隐藏品牌或答案。</w:t>
            </w:r>
          </w:p>
        </w:tc>
        <w:tc>
          <w:tcPr>
            <w:tcW w:type="dxa" w:w="368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物理隔离、清单哈希、独立运行、Receipt。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R-10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内容指标误导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高播放掩盖专业错误，或低播放否定正确知识。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专业、内容、商业信号分层评估。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R-11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合规风险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个人信息、未成年人、AIGC标识、数据出境或模型厂商服务条款义务未及时核验，导致发布受阻或整改。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M0建立compliance_review_contract与责任人；M2冻结前完成首轮法务核验；新增Safety &amp; Compliance Gate。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R-12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【建议默认】语料与档案建设进度风险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隐藏品牌与参考品牌档案未能在M2冻结窗口内建成，阻塞评测冻结。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指定语料与档案建设负责人；隐藏集M2前建成；参考档案M1—M5渐进建设（8.7）。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R-13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【建议默认】专家资源不可得或系统性分歧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匹配品类专家招募不足，或专家之间对关键规则长期分歧无法收敛。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评分者校准合同、抽样设计、多人审查与分歧仲裁；专家审查量级分阶段释放。</w:t>
            </w:r>
          </w:p>
        </w:tc>
      </w:tr>
      <w:tr>
        <w:trPr>
          <w:cantSplit/>
        </w:trPr>
        <w:tc>
          <w:tcPr>
            <w:tcW w:type="dxa" w:w="680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5"/>
              </w:rPr>
              <w:t>R-14</w:t>
            </w:r>
          </w:p>
        </w:tc>
        <w:tc>
          <w:tcPr>
            <w:tcW w:type="dxa" w:w="1587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【建议默认】平台政策风险</w:t>
            </w:r>
          </w:p>
        </w:tc>
        <w:tc>
          <w:tcPr>
            <w:tcW w:type="dxa" w:w="3288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限流、AIGC标识规则变化、矩阵账号治理收紧影响内容分发。</w:t>
            </w:r>
          </w:p>
        </w:tc>
        <w:tc>
          <w:tcPr>
            <w:tcW w:type="dxa" w:w="368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5"/>
              </w:rPr>
              <w:t>合规核验清单第②项常态跟踪；专业、内容、商业信号分层评估。</w:t>
            </w:r>
          </w:p>
        </w:tc>
      </w:tr>
    </w:tbl>
    <w:p>
      <w:pPr>
        <w:spacing w:after="0"/>
      </w:pP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16.2 强制停止条件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M2隐藏评测未冻结：停止大规模知识蒸馏。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候选生成与Guardian上下文未隔离：停止审查并重建独立工作面。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模型回答被直接标记为accepted或production_servable：停止并回滚状态。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未见品牌/品类迁移门失败：不得进入商业级专家宣称；只能修复通用机制后重新测试。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库存真实性门失败：不得发布门店现货内容。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童装、青少年或运动安全硬门失败：对应品类立即关闭Serving。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叙事存在虚构真实人物、事件或结果：停止自动发布并回溯内容链。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未取得顾客有效授权即建立完整实名顾客档案：停止建档并回溯清理。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>• 夹具品牌数据、其合成会话或参数被复用于隐藏集（或反向复用）：停止评测并重建隐藏集。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16.3 决策权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283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40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决策边界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Founder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产品范围、商业价值、风险接受、里程碑PASS/CONDITIONAL/BLOCK、最终发布。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GPT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提出问题、架构、评测与审查建议；无权自行翻转知识或生产状态。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Code Elicitation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按合同生成候选；无权宣布候选正确或扩大范围。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Codex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按授权施工；无权改变产品合同或做最终业务判断。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Claude Guardian</w:t>
            </w:r>
          </w:p>
        </w:tc>
        <w:tc>
          <w:tcPr>
            <w:tcW w:type="dxa" w:w="640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独立审查与阻断；无权代替Founder批准商业发布。</w:t>
            </w:r>
          </w:p>
        </w:tc>
      </w:tr>
      <w:tr>
        <w:trPr>
          <w:cantSplit/>
        </w:trPr>
        <w:tc>
          <w:tcPr>
            <w:tcW w:type="dxa" w:w="283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外部专家</w:t>
            </w:r>
          </w:p>
        </w:tc>
        <w:tc>
          <w:tcPr>
            <w:tcW w:type="dxa" w:w="640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提供专业评审与分歧说明；不单独决定跨品类通用真理。</w:t>
            </w:r>
          </w:p>
        </w:tc>
      </w:tr>
    </w:tbl>
    <w:p>
      <w:pPr>
        <w:spacing w:after="0"/>
      </w:pP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17. 首个执行任务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FF8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10" w:color="B7791F"/>
              <w:left w:val="single" w:sz="18" w:color="B7791F"/>
              <w:bottom w:val="single" w:sz="10" w:color="B7791F"/>
              <w:right w:val="single" w:sz="10" w:color="B7791F"/>
            </w:tcBorders>
          </w:tcPr>
          <w:p>
            <w:pPr>
              <w:keepNext w:val="0"/>
              <w:keepLines w:val="0"/>
              <w:spacing w:before="0" w:after="60" w:line="269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1"/>
              </w:rPr>
              <w:t>唯一推荐的下一任务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20"/>
              </w:rPr>
              <w:t>GKB-CROSS-BRAND-STYLING-EXPERT-KERNEL-M0-CONTRACT-AND-BENCHMARK-FOUNDATION-001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90" w:line="307" w:lineRule="auto"/>
        <w:ind w:left="0"/>
      </w:pPr>
      <w:r>
        <w:rPr>
          <w:rFonts w:ascii="Noto Sans CJK SC" w:hAnsi="Noto Sans CJK SC" w:eastAsia="Noto Sans CJK SC"/>
          <w:b w:val="0"/>
          <w:i w:val="0"/>
          <w:color w:val="1A202C"/>
          <w:sz w:val="20"/>
        </w:rPr>
        <w:t>该任务只完成M0并为M1—M2建立可执行基础，不进行大规模知识蒸馏，不接真实品牌生产，不翻Serving状态。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17.1 首任务必须交付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project_charter.v1.0.yaml（项目章程）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capability_contract.v1.0.yaml（能力合同）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category_scope_contract.v1.0.yaml（五类品类范围）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input_output_boundary.v1.0.yaml（输入输出与事实优先级）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role_and_decision_rights.v1.0.yaml（角色与裁决权）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non_goals_and_stop_conditions.v1.0.yaml（非目标与停止条件）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knowledge_state_machine.v1.0.yaml（知识状态机）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architecture_and_integration_boundary.v1.0.yaml（独立解耦与集成边界合同）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compliance_review_contract.v1.0.yaml（合规核验合同：责任人、核验清单、决策时间表）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data_and_fixture_workflow.v1.0.yaml（品牌档案、评测语料与夹具品牌工作流合同）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execution_critical_path_and_decision_gates.v1.0.yaml（关键路径图＋Discovery继续/转向/停止判据）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M1 对象模型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M2 评测冻结 Brief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[ ] M0 checker / fixtures / report / receipt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2C7A7B"/>
          <w:sz w:val="20"/>
        </w:rPr>
        <w:t>（本清单与13节M0、14节完全一致；Founder四项裁决写入PRD正文而不单列合同文件的说明见13节M0。）</w:t>
      </w:r>
    </w:p>
    <w:p>
      <w:pPr>
        <w:pStyle w:val="Heading2"/>
        <w:keepNext/>
        <w:keepLines w:val="0"/>
        <w:spacing w:before="200" w:after="100" w:line="252" w:lineRule="auto"/>
      </w:pPr>
      <w:r>
        <w:rPr>
          <w:rFonts w:ascii="Noto Sans CJK SC" w:hAnsi="Noto Sans CJK SC" w:eastAsia="Noto Sans CJK SC"/>
          <w:b/>
          <w:color w:val="2C7A7B"/>
          <w:sz w:val="27"/>
        </w:rPr>
        <w:t>17.2 执行纪律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GPT PRD / Question / Acceptance Pre-Review</w:t>
              <w:br/>
              <w:t>→ Founder授权</w:t>
              <w:br/>
              <w:t>→ Codex或Claude Code按明确角色执行</w:t>
              <w:br/>
              <w:t>→ Claude Code Guardian独立审查</w:t>
              <w:br/>
              <w:t>→ Founder里程碑裁决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不得在同一任务中同时生成大规模候选知识。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不得重写或漂移现有P7C资产。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不得创建正式Serving、RAG、DIFY或品牌生产内容。</w:t>
      </w:r>
    </w:p>
    <w:p>
      <w:pPr>
        <w:keepNext w:val="0"/>
        <w:keepLines w:val="0"/>
        <w:spacing w:before="0" w:after="56" w:line="293" w:lineRule="auto"/>
        <w:ind w:left="312" w:hanging="198"/>
      </w:pPr>
      <w:r>
        <w:rPr>
          <w:rFonts w:ascii="Noto Sans CJK SC" w:hAnsi="Noto Sans CJK SC" w:eastAsia="Noto Sans CJK SC"/>
          <w:b/>
          <w:color w:val="B7791F"/>
          <w:sz w:val="20"/>
        </w:rPr>
        <w:t xml:space="preserve">• </w:t>
      </w:r>
      <w:r>
        <w:rPr>
          <w:rFonts w:ascii="Noto Sans CJK SC" w:hAnsi="Noto Sans CJK SC" w:eastAsia="Noto Sans CJK SC"/>
          <w:b w:val="0"/>
          <w:color w:val="1A202C"/>
          <w:sz w:val="20"/>
        </w:rPr>
        <w:t>不得把模型知识广度当作专家等价证明。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附录A. 推荐目录与文件命名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1F5F9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/>
                <w:b w:val="0"/>
                <w:color w:val="1A202C"/>
                <w:sz w:val="17"/>
              </w:rPr>
              <w:t>projects/cross_brand_styling_expert_kernel/</w:t>
              <w:br/>
              <w:t>├── 00_charter/</w:t>
              <w:br/>
              <w:t>├── 01_contracts_and_schemas/</w:t>
              <w:br/>
              <w:t>├── 02_benchmarks_hidden/</w:t>
              <w:br/>
              <w:t>├── 03_question_system/</w:t>
              <w:br/>
              <w:t>├── 04_elicitation_raw/</w:t>
              <w:br/>
              <w:t>├── 05_candidate_knowledge/</w:t>
              <w:br/>
              <w:t>├── 06_accepted_kernel/</w:t>
              <w:br/>
              <w:t>├── 07_decision_compiler/</w:t>
              <w:br/>
              <w:t>├── 08_narrative_projection/</w:t>
              <w:br/>
              <w:t>├── 09_inventory_and_personalization/</w:t>
              <w:br/>
              <w:t>├── 10_pilots/</w:t>
              <w:br/>
              <w:t>├── 11_reports_and_receipts/</w:t>
              <w:br/>
              <w:t>└── ci/checkers/fixtures/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283" w:lineRule="auto"/>
      </w:pPr>
      <w:r>
        <w:rPr>
          <w:rFonts w:ascii="Noto Sans CJK SC" w:hAnsi="Noto Sans CJK SC" w:eastAsia="Noto Sans CJK SC"/>
          <w:b w:val="0"/>
          <w:i/>
          <w:color w:val="718096"/>
          <w:sz w:val="17"/>
        </w:rPr>
        <w:t>具体目录应在M0根据现有仓库结构进行delta适配，不得未经检查直接覆盖现有命名。</w:t>
      </w:r>
    </w:p>
    <w:p>
      <w:pPr>
        <w:pStyle w:val="Heading1"/>
        <w:keepNext/>
        <w:keepLines w:val="0"/>
        <w:spacing w:before="280" w:after="140" w:line="252" w:lineRule="auto"/>
      </w:pPr>
      <w:r>
        <w:rPr>
          <w:rFonts w:ascii="Noto Sans CJK SC" w:hAnsi="Noto Sans CJK SC" w:eastAsia="Noto Sans CJK SC"/>
          <w:b/>
          <w:color w:val="102A43"/>
          <w:sz w:val="34"/>
        </w:rPr>
        <w:t>附录B. 核心术语表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  <w:cantSplit/>
        </w:trPr>
        <w:tc>
          <w:tcPr>
            <w:tcW w:type="dxa" w:w="3515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5726"/>
            <w:shd w:fill="102A43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keepNext w:val="0"/>
              <w:keepLines w:val="0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Expert Kernel（专家内核）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跨品牌、跨品类共享的专业机制、决策、叙事与评测能力。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Category Adapter（品类适配器）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为某品类提供独特语义、硬约束、安全和功能合同，不复制整个专家。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Brand Truth Pack（品牌事实包）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品牌真实定位、受众、风格、禁用、本季策略与已接受案例。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Inventory Snapshot（库存快照）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在特定时间、范围和门店下的可售款色码状态。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Styling Thesis（搭配命题）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本次搭配最值得表达、可被消费者记住的专业结论。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Decision Trace（决策轨迹）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事实、规则、候选、排除、副作用、不确定性与版本记录。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Narrative Intelligence（叙事智能）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从专业判断中发现人、处境、误解、冲突、变化和结论的能力。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Brand Test（未见品牌测试）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对未针对性建设过的品牌进行迁移评测。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Unseen Category Test（未见品类测试）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对未针对性优化的边缘品类任务进行迁移与安全评测。</w:t>
            </w:r>
          </w:p>
        </w:tc>
      </w:tr>
      <w:tr>
        <w:trPr>
          <w:cantSplit/>
        </w:trPr>
        <w:tc>
          <w:tcPr>
            <w:tcW w:type="dxa" w:w="3515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Model-Elicited Candidate Knowledge（模型引出候选知识）</w:t>
            </w:r>
          </w:p>
        </w:tc>
        <w:tc>
          <w:tcPr>
            <w:tcW w:type="dxa" w:w="5726"/>
            <w:shd w:fill="F7FAFC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通过问题让模型外显的候选，不等于已接受真源。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Contract-Bounded Completeness（合同边界内完整）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在冻结支持任务内，所有对象、规则、失败、例外和测试均被覆盖。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Fixture Brand（夹具品牌）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由Codex依据冻结Schema与品类合同模拟合成、经Claude Code完整性审核后冻结的非真实品牌资产，用于开发调试、离线评测与仿真试点；必须显式标记，不得作为真实品牌适配、真实库存或商业结果的证据。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Standalone Decoupled（独立解耦）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本项目与笛语系统底座在项目空间、合同、数据模型、评测、版本、部署与商业路线上完全独立；未来仅允许底座通过版本化API/SDK/Schema/组件包消费本项目能力。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非实名搭配模式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个体资料采集的默认模式：提取结构化搭配特征，默认不长期保存姓名与原始肖像。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完整顾客档案模式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经授权角色发起并取得顾客有效授权后建立的实名长期顾客档案，受用途、范围、保存期限与顾客权利约束。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Discovery 准备度门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M0—M3结束时的阶段门，证明“可以开考”（基础设施与考卷就绪），不证明“能考过”。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限额POC证据批次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M4全面开跑前的小规模证据批，产出首批真实证据以支撑继续/转向/停止判据。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仿真试点（Simulated Pilot）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M11以夹具品牌与仿真货盘运行的多品牌、多门店、多品类试点，关键门为仿真运行门。</w:t>
            </w:r>
          </w:p>
        </w:tc>
      </w:tr>
      <w:tr>
        <w:trPr>
          <w:cantSplit/>
        </w:trPr>
        <w:tc>
          <w:tcPr>
            <w:tcW w:type="dxa" w:w="3515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/>
                <w:color w:val="1A202C"/>
                <w:sz w:val="17"/>
              </w:rPr>
              <w:t>真实品牌补验批次</w:t>
            </w:r>
          </w:p>
        </w:tc>
        <w:tc>
          <w:tcPr>
            <w:tcW w:type="dxa" w:w="572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pPr>
              <w:keepNext w:val="0"/>
              <w:keepLines w:val="0"/>
              <w:spacing w:before="0" w:after="0" w:line="271" w:lineRule="auto"/>
            </w:pPr>
            <w:r>
              <w:rPr>
                <w:rFonts w:ascii="Noto Sans CJK SC" w:hAnsi="Noto Sans CJK SC" w:eastAsia="Noto Sans CJK SC"/>
                <w:b w:val="0"/>
                <w:color w:val="1A202C"/>
                <w:sz w:val="17"/>
              </w:rPr>
              <w:t>Commercial V1.0发布后首个真实品牌接入时执行的补充验证批次，回填真实门店采用、真实消费者理解、真实库存对接与真实商业信号四项声明；补验通过前受对外宣称限制约束。</w:t>
            </w:r>
          </w:p>
        </w:tc>
      </w:tr>
    </w:tbl>
    <w:p>
      <w:pPr>
        <w:spacing w:after="0"/>
      </w:pPr>
    </w:p>
    <w:p>
      <w:pPr>
        <w:keepNext w:val="0"/>
        <w:keepLines w:val="0"/>
        <w:pBdr>
          <w:bottom w:val="single" w:sz="14" w:space="1" w:color="B7791F"/>
        </w:pBdr>
        <w:spacing w:before="0" w:after="80" w:line="300" w:lineRule="auto"/>
      </w:pPr>
    </w:p>
    <w:p>
      <w:pPr>
        <w:keepNext w:val="0"/>
        <w:keepLines w:val="0"/>
        <w:spacing w:before="240" w:after="80" w:line="300" w:lineRule="auto"/>
        <w:jc w:val="center"/>
      </w:pPr>
      <w:r>
        <w:rPr>
          <w:rFonts w:ascii="Noto Sans CJK SC" w:hAnsi="Noto Sans CJK SC" w:eastAsia="Noto Sans CJK SC"/>
          <w:b/>
          <w:color w:val="102A43"/>
          <w:sz w:val="28"/>
        </w:rPr>
        <w:t>立项基线结论</w:t>
      </w:r>
    </w:p>
    <w:p>
      <w:pPr>
        <w:keepNext w:val="0"/>
        <w:keepLines w:val="0"/>
        <w:spacing w:before="0" w:after="80" w:line="300" w:lineRule="auto"/>
        <w:jc w:val="center"/>
      </w:pPr>
      <w:r>
        <w:rPr>
          <w:rFonts w:ascii="Noto Serif CJK SC" w:hAnsi="Noto Serif CJK SC" w:eastAsia="Noto Serif CJK SC"/>
          <w:b w:val="0"/>
          <w:color w:val="1A202C"/>
          <w:sz w:val="22"/>
        </w:rPr>
        <w:t>一个专家内核，适配不同品牌与品类；真实货盘约束专业判断；专业判断产生叙事内容；模型知识只能经评测与裁决晋级。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18096"/>
          <w:sz w:val="17"/>
        </w:rPr>
        <w:t>— Founder正式立项基线 v1.0 · 2026-08-12 ｜ v1.1 独立解耦与审查修复基线 · 2026-08-12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1049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1809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1809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color w:val="718096"/>
        <w:sz w:val="16"/>
      </w:rPr>
      <w:t>DIYU-CBFSK-001  |  笛语跨品牌服装搭配专家内核  | 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  <w:widowControl/>
    </w:pPr>
    <w:rPr>
      <w:rFonts w:ascii="Noto Sans CJK SC" w:hAnsi="Noto Sans CJK SC" w:eastAsia="Noto Sans CJK SC"/>
      <w:sz w:val="20"/>
      <w:lang w:eastAsia="zh-CN" w:val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  <w:lang w:eastAsia="zh-CN" w:val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  <w:lang w:eastAsia="zh-CN" w:val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widowControl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lang w:eastAsia="zh-CN" w:val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笛语跨品牌服装搭配专家内核 PRD 与执行里程碑</dc:title>
  <dc:subject>独立立项基线、产品需求、执行步骤与里程碑交付清单</dc:subject>
  <dc:creator>笛语项目组</dc:creator>
  <cp:keywords>笛语, 跨品牌, 跨品类, 服装搭配, 专家内核, PRD, Claude Code, 知识蒸馏</cp:keywords>
  <dc:description>Founder正式立项基线；执行状态未开始。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