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PRD v1.2 核验回执</w:t>
      </w:r>
    </w:p>
    <w:p>
      <w:pPr>
        <w:jc w:val="center"/>
      </w:pPr>
      <w:r>
        <w:t>DIYU-CBFSK-001 · D-17—D-29、S1—S8、治理操作模型与执行基线核验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  <w:shd w:fill="EEF4F8"/>
          </w:tcPr>
          <w:p>
            <w:r>
              <w:rPr>
                <w:rFonts w:ascii="Microsoft YaHei" w:hAnsi="Microsoft YaHei" w:eastAsia="Microsoft YaHei"/>
                <w:b/>
                <w:color w:val="15384F"/>
                <w:sz w:val="18"/>
              </w:rPr>
              <w:t>控制项</w:t>
            </w:r>
          </w:p>
        </w:tc>
        <w:tc>
          <w:tcPr>
            <w:tcW w:type="dxa" w:w="5128"/>
            <w:shd w:fill="EEF4F8"/>
          </w:tcPr>
          <w:p>
            <w:r>
              <w:rPr>
                <w:rFonts w:ascii="Microsoft YaHei" w:hAnsi="Microsoft YaHei" w:eastAsia="Microsoft YaHei"/>
                <w:b/>
                <w:color w:val="15384F"/>
                <w:sz w:val="18"/>
              </w:rPr>
              <w:t>内容</w:t>
            </w:r>
          </w:p>
        </w:tc>
      </w:tr>
      <w:tr>
        <w:tc>
          <w:tcPr>
            <w:tcW w:type="dxa" w:w="5128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回执 ID</w:t>
            </w:r>
          </w:p>
        </w:tc>
        <w:tc>
          <w:tcPr>
            <w:tcW w:type="dxa" w:w="5128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DIYU-CBFSK-PRD-V1.2-VERIFY-RECEIPT-001</w:t>
            </w:r>
          </w:p>
        </w:tc>
      </w:tr>
      <w:tr>
        <w:tc>
          <w:tcPr>
            <w:tcW w:type="dxa" w:w="5128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核验对象</w:t>
            </w:r>
          </w:p>
        </w:tc>
        <w:tc>
          <w:tcPr>
            <w:tcW w:type="dxa" w:w="5128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PRD v1.2全文＋M0执行申请v1.2＋README＋PRD_v1.2_change_map.yaml＋治理合同＋Checker/审计脚本</w:t>
            </w:r>
          </w:p>
        </w:tc>
      </w:tr>
      <w:tr>
        <w:tc>
          <w:tcPr>
            <w:tcW w:type="dxa" w:w="5128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核验依据</w:t>
            </w:r>
          </w:p>
        </w:tc>
        <w:tc>
          <w:tcPr>
            <w:tcW w:type="dxa" w:w="5128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Founder最新D-23/D-25补丁＋D-17—D-29＋S1—S8＋已确认Manifest &gt; PRD v1.1未被改判条款 &gt; 历史证据</w:t>
            </w:r>
          </w:p>
        </w:tc>
      </w:tr>
      <w:tr>
        <w:tc>
          <w:tcPr>
            <w:tcW w:type="dxa" w:w="5128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核验方式</w:t>
            </w:r>
          </w:p>
        </w:tc>
        <w:tc>
          <w:tcPr>
            <w:tcW w:type="dxa" w:w="5128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机器Checker＋DOCX OOXML/ZIP完整性＋结构/版本/清单/追溯全文检索＋PDF渲染与版式抽检</w:t>
            </w:r>
          </w:p>
        </w:tc>
      </w:tr>
      <w:tr>
        <w:tc>
          <w:tcPr>
            <w:tcW w:type="dxa" w:w="5128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核验人／日期</w:t>
            </w:r>
          </w:p>
        </w:tc>
        <w:tc>
          <w:tcPr>
            <w:tcW w:type="dxa" w:w="5128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候选施工侧自检（TEMPORARY_EXECUTION_WRITER，Founder依§11.3指派；Codex执行面网络中断）· 2026-08-13 · execution_run_id=2fcbfed0-be7e-4b6f-938e-7f84109ab162 · parent=29899f92-c965-4c33-a020-8e7f781fe82d</w:t>
            </w:r>
          </w:p>
        </w:tc>
      </w:tr>
      <w:tr>
        <w:tc>
          <w:tcPr>
            <w:tcW w:type="dxa" w:w="5128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核验结论</w:t>
            </w:r>
          </w:p>
        </w:tc>
        <w:tc>
          <w:tcPr>
            <w:tcW w:type="dxa" w:w="5128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候选施工自检PASS — D-17—D-29、S1—S8与三项补丁均已落到锚点；M0顶层清单仍为14项。独立Guardian、ChatGPT总顾问、Founder签署与M0授权均未完成。</w:t>
            </w:r>
          </w:p>
        </w:tc>
      </w:tr>
    </w:tbl>
    <w:p/>
    <w:p>
      <w:pPr>
        <w:pStyle w:val="Heading1"/>
      </w:pPr>
      <w:r>
        <w:t>一、Founder 裁决落实矩阵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2564"/>
            <w:shd w:fill="EEF4F8"/>
          </w:tcPr>
          <w:p>
            <w:r>
              <w:rPr>
                <w:rFonts w:ascii="Microsoft YaHei" w:hAnsi="Microsoft YaHei" w:eastAsia="Microsoft YaHei"/>
                <w:b/>
                <w:color w:val="15384F"/>
                <w:sz w:val="18"/>
              </w:rPr>
              <w:t>裁决</w:t>
            </w:r>
          </w:p>
        </w:tc>
        <w:tc>
          <w:tcPr>
            <w:tcW w:type="dxa" w:w="2564"/>
            <w:shd w:fill="EEF4F8"/>
          </w:tcPr>
          <w:p>
            <w:r>
              <w:rPr>
                <w:rFonts w:ascii="Microsoft YaHei" w:hAnsi="Microsoft YaHei" w:eastAsia="Microsoft YaHei"/>
                <w:b/>
                <w:color w:val="15384F"/>
                <w:sz w:val="18"/>
              </w:rPr>
              <w:t>PRD 主要落点</w:t>
            </w:r>
          </w:p>
        </w:tc>
        <w:tc>
          <w:tcPr>
            <w:tcW w:type="dxa" w:w="2564"/>
            <w:shd w:fill="EEF4F8"/>
          </w:tcPr>
          <w:p>
            <w:r>
              <w:rPr>
                <w:rFonts w:ascii="Microsoft YaHei" w:hAnsi="Microsoft YaHei" w:eastAsia="Microsoft YaHei"/>
                <w:b/>
                <w:color w:val="15384F"/>
                <w:sz w:val="18"/>
              </w:rPr>
              <w:t>核验证据</w:t>
            </w:r>
          </w:p>
        </w:tc>
        <w:tc>
          <w:tcPr>
            <w:tcW w:type="dxa" w:w="2564"/>
            <w:shd w:fill="EEF4F8"/>
          </w:tcPr>
          <w:p>
            <w:r>
              <w:rPr>
                <w:rFonts w:ascii="Microsoft YaHei" w:hAnsi="Microsoft YaHei" w:eastAsia="Microsoft YaHei"/>
                <w:b/>
                <w:color w:val="15384F"/>
                <w:sz w:val="18"/>
              </w:rPr>
              <w:t>状态</w:t>
            </w:r>
          </w:p>
        </w:tc>
      </w:tr>
      <w:tr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D-17</w:t>
            </w:r>
          </w:p>
        </w:tc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1/4/6/7/8.7/13-15/附录</w:t>
            </w:r>
          </w:p>
        </w:tc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M11 Founder真实品牌注入优先路径＋Codex夹具回退；条件交付物与证据边界</w:t>
            </w:r>
          </w:p>
        </w:tc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PASS</w:t>
            </w:r>
          </w:p>
        </w:tc>
      </w:tr>
      <w:tr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D-18</w:t>
            </w:r>
          </w:p>
        </w:tc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8.6/8.7/10/16/附录</w:t>
            </w:r>
          </w:p>
        </w:tc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合成封闭未见品牌、夹具/隐藏池物理隔离；Founder数据禁入</w:t>
            </w:r>
          </w:p>
        </w:tc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PASS</w:t>
            </w:r>
          </w:p>
        </w:tc>
      </w:tr>
      <w:tr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D-19</w:t>
            </w:r>
          </w:p>
        </w:tc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12-15</w:t>
            </w:r>
          </w:p>
        </w:tc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M12 Commercial V1.0命名、M0—M12顺序与关键路径保持</w:t>
            </w:r>
          </w:p>
        </w:tc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PASS</w:t>
            </w:r>
          </w:p>
        </w:tc>
      </w:tr>
      <w:tr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D-20</w:t>
            </w:r>
          </w:p>
        </w:tc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1/3/4/5/6/7/8/9/10/11/13-16/附录</w:t>
            </w:r>
          </w:p>
        </w:tc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C-13、人设对象、连续性合同、评测、组件、风险与里程碑</w:t>
            </w:r>
          </w:p>
        </w:tc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PASS</w:t>
            </w:r>
          </w:p>
        </w:tc>
      </w:tr>
      <w:tr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D-21</w:t>
            </w:r>
          </w:p>
        </w:tc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1/3/4/5/6/7/8/9/10/11/13-16/附录</w:t>
            </w:r>
          </w:p>
        </w:tc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C-14、原生语感对象/指标/反模板合同与M7验收</w:t>
            </w:r>
          </w:p>
        </w:tc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PASS</w:t>
            </w:r>
          </w:p>
        </w:tc>
      </w:tr>
      <w:tr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D-22</w:t>
            </w:r>
          </w:p>
        </w:tc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3/5/7/11/13-16/附录</w:t>
            </w:r>
          </w:p>
        </w:tc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VisualMerchandisingExtensionPort及兼容原则；非V1.0/M12硬门</w:t>
            </w:r>
          </w:p>
        </w:tc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PASS</w:t>
            </w:r>
          </w:p>
        </w:tc>
      </w:tr>
      <w:tr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D-23</w:t>
            </w:r>
          </w:p>
        </w:tc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1/3/5/6/7/8/10/11/13-16/附录</w:t>
            </w:r>
          </w:p>
        </w:tc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C-15、图片/属性对象、证据优先级、禁止推断、评测与流水线</w:t>
            </w:r>
          </w:p>
        </w:tc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PASS</w:t>
            </w:r>
          </w:p>
        </w:tc>
      </w:tr>
      <w:tr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D-24</w:t>
            </w:r>
          </w:p>
        </w:tc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3/4/5/7/11/13-16/附录</w:t>
            </w:r>
          </w:p>
        </w:tc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S-07保留导购辅助投影，RealtimeSalesAssistExtensionPort保留扩展兼容</w:t>
            </w:r>
          </w:p>
        </w:tc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PASS</w:t>
            </w:r>
          </w:p>
        </w:tc>
      </w:tr>
      <w:tr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D-25</w:t>
            </w:r>
          </w:p>
        </w:tc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3/6/7/10/11/13-16/附录</w:t>
            </w:r>
          </w:p>
        </w:tc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默认human_review；Founder授权auto_publish、审计/撤回/回滚/Kill Switch；非M12必须实现</w:t>
            </w:r>
          </w:p>
        </w:tc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PASS</w:t>
            </w:r>
          </w:p>
        </w:tc>
      </w:tr>
      <w:tr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D-26</w:t>
            </w:r>
          </w:p>
        </w:tc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3/7/10/13-15/附录</w:t>
            </w:r>
          </w:p>
        </w:tc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M11至少三类不变；正式真实品牌导入前五类100%可开启就绪</w:t>
            </w:r>
          </w:p>
        </w:tc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PASS</w:t>
            </w:r>
          </w:p>
        </w:tc>
      </w:tr>
      <w:tr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D-27</w:t>
            </w:r>
          </w:p>
        </w:tc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8.7/11/16/17/治理与CI</w:t>
            </w:r>
          </w:p>
        </w:tc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单一规范源、角色投影与GitHub Actions确定性守卫；主仓禁止真实品牌/顾客/隐藏内容</w:t>
            </w:r>
          </w:p>
        </w:tc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PASS</w:t>
            </w:r>
          </w:p>
        </w:tc>
      </w:tr>
      <w:tr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D-28</w:t>
            </w:r>
          </w:p>
        </w:tc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3.3/P-14、M2/M3/M4/M5/M6/M10、10.2、16.1 R-22、16.2、附录B</w:t>
            </w:r>
          </w:p>
        </w:tc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合理多解原则：评测三分类、②③类禁唯一Gold Answer、可接受决策边界、合法多解族与决策逻辑稳定率</w:t>
            </w:r>
          </w:p>
        </w:tc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PASS</w:t>
            </w:r>
          </w:p>
        </w:tc>
      </w:tr>
      <w:tr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D-29</w:t>
            </w:r>
          </w:p>
        </w:tc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M6目标/交付物/通过标准、11.1组件、16.2</w:t>
            </w:r>
          </w:p>
        </w:tc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M6反退化验收：硬约束确定性执行、LLM-off不变性可重放、DecisionTrace规则归因；禁纯Prompt/RAG端到端直答</w:t>
            </w:r>
          </w:p>
        </w:tc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PASS</w:t>
            </w:r>
          </w:p>
        </w:tc>
      </w:tr>
      <w:tr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S1—S8</w:t>
            </w:r>
          </w:p>
        </w:tc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8/10/15/16/治理文件</w:t>
            </w:r>
          </w:p>
        </w:tc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基线锚定、单次v1.2签署、单一Founder、角色降级、隐藏隔离、工作区佐证、任务分级与Cowork归位</w:t>
            </w:r>
          </w:p>
        </w:tc>
        <w:tc>
          <w:tcPr>
            <w:tcW w:type="dxa" w:w="2564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PASS</w:t>
            </w:r>
          </w:p>
        </w:tc>
      </w:tr>
    </w:tbl>
    <w:p/>
    <w:p>
      <w:pPr>
        <w:pStyle w:val="Heading1"/>
      </w:pPr>
      <w:r>
        <w:t>二、一致性核验结果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  <w:shd w:fill="EEF4F8"/>
          </w:tcPr>
          <w:p>
            <w:r>
              <w:rPr>
                <w:rFonts w:ascii="Microsoft YaHei" w:hAnsi="Microsoft YaHei" w:eastAsia="Microsoft YaHei"/>
                <w:b/>
                <w:color w:val="15384F"/>
                <w:sz w:val="18"/>
              </w:rPr>
              <w:t>核验域</w:t>
            </w:r>
          </w:p>
        </w:tc>
        <w:tc>
          <w:tcPr>
            <w:tcW w:type="dxa" w:w="3419"/>
            <w:shd w:fill="EEF4F8"/>
          </w:tcPr>
          <w:p>
            <w:r>
              <w:rPr>
                <w:rFonts w:ascii="Microsoft YaHei" w:hAnsi="Microsoft YaHei" w:eastAsia="Microsoft YaHei"/>
                <w:b/>
                <w:color w:val="15384F"/>
                <w:sz w:val="18"/>
              </w:rPr>
              <w:t>证据</w:t>
            </w:r>
          </w:p>
        </w:tc>
        <w:tc>
          <w:tcPr>
            <w:tcW w:type="dxa" w:w="3419"/>
            <w:shd w:fill="EEF4F8"/>
          </w:tcPr>
          <w:p>
            <w:r>
              <w:rPr>
                <w:rFonts w:ascii="Microsoft YaHei" w:hAnsi="Microsoft YaHei" w:eastAsia="Microsoft YaHei"/>
                <w:b/>
                <w:color w:val="15384F"/>
                <w:sz w:val="18"/>
              </w:rPr>
              <w:t>结果</w:t>
            </w:r>
          </w:p>
        </w:tc>
      </w:tr>
      <w:tr>
        <w:tc>
          <w:tcPr>
            <w:tcW w:type="dxa" w:w="3419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M0十四项</w:t>
            </w:r>
          </w:p>
        </w:tc>
        <w:tc>
          <w:tcPr>
            <w:tcW w:type="dxa" w:w="3419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PRD第13/14/17.1节与M0申请均为同一组14项；无18项版回潮</w:t>
            </w:r>
          </w:p>
        </w:tc>
        <w:tc>
          <w:tcPr>
            <w:tcW w:type="dxa" w:w="3419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PASS</w:t>
            </w:r>
          </w:p>
        </w:tc>
      </w:tr>
      <w:tr>
        <w:tc>
          <w:tcPr>
            <w:tcW w:type="dxa" w:w="3419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输入/输出对象</w:t>
            </w:r>
          </w:p>
        </w:tc>
        <w:tc>
          <w:tcPr>
            <w:tcW w:type="dxa" w:w="3419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12个输入与配置对象；15个输出与内部审计对象；M1映射数量同步</w:t>
            </w:r>
          </w:p>
        </w:tc>
        <w:tc>
          <w:tcPr>
            <w:tcW w:type="dxa" w:w="3419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PASS</w:t>
            </w:r>
          </w:p>
        </w:tc>
      </w:tr>
      <w:tr>
        <w:tc>
          <w:tcPr>
            <w:tcW w:type="dxa" w:w="3419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目标→FR→门→里程碑</w:t>
            </w:r>
          </w:p>
        </w:tc>
        <w:tc>
          <w:tcPr>
            <w:tcW w:type="dxa" w:w="3419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D-17—D-29新增内容逐项重跑：G-11—G-15→FR-22—FR-30→八门/硬门/10.2指标→M0—M12锚点</w:t>
            </w:r>
          </w:p>
        </w:tc>
        <w:tc>
          <w:tcPr>
            <w:tcW w:type="dxa" w:w="3419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PASS</w:t>
            </w:r>
          </w:p>
        </w:tc>
      </w:tr>
      <w:tr>
        <w:tc>
          <w:tcPr>
            <w:tcW w:type="dxa" w:w="3419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旧措辞残留</w:t>
            </w:r>
          </w:p>
        </w:tc>
        <w:tc>
          <w:tcPr>
            <w:tcW w:type="dxa" w:w="3419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自动发布永久禁止、图像理解永久排除等8类废弃表达检索为0</w:t>
            </w:r>
          </w:p>
        </w:tc>
        <w:tc>
          <w:tcPr>
            <w:tcW w:type="dxa" w:w="3419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PASS</w:t>
            </w:r>
          </w:p>
        </w:tc>
      </w:tr>
      <w:tr>
        <w:tc>
          <w:tcPr>
            <w:tcW w:type="dxa" w:w="3419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版本/编号</w:t>
            </w:r>
          </w:p>
        </w:tc>
        <w:tc>
          <w:tcPr>
            <w:tcW w:type="dxa" w:w="3419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封面、页眉、版本记录、M0申请ID、回执ID、README均为v1.2/003；v1.1仍在根目录待签署状态</w:t>
            </w:r>
          </w:p>
        </w:tc>
        <w:tc>
          <w:tcPr>
            <w:tcW w:type="dxa" w:w="3419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PASS</w:t>
            </w:r>
          </w:p>
        </w:tc>
      </w:tr>
      <w:tr>
        <w:tc>
          <w:tcPr>
            <w:tcW w:type="dxa" w:w="3419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M11/M12</w:t>
            </w:r>
          </w:p>
        </w:tc>
        <w:tc>
          <w:tcPr>
            <w:tcW w:type="dxa" w:w="3419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M11双路径与条件交付完整；M12五品类激活就绪与发布兼容完整</w:t>
            </w:r>
          </w:p>
        </w:tc>
        <w:tc>
          <w:tcPr>
            <w:tcW w:type="dxa" w:w="3419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PASS</w:t>
            </w:r>
          </w:p>
        </w:tc>
      </w:tr>
      <w:tr>
        <w:tc>
          <w:tcPr>
            <w:tcW w:type="dxa" w:w="3419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单一Founder治理</w:t>
            </w:r>
          </w:p>
        </w:tc>
        <w:tc>
          <w:tcPr>
            <w:tcW w:type="dxa" w:w="3419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角色票数、工作区隔离、L1/L2/L3、降级、条件关闭、合规逐项台账与非外部评审声明完整</w:t>
            </w:r>
          </w:p>
        </w:tc>
        <w:tc>
          <w:tcPr>
            <w:tcW w:type="dxa" w:w="3419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PASS</w:t>
            </w:r>
          </w:p>
        </w:tc>
      </w:tr>
      <w:tr>
        <w:tc>
          <w:tcPr>
            <w:tcW w:type="dxa" w:w="3419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Project CI/隐藏边界</w:t>
            </w:r>
          </w:p>
        </w:tc>
        <w:tc>
          <w:tcPr>
            <w:tcW w:type="dxa" w:w="3419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单一规范源及投影完整；主仓仅允许隐藏基准清单/接口/结果摘要，不含隐藏正文</w:t>
            </w:r>
          </w:p>
        </w:tc>
        <w:tc>
          <w:tcPr>
            <w:tcW w:type="dxa" w:w="3419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PASS</w:t>
            </w:r>
          </w:p>
        </w:tc>
      </w:tr>
      <w:tr>
        <w:tc>
          <w:tcPr>
            <w:tcW w:type="dxa" w:w="3419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合理多解与反退化</w:t>
            </w:r>
          </w:p>
        </w:tc>
        <w:tc>
          <w:tcPr>
            <w:tcW w:type="dxa" w:w="3419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三分类合同、可接受决策边界、合法多解族、10.2指标更名（阈值≥85%不变）、R-22与两条停止条件、M6架构符合性三条均已落到锚点</w:t>
            </w:r>
          </w:p>
        </w:tc>
        <w:tc>
          <w:tcPr>
            <w:tcW w:type="dxa" w:w="3419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PASS</w:t>
            </w:r>
          </w:p>
        </w:tc>
      </w:tr>
      <w:tr>
        <w:tc>
          <w:tcPr>
            <w:tcW w:type="dxa" w:w="3419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编号不重排</w:t>
            </w:r>
          </w:p>
        </w:tc>
        <w:tc>
          <w:tcPr>
            <w:tcW w:type="dxa" w:w="3419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补充Prompt文字中的P-10/R-15已被D-20—D-26占用，本版落为P-14/R-22；既有P-01—P-13、R-01—R-21与FR/G/C编号一律未重排</w:t>
            </w:r>
          </w:p>
        </w:tc>
        <w:tc>
          <w:tcPr>
            <w:tcW w:type="dxa" w:w="3419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PASS</w:t>
            </w:r>
          </w:p>
        </w:tc>
      </w:tr>
      <w:tr>
        <w:tc>
          <w:tcPr>
            <w:tcW w:type="dxa" w:w="3419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DOCX包与可打开性</w:t>
            </w:r>
          </w:p>
        </w:tc>
        <w:tc>
          <w:tcPr>
            <w:tcW w:type="dxa" w:w="3419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三份DOCX通过ZIP/OOXML完整性、python-docx打开、LibreOffice PDF渲染与抽检</w:t>
            </w:r>
          </w:p>
        </w:tc>
        <w:tc>
          <w:tcPr>
            <w:tcW w:type="dxa" w:w="3419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PASS</w:t>
            </w:r>
          </w:p>
        </w:tc>
      </w:tr>
      <w:tr>
        <w:tc>
          <w:tcPr>
            <w:tcW w:type="dxa" w:w="3419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Checker</w:t>
            </w:r>
          </w:p>
        </w:tc>
        <w:tc>
          <w:tcPr>
            <w:tcW w:type="dxa" w:w="3419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工具/check_prd_v1_2.py全项通过；哈希写入最终交付报告</w:t>
            </w:r>
          </w:p>
        </w:tc>
        <w:tc>
          <w:tcPr>
            <w:tcW w:type="dxa" w:w="3419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PASS</w:t>
            </w:r>
          </w:p>
        </w:tc>
      </w:tr>
    </w:tbl>
    <w:p/>
    <w:p>
      <w:pPr>
        <w:pStyle w:val="Heading1"/>
      </w:pPr>
      <w:r>
        <w:t>三、待 Founder 审阅与签署</w:t>
      </w:r>
    </w:p>
    <w:p>
      <w:pPr>
        <w:pStyle w:val="ListParagraph"/>
      </w:pPr>
      <w:r>
        <w:t>• 本回执的PASS仅表示文档落文与一致性核验通过，不表示PRD v1.2已生效。</w:t>
      </w:r>
    </w:p>
    <w:p>
      <w:pPr>
        <w:pStyle w:val="ListParagraph"/>
      </w:pPr>
      <w:r>
        <w:t>• Founder须分别签署PRD v1.2与M0执行申请v1.2（DIYU-CBFSK-EXEC-REQ-M0-003），才能另行开始M0。</w:t>
      </w:r>
    </w:p>
    <w:p>
      <w:pPr>
        <w:pStyle w:val="ListParagraph"/>
      </w:pPr>
      <w:r>
        <w:t>• 本轮没有需要Founder重新裁决的内部冲突；M2_FREEZE_REQUIRED指标的具体质量阈值依合同留待M2冻结，不是本轮未落文项。</w:t>
      </w:r>
    </w:p>
    <w:p>
      <w:pPr>
        <w:pStyle w:val="ListParagraph"/>
      </w:pPr>
      <w:r>
        <w:t>• 独立Guardian与ChatGPT总顾问尚未完成正式审查；本回执不得被解释为其PASS或外部独立验证。</w:t>
      </w:r>
    </w:p>
    <w:p>
      <w:pPr>
        <w:pStyle w:val="ListParagraph"/>
      </w:pPr>
      <w:r>
        <w:t>• 本轮候选由Founder依执行Prompt §11.3指派的TEMPORARY_EXECUTION_WRITER落盘（Codex执行面网络中断）；Codex作为默认唯一常规写入者的长期规则未改变，Codex恢复后是否复核由Founder另行裁决，本回执不代为假定。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  <w:shd w:fill="EEF4F8"/>
          </w:tcPr>
          <w:p>
            <w:r>
              <w:rPr>
                <w:rFonts w:ascii="Microsoft YaHei" w:hAnsi="Microsoft YaHei" w:eastAsia="Microsoft YaHei"/>
                <w:b/>
                <w:color w:val="15384F"/>
                <w:sz w:val="18"/>
              </w:rPr>
              <w:t>裁决项</w:t>
            </w:r>
          </w:p>
        </w:tc>
        <w:tc>
          <w:tcPr>
            <w:tcW w:type="dxa" w:w="3419"/>
            <w:shd w:fill="EEF4F8"/>
          </w:tcPr>
          <w:p>
            <w:r>
              <w:rPr>
                <w:rFonts w:ascii="Microsoft YaHei" w:hAnsi="Microsoft YaHei" w:eastAsia="Microsoft YaHei"/>
                <w:b/>
                <w:color w:val="15384F"/>
                <w:sz w:val="18"/>
              </w:rPr>
              <w:t>结果（圈选）</w:t>
            </w:r>
          </w:p>
        </w:tc>
        <w:tc>
          <w:tcPr>
            <w:tcW w:type="dxa" w:w="3419"/>
            <w:shd w:fill="EEF4F8"/>
          </w:tcPr>
          <w:p>
            <w:r>
              <w:rPr>
                <w:rFonts w:ascii="Microsoft YaHei" w:hAnsi="Microsoft YaHei" w:eastAsia="Microsoft YaHei"/>
                <w:b/>
                <w:color w:val="15384F"/>
                <w:sz w:val="18"/>
              </w:rPr>
              <w:t>签署</w:t>
            </w:r>
          </w:p>
        </w:tc>
      </w:tr>
      <w:tr>
        <w:tc>
          <w:tcPr>
            <w:tcW w:type="dxa" w:w="3419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PRD v1.2整体采纳</w:t>
            </w:r>
          </w:p>
        </w:tc>
        <w:tc>
          <w:tcPr>
            <w:tcW w:type="dxa" w:w="3419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PASS ／ CONDITIONAL ／ BLOCK</w:t>
            </w:r>
          </w:p>
        </w:tc>
        <w:tc>
          <w:tcPr>
            <w:tcW w:type="dxa" w:w="3419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Founder：____________  日期：____________</w:t>
            </w:r>
          </w:p>
        </w:tc>
      </w:tr>
      <w:tr>
        <w:tc>
          <w:tcPr>
            <w:tcW w:type="dxa" w:w="3419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M0执行申请v1.2授权</w:t>
            </w:r>
          </w:p>
        </w:tc>
        <w:tc>
          <w:tcPr>
            <w:tcW w:type="dxa" w:w="3419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APPROVE ／ APPROVE_WITH_CONDITIONS ／ REJECT</w:t>
            </w:r>
          </w:p>
        </w:tc>
        <w:tc>
          <w:tcPr>
            <w:tcW w:type="dxa" w:w="3419"/>
          </w:tcPr>
          <w:p>
            <w:r>
              <w:rPr>
                <w:rFonts w:ascii="Microsoft YaHei" w:hAnsi="Microsoft YaHei" w:eastAsia="Microsoft YaHei"/>
                <w:color w:val="172033"/>
                <w:sz w:val="17"/>
              </w:rPr>
              <w:t>Founder：____________  日期：____________</w:t>
            </w:r>
          </w:p>
        </w:tc>
      </w:tr>
    </w:tbl>
    <w:p/>
    <w:p>
      <w:pPr>
        <w:pStyle w:val="Heading1"/>
      </w:pPr>
      <w:r>
        <w:t>四、最终状态</w:t>
      </w:r>
    </w:p>
    <w:p>
      <w:r>
        <w:rPr>
          <w:rFonts w:ascii="Consolas" w:hAnsi="Consolas"/>
          <w:sz w:val="19"/>
        </w:rPr>
        <w:t>prd_v1_2_documentation_status: READY_FOR_GUARDIAN</w:t>
        <w:br/>
        <w:t>prd_v1_2_effective: false</w:t>
        <w:br/>
        <w:t>m0_authorized: false</w:t>
        <w:br/>
        <w:t>engineering_execution_started: false</w:t>
        <w:br/>
        <w:t>knowledge_distillation_started: false</w:t>
        <w:br/>
        <w:t>production_servable: false</w:t>
        <w:br/>
        <w:t>execution_run_id: 2fcbfed0-be7e-4b6f-938e-7f84109ab162</w:t>
        <w:br/>
        <w:t>guardian_review_completed: false</w:t>
        <w:br/>
        <w:t>chatgpt_remote_review_completed: false</w:t>
        <w:br/>
        <w:t>founder_prd_signed: false</w:t>
        <w:br/>
        <w:t>main_merged: false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5" w:right="935" w:bottom="879" w:left="1049" w:header="397" w:footer="39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SC" w:hAnsi="Noto Sans CJK SC" w:eastAsia="Noto Sans CJK SC"/>
        <w:color w:val="718096"/>
        <w:sz w:val="17"/>
      </w:rPr>
      <w:t xml:space="preserve">第 </w:t>
      <w:fldChar w:fldCharType="begin"/>
      <w:instrText xml:space="preserve">PAGE</w:instrText>
      <w:fldChar w:fldCharType="end"/>
    </w:r>
    <w:r>
      <w:rPr>
        <w:rFonts w:ascii="Noto Sans CJK SC" w:hAnsi="Noto Sans CJK SC" w:eastAsia="Noto Sans CJK SC"/>
        <w:color w:val="718096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Noto Sans CJK SC" w:hAnsi="Noto Sans CJK SC" w:eastAsia="Noto Sans CJK SC"/>
        <w:b w:val="0"/>
        <w:color w:val="718096"/>
        <w:sz w:val="16"/>
      </w:rPr>
      <w:t>DIYU-CBFSK-001  |  PRD v1.2 核验回执  |  VERIFY-RECEIPT-001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  <w:widowControl/>
    </w:pPr>
    <w:rPr>
      <w:rFonts w:ascii="Noto Sans CJK SC" w:hAnsi="Noto Sans CJK SC" w:eastAsia="Noto Sans CJK SC"/>
      <w:sz w:val="20"/>
      <w:lang w:eastAsia="zh-CN" w:val="zh-C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widowControl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365F91" w:themeColor="accent1" w:themeShade="BF"/>
      <w:sz w:val="28"/>
      <w:szCs w:val="28"/>
      <w:lang w:eastAsia="zh-CN" w:val="zh-C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widowControl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4F81BD" w:themeColor="accent1"/>
      <w:sz w:val="26"/>
      <w:szCs w:val="26"/>
      <w:lang w:eastAsia="zh-CN" w:val="zh-C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widowControl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4F81BD" w:themeColor="accent1"/>
      <w:lang w:eastAsia="zh-CN" w:val="zh-C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PRD v1.2 核验回执</dc:title>
  <dc:subject>D-17—D-29、S1—S8与治理合同的候选落文核验</dc:subject>
  <dc:creator>笛语项目组</dc:creator>
  <cp:keywords>笛语, 跨品牌, 跨品类, 服装搭配, 专家内核, PRD, Claude Code, 知识蒸馏</cp:keywords>
  <dc:description>EXECUTION_RUN_ID=2fcbfed0-be7e-4b6f-938e-7f84109ab162; READY_FOR_GUARDIAN; PRD not effective; M0 not authorized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