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50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PRD v1.1 核验回执</w:t>
      </w:r>
    </w:p>
    <w:p>
      <w:pPr>
        <w:spacing w:after="250"/>
        <w:jc w:val="center"/>
      </w:pPr>
      <w:r>
        <w:rPr>
          <w:rFonts w:ascii="Microsoft YaHei" w:cs="Microsoft YaHei" w:eastAsia="Microsoft YaHei" w:hAnsi="Microsoft YaHei"/>
          <w:b/>
          <w:bCs/>
          <w:color w:val="2E4E8C"/>
          <w:sz w:val="23"/>
          <w:szCs w:val="23"/>
        </w:rPr>
        <w:t xml:space="preserve">DIYU-CBFSK-001 · 对 v1.1 全文的裁决落实核验与自洽核验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控制项</w:t>
            </w:r>
          </w:p>
        </w:tc>
        <w:tc>
          <w:tcPr>
            <w:tcW w:type="dxa" w:w="71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回执 ID</w:t>
            </w:r>
          </w:p>
        </w:tc>
        <w:tc>
          <w:tcPr>
            <w:tcW w:type="dxa" w:w="7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DIYU-CBFSK-PRD-V1.1-VERIFY-RECEIPT-001</w:t>
            </w:r>
          </w:p>
        </w:tc>
      </w:tr>
      <w:tr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核验对象</w:t>
            </w:r>
          </w:p>
        </w:tc>
        <w:tc>
          <w:tcPr>
            <w:tcW w:type="dxa" w:w="7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笛语跨品牌服装搭配专家内核_PRD与执行里程碑_v1.1.docx（Founder 上传版）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核验依据</w:t>
            </w:r>
          </w:p>
        </w:tc>
        <w:tc>
          <w:tcPr>
            <w:tcW w:type="dxa" w:w="7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v1.1 Delta（DIYU-CBFSK-PRD-DELTA-v1.1-002，16 条 D-01～D-16 + 21 行映射表）＋ 全部 Founder 裁决记录 ＋ 原审查报告（12 断点 / 7 疏漏）</w:t>
            </w:r>
          </w:p>
        </w:tc>
      </w:tr>
      <w:tr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核验方式</w:t>
            </w:r>
          </w:p>
        </w:tc>
        <w:tc>
          <w:tcPr>
            <w:tcW w:type="dxa" w:w="7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全文逐节比对 + 约 45 项检查点核验矩阵 + 残留措辞全文检索 + 数字复核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核验人 / 日期</w:t>
            </w:r>
          </w:p>
        </w:tc>
        <w:tc>
          <w:tcPr>
            <w:tcW w:type="dxa" w:w="71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Claude（Cowork 执行侧，Guardian 式独立核验）· 2026-08-13</w:t>
            </w:r>
          </w:p>
        </w:tc>
      </w:tr>
      <w:tr>
        <w:tc>
          <w:tcPr>
            <w:tcW w:type="dxa" w:w="19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核验结论</w:t>
            </w:r>
          </w:p>
        </w:tc>
        <w:tc>
          <w:tcPr>
            <w:tcW w:type="dxa" w:w="71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CONDITIONAL PASS —— 16 条 Delta 全部落实、21 行映射全部应用、原 12 断点与 7 疏漏全部闭合；发现 5 处纯机械性残留措辞（已由 Claude 修复并落盘修正版）；剩余 4 处【建议默认】标记依合同须由 Founder 签署确认后方为完全冻结。</w:t>
            </w:r>
          </w:p>
        </w:tc>
      </w:tr>
    </w:tbl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7"/>
          <w:szCs w:val="27"/>
        </w:rPr>
        <w:t xml:space="preserve">一、裁决落实核验矩阵（摘要）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326"/>
        <w:gridCol w:w="120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核验域</w:t>
            </w:r>
          </w:p>
        </w:tc>
        <w:tc>
          <w:tcPr>
            <w:tcW w:type="dxa" w:w="53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检查点</w:t>
            </w:r>
          </w:p>
        </w:tc>
        <w:tc>
          <w:tcPr>
            <w:tcW w:type="dxa" w:w="1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D-01/02 独立解耦与预算改判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状态合同两项新状态；不依赖清单；集成方向与组件清单；CSO 边界；125–185 / 15–24 默认；复用降级；对账结论与工期结论明文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D-03 M0 唯一清单</w:t>
            </w:r>
          </w:p>
        </w:tc>
        <w:tc>
          <w:tcPr>
            <w:tcW w:type="dxa" w:w="5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14 项交付物在 13 节、14 节、17.1 三处完全一致；四项 Founder 裁决写入正文的处理方式已明文说明</w:t>
            </w:r>
          </w:p>
        </w:tc>
        <w:tc>
          <w:tcPr>
            <w:tcW w:type="dxa" w:w="1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D-04 Schema 补齐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brand_truth_pack、individual_profile（双模式位）、11 输出对象 Schema 或 Bundle、输入对象映射表；M1 通过标准含“全部可寻址”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D-05 语料与夹具工作流</w:t>
            </w:r>
          </w:p>
        </w:tc>
        <w:tc>
          <w:tcPr>
            <w:tcW w:type="dxa" w:w="5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8.7 新章节：夹具/隐藏合成路径、隔离条款、同质性控制、时序责任、成本口径、固有局限；另自增合成资产显式标记条款（合理强化）</w:t>
            </w:r>
          </w:p>
        </w:tc>
        <w:tc>
          <w:tcPr>
            <w:tcW w:type="dxa" w:w="1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D-06 投资阶梯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Discovery 准备度门 / 限额 POC 证据批次拆分；关键路径交付物；“判据缺失不得进 M4”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D-07 合规</w:t>
            </w:r>
          </w:p>
        </w:tc>
        <w:tc>
          <w:tcPr>
            <w:tcW w:type="dxa" w:w="5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八道门含 Safety &amp; Compliance Gate；硬门映射要求；M0 合规合同；六项核验清单含法规名；M2 前首轮核验；15.3 增法务角色；R-11</w:t>
            </w:r>
          </w:p>
        </w:tc>
        <w:tc>
          <w:tcPr>
            <w:tcW w:type="dxa" w:w="1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D-08 施工归属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FR-21；S-07 承诺级别注记；FR-18/19 对比解释；11.1 诊断承接注记；FR-20→M12 feedback_to_candidate_ledger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D-09 评测治理</w:t>
            </w:r>
          </w:p>
        </w:tc>
        <w:tc>
          <w:tcPr>
            <w:tcW w:type="dxa" w:w="5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M2 三件套（评分者校准/抽样设计/基线修订协议）＋泄漏＋同质性双检查；R-12/R-13/R-14 全部采纳；停止条件新增两条</w:t>
            </w:r>
          </w:p>
        </w:tc>
        <w:tc>
          <w:tcPr>
            <w:tcW w:type="dxa" w:w="1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D-10～D-15 Founder 裁决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NFR-08 模型无关合同；6.1 个体资料双模式全文；3.2 商品属性来源与全周期人工发布两条非目标；15.5 试点覆盖规则与 KPI 口径；15.6 八行决策节点表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D-16 M11 改判</w:t>
            </w:r>
          </w:p>
        </w:tc>
        <w:tc>
          <w:tcPr>
            <w:tcW w:type="dxa" w:w="53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M11 更名仿真试点/仿真运行门；仍证明与不再证明清单；补验批次合同为 M11 交付物；宣称限制；M8 注记；硬门不放松；术语表 8 个新词</w:t>
            </w:r>
          </w:p>
        </w:tc>
        <w:tc>
          <w:tcPr>
            <w:tcW w:type="dxa" w:w="1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全部落实</w:t>
            </w:r>
          </w:p>
        </w:tc>
      </w:tr>
      <w:tr>
        <w:tc>
          <w:tcPr>
            <w:tcW w:type="dxa" w:w="2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数字复核</w:t>
            </w:r>
          </w:p>
        </w:tc>
        <w:tc>
          <w:tcPr>
            <w:tcW w:type="dxa" w:w="53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人月合计 124–184 与默认基线 125–185 自洽；工期 14–20 落于 15–24；八道门与 M12 通过标准一致；FR 编号至 FR-21 无冲突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通过</w:t>
            </w:r>
          </w:p>
        </w:tc>
      </w:tr>
    </w:tbl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7"/>
          <w:szCs w:val="27"/>
        </w:rPr>
        <w:t xml:space="preserve">二、发现并已修复的 5 处残留（纯机械，不含新决策）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400"/>
        <w:gridCol w:w="3100"/>
        <w:gridCol w:w="3106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残留</w:t>
            </w:r>
          </w:p>
        </w:tc>
        <w:tc>
          <w:tcPr>
            <w:tcW w:type="dxa" w:w="310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修正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12.2 关键依赖 M10→M11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“不得进入真实品牌规模试点”</w:t>
            </w:r>
          </w:p>
        </w:tc>
        <w:tc>
          <w:tcPr>
            <w:tcW w:type="dxa" w:w="31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“不得进入 M11 仿真试点”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12.2 关键依赖 M11→M12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“依据真实试点问题”</w:t>
            </w:r>
          </w:p>
        </w:tc>
        <w:tc>
          <w:tcPr>
            <w:tcW w:type="dxa" w:w="31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“依据仿真试点问题”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12.1 执行序列第 12 步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“真实货盘…综合门”</w:t>
            </w:r>
          </w:p>
        </w:tc>
        <w:tc>
          <w:tcPr>
            <w:tcW w:type="dxa" w:w="31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“仿真货盘约束…综合门”</w:t>
            </w:r>
          </w:p>
        </w:tc>
      </w:tr>
      <w:tr>
        <w:tc>
          <w:tcPr>
            <w:tcW w:type="dxa" w:w="42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15.4 专家审查量级</w:t>
            </w:r>
          </w:p>
        </w:tc>
        <w:tc>
          <w:tcPr>
            <w:tcW w:type="dxa" w:w="31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“分布于…真实试点”</w:t>
            </w:r>
          </w:p>
        </w:tc>
        <w:tc>
          <w:tcPr>
            <w:tcW w:type="dxa" w:w="310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“分布于…仿真试点与真实品牌补验批次”</w:t>
            </w:r>
          </w:p>
        </w:tc>
      </w:tr>
      <w:tr>
        <w:tc>
          <w:tcPr>
            <w:tcW w:type="dxa" w:w="4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17.1 清单注记</w:t>
            </w:r>
          </w:p>
        </w:tc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自引笔误“与13节M0、17.1完全一致”</w:t>
            </w:r>
          </w:p>
        </w:tc>
        <w:tc>
          <w:tcPr>
            <w:tcW w:type="dxa" w:w="310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“与13节M0、14节完全一致”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修正说明：以上 5 处均为 D-16 已裁决内容的旧措辞未同步，属机械修订，无新决策；已直接修复并落盘修正版 v1.1 文件（XML 校验通过，段落数不变）。保留合法的“真实”表述未动：产品能力承诺（G-04、6.4、立项结论）、历史引用（15.1 降级说明、M11 目标括注）与补验批次全部条款。</w:t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  <w:color w:val="1F3864"/>
          <w:sz w:val="27"/>
          <w:szCs w:val="27"/>
        </w:rPr>
        <w:t xml:space="preserve">三、完全冻结前剩余事项（须 Founder 签署）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确认或改判 4 处【建议默认】：① 4.4 S-07 承诺级别（导购辅助要点＝内容投影，非实时工具）；② 8.7 同质性控制；③ 15.6 端侧形态节点（M6 前）；④ 15.6 分场景时延节点（M6 冻结）。确认后应移除“待确认”字样。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形成 v1.1 采纳回执：按变更控制条款，v1.1 正式生效须有 Founder 明确 PASS 记录（本回执可作为核验依据附件）。</w:t>
      </w:r>
    </w:p>
    <w:p>
      <w:pPr>
        <w:pStyle w:val="ListParagraph"/>
        <w:numPr>
          <w:ilvl w:val="0"/>
          <w:numId w:val="2"/>
        </w:numPr>
        <w:spacing w:after="80" w:before="40" w:line="29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生效后签署 M0 执行申请（DIYU-CBFSK-EXEC-REQ-M0-001），启动唯一首任务。</w:t>
      </w:r>
    </w:p>
    <w:p>
      <w:pPr>
        <w:spacing w:after="150" w:before="60" w:line="300"/>
      </w:pPr>
      <w:r>
        <w:rPr>
          <w:rFonts w:ascii="Microsoft YaHei" w:cs="Microsoft YaHei" w:eastAsia="Microsoft YaHei" w:hAnsi="Microsoft YaHei"/>
          <w:color w:val="222222"/>
          <w:sz w:val="21"/>
          <w:szCs w:val="21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2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裁决项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结果（圈选）</w:t>
            </w:r>
          </w:p>
        </w:tc>
        <w:tc>
          <w:tcPr>
            <w:tcW w:type="dxa" w:w="2826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签署</w:t>
            </w:r>
          </w:p>
        </w:tc>
      </w:tr>
      <w:t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PRD v1.1（修正版）整体采纳</w:t>
            </w:r>
          </w:p>
        </w:tc>
        <w:tc>
          <w:tcPr>
            <w:tcW w:type="dxa" w:w="3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PASS ／ CONDITIONAL ／ BLOCK</w:t>
            </w:r>
          </w:p>
        </w:tc>
        <w:tc>
          <w:tcPr>
            <w:tcW w:type="dxa" w:w="282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Founder：＿＿＿＿＿＿　日期：＿＿＿＿＿＿</w:t>
            </w:r>
          </w:p>
        </w:tc>
      </w:tr>
      <w:tr>
        <w:tc>
          <w:tcPr>
            <w:tcW w:type="dxa" w:w="32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4 处建议默认</w:t>
            </w:r>
          </w:p>
        </w:tc>
        <w:tc>
          <w:tcPr>
            <w:tcW w:type="dxa" w:w="3000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全部确认 ／ 批注改判：＿＿＿＿＿＿</w:t>
            </w:r>
          </w:p>
        </w:tc>
        <w:tc>
          <w:tcPr>
            <w:tcW w:type="dxa" w:w="2826"/>
            <w:shd w:fill="F2F5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30" w:before="30" w:line="260"/>
            </w:pPr>
            <w:r>
              <w:rPr>
                <w:rFonts w:ascii="Microsoft YaHei" w:cs="Microsoft YaHei" w:eastAsia="Microsoft YaHei" w:hAnsi="Microsoft YaHei"/>
                <w:color w:val="222222"/>
                <w:sz w:val="19"/>
                <w:szCs w:val="19"/>
              </w:rPr>
              <w:t xml:space="preserve">Founder：＿＿＿＿＿＿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2026-08-13T01:29:51.265Z</dcterms:created>
  <dcterms:modified xsi:type="dcterms:W3CDTF">2026-08-13T01:29:51.280Z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