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8"/>
          <w:szCs w:val="38"/>
        </w:rPr>
        <w:t xml:space="preserve">笛语跨品牌服装搭配专家内核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28"/>
          <w:szCs w:val="28"/>
        </w:rPr>
        <w:t xml:space="preserve">PRD v1.1 Delta · 独立解耦与审查修复增量基线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7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Delta 文档 ID</w:t>
            </w:r>
          </w:p>
        </w:tc>
        <w:tc>
          <w:tcPr>
            <w:tcW w:type="dxa" w:w="7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DIYU-CBFSK-PRD-DELTA-v1.1-002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项目编号</w:t>
            </w:r>
          </w:p>
        </w:tc>
        <w:tc>
          <w:tcPr>
            <w:tcW w:type="dxa" w:w="7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DIYU-CBFSK-001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基线日期</w:t>
            </w:r>
          </w:p>
        </w:tc>
        <w:tc>
          <w:tcPr>
            <w:tcW w:type="dxa" w:w="7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2026-08-12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修订记录</w:t>
            </w:r>
          </w:p>
        </w:tc>
        <w:tc>
          <w:tcPr>
            <w:tcW w:type="dxa" w:w="7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001：初稿（15 条增量，第六部分两项边界待确认）。002：Founder 裁决两项边界后落文——夹具品牌先行顶替 M11（新增 D-16 与补验节点）、隐藏品牌走合成路径（D-05 隔离条款转为已裁决，新增同质性控制）。整体 PASS 仍待 Founder 签署。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7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DRAFT_FOR_FOUNDER_DECISION（Founder 裁决 PASS 后，本 Delta 与 PRD v1.0 合并生效为 PRD v1.1）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依据文件</w:t>
            </w:r>
          </w:p>
        </w:tc>
        <w:tc>
          <w:tcPr>
            <w:tcW w:type="dxa" w:w="7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① PRD v1.0（笛语跨品牌服装搭配专家内核_PRD与执行里程碑_v1.0.docx）② Work 交接基线 DIYU-CBFSK-WORK-HANDOFF-20260812-001 ③ PRD_v1.0_完整性与对齐性审查报告 ④ Founder 本轮裁决记录（模型供给、个体资料双模式、商品属性来源、发布终态、商业KPI、试点品类覆盖规则、夹具品牌合成）⑤ Founder 边界裁决（夹具先行顶替 M11；隐藏品牌也走合成路径）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优先级条款</w:t>
            </w:r>
          </w:p>
        </w:tc>
        <w:tc>
          <w:tcPr>
            <w:tcW w:type="dxa" w:w="7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在本 Delta 通过 Founder 裁决前，交接基线裁决优先于 PRD v1.0 中与之冲突的措辞（依据 Handoff 第十八节第 5 条）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起草与预审说明</w:t>
            </w:r>
          </w:p>
        </w:tc>
        <w:tc>
          <w:tcPr>
            <w:tcW w:type="dxa" w:w="7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本 Delta 由 Claude（Cowork 执行侧）依据上述文件综合起草。执行纪律中的 GPT 预审环节因执行侧网络故障，本次由 Claude 侧完成一致性校验并记录在案；此变通不改变决策权矩阵——业务与产品裁决权仍完全归 Founder。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原文件处置</w:t>
            </w:r>
          </w:p>
        </w:tc>
        <w:tc>
          <w:tcPr>
            <w:tcW w:type="dxa" w:w="7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v1.0 原文件保持不变（冻结基线不原地修改）；本 Delta 为版本增量文档，附第五部分逐条修改映射表供机械应用。</w:t>
            </w:r>
          </w:p>
        </w:tc>
      </w:tr>
    </w:tbl>
    <w:p>
      <w:pPr>
        <w:spacing w:after="120" w:before="20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条目状态标记（三态）：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006100"/>
          <w:sz w:val="21"/>
          <w:szCs w:val="21"/>
        </w:rPr>
        <w:t xml:space="preserve">【已裁决】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＝ Founder 已在 Handoff 或本轮对话中明确裁决，本 Delta 仅落文，不可由执行代理更改。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9C5700"/>
          <w:sz w:val="21"/>
          <w:szCs w:val="21"/>
        </w:rPr>
        <w:t xml:space="preserve">【建议默认·待裁决】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＝ 裁决未覆盖的空隙，本 Delta 按最合理方案填入默认值，Founder 裁决本 Delta 时可改判。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2E4E8C"/>
          <w:sz w:val="21"/>
          <w:szCs w:val="21"/>
        </w:rPr>
        <w:t xml:space="preserve">【后置＋节点】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＝ 按裁决允许后置，但已指派责任人与决策节点，不再处于无人负责状态。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第一部分　架构与预算改判（来源：Handoff 第十八节）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D-01　架构关系：与笛语系统底座解耦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项目状态合同（v1.0 第 1.4 节）新增两项状态：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ARCHITECTURE_RELATIONSHIP: STANDALONE_DECOUPLED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FUTURE_INTEGRATION_MODE: DIYU_FOUNDATION_CONSUMES_KERNEL_COMPONENTS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四个冻结键值（写入 M0 的 architecture_and_integration_boundary.v1.0.yaml）：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architecture_relationship: standalone_decoupled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default_delivery_mode: standalone_full_stack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future_integration_direction: diyu_foundation_consumes_kernel_components</w:t>
      </w:r>
    </w:p>
    <w:p>
      <w:pPr>
        <w:shd w:fill="F5F5F0" w:val="clear"/>
        <w:spacing w:after="2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default_effort_baseline: 125-185_person_months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本项目拥有独立的：项目空间/代码仓、产品合同、知识状态机、数据模型、隐藏评测、版本体系、发布节奏、多租户与权限设计、部署运维边界、商业化路线、里程碑与 Founder 裁决。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本项目不依赖笛语现有：P7C、Content Kernel、CandidatePack、Serving Projection、RAG、DIFY、当前 CSO 实现、现有内容扩量门。上述均不是本项目的依赖或验收对象。两者互不污染、互不翻转状态。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未来集成方向唯一合法路径：笛语系统底座通过版本化 API、SDK、Schema 或组件包，消费和复用本独立项目的能力；禁止把内核拆散复制进笛语现有模块、由底座重新定义其知识与决策合同。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底座优先复用组件清单：BrandResolver、CategoryRouter/CategoryAdapter、AudienceResolver、GarmentSemanticLayer、InventoryGroundingLayer、ConstraintEngine、CandidateComposer、StylingRanker、DecisionTraceEngine、NarrativeEngine、AccountProjector、EvaluationRunner，以及 Brand Truth Pack / Inventory Snapshot / Individual Profile / Styling Decision Trace 四类 Schema、知识状态机、未见品牌与未见品类评测体系。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CSO 集成边界：独立项目 NarrativeEngine 输出已受专业决策约束的 NarrativePackage，笛语 CSO 可做平台、人设、节奏和表达适配，但不得更改已接受专业结论、添加不存在的商品、虚构真实经历、为内容效果覆盖品类安全、或将高播放反馈直接写回专家知识真源。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连带效果：审查报告开放问题第 1、6 条（底座冻结边界如何继承、与既有主链模型裁决如何衔接）因解耦而消解——底座的既有裁决不再自动约束本项目。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D-02　工程量与工期默认基线改判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 旧口径</w:t>
            </w:r>
          </w:p>
        </w:tc>
        <w:tc>
          <w:tcPr>
            <w:tcW w:type="dxa" w:w="4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 新口径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默认执行路线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Commercial V1.0 复用笛语底座</w:t>
            </w:r>
          </w:p>
        </w:tc>
        <w:tc>
          <w:tcPr>
            <w:tcW w:type="dxa" w:w="4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独立完整建设（standalone_full_stack）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默认工程量</w:t>
            </w:r>
          </w:p>
        </w:tc>
        <w:tc>
          <w:tcPr>
            <w:tcW w:type="dxa" w:w="3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90–135 人月</w:t>
            </w:r>
          </w:p>
        </w:tc>
        <w:tc>
          <w:tcPr>
            <w:tcW w:type="dxa" w:w="4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125–185 人月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默认自然周期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12–18 个月</w:t>
            </w:r>
          </w:p>
        </w:tc>
        <w:tc>
          <w:tcPr>
            <w:tcW w:type="dxa" w:w="42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15–24 个月</w:t>
            </w:r>
          </w:p>
        </w:tc>
      </w:tr>
      <w:tr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复用口径地位</w:t>
            </w:r>
          </w:p>
        </w:tc>
        <w:tc>
          <w:tcPr>
            <w:tcW w:type="dxa" w:w="3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默认路径</w:t>
            </w:r>
          </w:p>
        </w:tc>
        <w:tc>
          <w:tcPr>
            <w:tcW w:type="dxa" w:w="42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降级为条件路线：仅当确认存在中立、无业务耦合、不形成对笛语底座强依赖的可复用基础设施时，经 Founder 裁决后重新计算增量工程量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对账结论：M0–M12 里程碑人月合计 124–184，与新默认基线 125–185 自洽。审查报告 5.1 节“人月总账不平”硬伤随本改判消除。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工期结论：审查报告 5.2 节按并行推算的 14–20 个月落在新区间 15–24 个月内，工期矛盾同步消除；M0 仍须交付关键路径图与判据（见 D-06），此要求不因区间放宽而取消。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团队配置维持：核心全职 8–10 人 + 外部专家组 6–10 名兼职；新增角色见 D-05、D-07。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第二部分　审查修复条目（来源：审查报告 + Founder 采纳的 v1.1 必修清单）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D-03　M0 唯一交付清单（三处清单统一）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v1.0 第 13 节、第 14 节、第 17.1 节的 M0/首任务清单互斥问题，以下面这份唯一清单替换三处，首任务交付物 = 本清单：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126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41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project_charter.v1.0.yaml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项目章程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capability_contract.v1.0.yaml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能力合同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category_scope_contract.v1.0.yaml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五类品类范围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input_output_boundary.v1.0.yaml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输入输出与事实优先级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role_and_decision_rights.v1.0.yaml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角色与裁决权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non_goals_and_stop_conditions.v1.0.yaml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非目标与停止条件（含 D-12/D-13 追加项）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knowledge_state_machine.v1.0.yaml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知识状态机（自 17.1 并入 M0 正式清单）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architecture_and_integration_boundary.v1.0.yaml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新增：独立解耦与集成边界合同（D-01 四键值 + 组件清单）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compliance_review_contract.v1.0.yaml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新增：合规核验合同——责任人、核验清单、决策时间表（D-07）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data_and_fixture_workflow.v1.0.yaml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新增：品牌档案、评测语料与夹具品牌工作流合同（D-05）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execution_critical_path_and_decision_gates.v1.0.yaml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新增：关键路径图 + Discovery 继续/转向/停止判据（D-06）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对象模型 Brief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 施工授权基础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评测冻结 Brief</w:t>
            </w:r>
          </w:p>
        </w:tc>
        <w:tc>
          <w:tcPr>
            <w:tcW w:type="dxa" w:w="4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施工授权基础</w:t>
            </w:r>
          </w:p>
        </w:tc>
      </w:tr>
      <w:tr>
        <w:tc>
          <w:tcPr>
            <w:tcW w:type="dxa" w:w="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4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checker / fixtures / report / receipt</w:t>
            </w:r>
          </w:p>
        </w:tc>
        <w:tc>
          <w:tcPr>
            <w:tcW w:type="dxa" w:w="4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M0 收口四件套</w:t>
            </w:r>
          </w:p>
        </w:tc>
      </w:tr>
    </w:tbl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D-04　Schema 交付承诺补齐（M1 清单增补）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新增 brand_truth_pack.schema.v0.1.json：品牌事实包结构（定位、核心与次级人群、价格带、风格坐标、廓形/色彩/面料/图案语言、身体关系与正式度、风险接受度、禁用规则、典型场景、本季策略、历史已接受案例）。这是 M10 未见品牌考试的“考卷格式”，必须在 M1 冻结。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新增 individual_profile.schema.v0.1.json：含双模式标记位与授权状态字段（联动 D-11）。Schema 前移至 M1（对象模型层），采集与授权流程合同仍留在 M9。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11 个正式输出对象逐个 Schema，或一个明确包含全部对象的 StylingResultBundle.schema.v0.1.json 整包，二选一由 M1 执行时确定；验收标准：v1.0 第 6.2 节的 11 个输出对象在 Schema 层全部可寻址，无一遗漏。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新增输入对象覆盖映射表：7 个输入对象 ↔ Schema/合同文件一一对应（UniversalExpertKernel 与 CategoryAdapter 为合同文件而非数据 Schema，在映射表中注明即可）。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D-05　品牌档案、评测语料与夹具品牌工作流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解决审查报告“数据冷启动无主”疏漏，并落文 Founder 夹具品牌与隐藏品牌两项裁决。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006100"/>
          <w:sz w:val="21"/>
          <w:szCs w:val="21"/>
        </w:rPr>
        <w:t xml:space="preserve">【已裁决】夹具品牌供给路径：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试点三品类所需的品牌数据内容由 Codex 模拟合成，经 Claude Code 完整性审核后，冻结为系统的夹具品牌（Fixture Brand）。用途：M1–M6 开发调试、M6 golden/negative/boundary fixtures、非隐藏回归评测、M3–M6 知识引出所需的仿真货盘、M11 仿真试点运行（D-16）。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006100"/>
          <w:sz w:val="21"/>
          <w:szCs w:val="21"/>
        </w:rPr>
        <w:t xml:space="preserve">【已裁决】隐藏品牌合成路径：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30–50 个隐藏未见品牌同样由合成路径建设。隔离条款随之生效：合成与审核必须在 Guardian 侧独立工作区完成，产物只进入冻结隐藏集；合成脚本、参数与随机种子入 Receipt；任何夹具品牌数据或其合成会话不得复用于隐藏集，反之亦然。违反即触发停止条件（见第五部分第 16 行）。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9C5700"/>
          <w:sz w:val="21"/>
          <w:szCs w:val="21"/>
        </w:rPr>
        <w:t xml:space="preserve">【建议默认】同质性控制：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考卷与教材同为合成时，最大风险是“题和练习出自同一口锅”——系统可能只学会合成腔，而非真实迁移能力。控制手段：夹具池与隐藏池必须使用不同的生成配方与参数空间；隐藏池须覆盖夹具池未使用的风格坐标区域；Guardian 出同质性检查报告；M2 泄漏检查扩展为“泄漏＋同质性”双检查。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时序与责任：M0 在 data_and_fixture_workflow 合同中指定“语料与档案建设负责人”；30–50 个隐藏品牌在 M2 冻结前建成；120–180 个参考品牌档案 M1–M5 渐进建设，不必全部挤进 M2；仿真货盘与 M8 接入的真实生产库存物理分离，不得互相混写。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成本口径：审查报告的 14–42 人月估算记为待验证假设，不直接写入正式预算；M0 以 3–5 个档案的实测工时校准单价后再入预算。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006100"/>
          <w:sz w:val="21"/>
          <w:szCs w:val="21"/>
        </w:rPr>
        <w:t xml:space="preserve">【已裁决】夹具品牌与 M11 的关系：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Founder 已裁决夹具品牌先行顶替 M11 真实试点。M11 转为仿真试点，真实验证移入真实品牌补验批次——完整落文见 D-16。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D-06　投资阶梯修复：Discovery 准备度门与限额 POC 证据批次拆分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500"/>
        <w:gridCol w:w="2426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范围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工程量</w:t>
            </w:r>
          </w:p>
        </w:tc>
        <w:tc>
          <w:tcPr>
            <w:tcW w:type="dxa" w:w="24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证明什么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Discovery 准备度门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M0–M3：合同冻结、语义骨架、隐藏评测冻结、问题系统 V1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约 24–35 人月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“可以开考”——基础设施与考卷就绪；此时尚无蒸馏证据，不证明“能考过”</w:t>
            </w:r>
          </w:p>
        </w:tc>
      </w:tr>
      <w:tr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限额 POC 证据批次</w:t>
            </w:r>
          </w:p>
        </w:tc>
        <w:tc>
          <w:tcPr>
            <w:tcW w:type="dxa" w:w="3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M4 全面开跑前的小规模证据批：≤500 场景实例、≤2,000 候选回答、专家抽评 ≥100 件（额度为建议默认，M0 冻结时定）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约 4–6 人月（建议默认）</w:t>
            </w:r>
          </w:p>
        </w:tc>
        <w:tc>
          <w:tcPr>
            <w:tcW w:type="dxa" w:w="24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首批真实证据：问题系统区分度、候选知识质量、专家通过率初值，供继续/转向/停止判据使用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Pilot MVP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M4–M11，试点品类按 D-15 覆盖规则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累计约 65–95 人月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三类品类在真实约束下的专业、叙事、库存、安全表现</w:t>
            </w:r>
          </w:p>
        </w:tc>
      </w:tr>
      <w:tr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Commercial V1.0</w:t>
            </w:r>
          </w:p>
        </w:tc>
        <w:tc>
          <w:tcPr>
            <w:tcW w:type="dxa" w:w="3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M12 完成，五类全量</w:t>
            </w:r>
          </w:p>
        </w:tc>
        <w:tc>
          <w:tcPr>
            <w:tcW w:type="dxa" w:w="1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累计 125–185 人月</w:t>
            </w:r>
          </w:p>
        </w:tc>
        <w:tc>
          <w:tcPr>
            <w:tcW w:type="dxa" w:w="24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八道发布门全过 + Founder 最终批准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M0 必须交付 execution_critical_path_and_decision_gates.v1.0.yaml：关键路径图 + Discovery 结束时的继续/转向/停止判据。判据缺失时不得进入 M4 大规模蒸馏。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D-07　新增独立的安全、隐私与合规发布门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商业发布门由七道增至八道：新增 Safety &amp; Compliance Gate，承接品类安全硬门、隐私与授权合同、AIGC 标识义务、未成年人个人信息、数据出境核验。M2 的 hard_gate_definitions 扩展为硬门→八道门显式映射表。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M0 交付 compliance_review_contract.v1.0.yaml：只需确定责任人、核验清单与决策时间表；具体法律结论由法务形成。首轮法务核验在 M2 冻结前完成，不得整体推迟到 M9。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首批核验清单（六项）：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① 未满 14 周岁个人信息与监护人同意机制（童装、青少年为首发品类，直接触发）——《个人信息保护法》。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② AI 生成合成内容标识义务与各平台 AIGC 标注规则（账号矩阵批量发布场景）——《人工智能生成合成内容标识办法》。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③ 数据出境路径核验：若任何环节使用境外模型 API 处理个体资料（联动 D-10、D-11）——《促进和规范数据跨境流动规定》。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④ 面向公众提供生成式 AI 服务的备案适用性（取决于最终产品形态，形态裁决后核验）。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⑤ 模型厂商服务条款对知识蒸馏用途的约束（GPT×Claude 蒸馏链，核验一次并留档）。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⑥ 完整顾客档案模式的敏感信息处理、保存期限与删除权流程（联动 D-11；含“去标识化≠匿名化”认定）——《网络数据安全管理条例》。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团队配置增补：兼职法务/合规角色 1 名（15.3 节）；风险清单新增 R-11 合规风险（16.1 节）。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D-08　产品承诺的施工归属补齐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新增 FR-21（单品多套生命）：系统必须能围绕同一商品，面向不同人群、场景、正式度与风格生成差异化方案并说明变化机制；验收并入 10.3 隐藏测试与 M10 迁移报告。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S-07 门店成交辅助承诺级别</w:t>
      </w:r>
      <w:r>
        <w:rPr>
          <w:rFonts w:ascii="Microsoft YaHei" w:cs="Microsoft YaHei" w:eastAsia="Microsoft YaHei" w:hAnsi="Microsoft YaHei"/>
          <w:color w:val="9C5700"/>
          <w:sz w:val="21"/>
          <w:szCs w:val="21"/>
        </w:rPr>
        <w:t xml:space="preserve">【建议默认】：V1.0 承诺 = 基于已接受搭配决策生成“导购辅助要点”（试穿顺序、选择理由、替代方案、不可强推边界），作为 ContentProjection 的一种投影类型，M7 实现、M11 验收；实时交互式导购工具不属于 V1.0 承诺（端侧形态见 D-16）。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S-08 跨品牌/跨品类比较：并入 FR-18/FR-19 验收要点——M10 迁移报告必须包含“同一单品/同一人群在不同品牌、品类下为什么答案不同”的对比解释样例。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StylingDiagnosis 承接归属：由 M6 搭配决策编译器承接（作为 CandidateComposer 之前的诊断步），不新增独立服务；M6 合同与 compiler qualification report 必须包含诊断流验收（对应审查断点 7 的收敛裁决）。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FR-20 落地：M12 新增交付物 feedback_to_candidate_ledger——内容表现、用户反馈、门店修改只进候选账本，晋级必须走知识状态链，不得直写真源。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D-09　M2 评测治理三件套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rater_calibration_contract.v0.1.yaml：评分卡培训流程、双盲抽检、评分者一致性阈值（两位评委对同一样本的评分接近程度要求，阈值在 M2 冻结）。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evaluation_sampling_design.v0.1.yaml：机评与人评分工、抽样比例、分层维度（品类 × 任务类型 × 风险等级）、复评触发条件——回应审查 5.3 节“专家容量对不上评测规模”。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benchmark_revision_protocol.v0.1.yaml：评测基线冻结后的唯一合法修订通道——仅允许非失败触发的修订（考卷本身出错），须 Founder 裁决 + 版本增量 + 全量重跑重新基线，修订记录入 Receipt；因失败而降标依旧永久禁止。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9C5700"/>
          <w:sz w:val="21"/>
          <w:szCs w:val="21"/>
        </w:rPr>
        <w:t xml:space="preserve">【建议默认】风险清单同步增补：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R-12 语料与档案建设进度风险、R-13 专家资源不可得或系统性分歧、R-14 平台政策风险（限流、AIGC 标识、矩阵账号治理）。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第三部分　Founder 本轮新裁决落文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D-10　运行时模型合同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模型策略：模型无关（model-agnostic）——系统可绑定并切换任意模型；测试期间按需向 Founder 提出需求，由 Founder 提供模型 API；暂不考虑自部署模型。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NFR-08 强化：任何模型更换必须通过完整回归（v1.0 已有），模型与版本入 DecisionTrace（v1.0 已有）；新增“模型供给方式 = Founder 提供 API”条款。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生产模型最终选型</w:t>
      </w:r>
      <w:r>
        <w:rPr>
          <w:rFonts w:ascii="Microsoft YaHei" w:cs="Microsoft YaHei" w:eastAsia="Microsoft YaHei" w:hAnsi="Microsoft YaHei"/>
          <w:color w:val="2E4E8C"/>
          <w:sz w:val="21"/>
          <w:szCs w:val="21"/>
        </w:rPr>
        <w:t xml:space="preserve">【后置＋节点】：决策节点 = M12 生产加固前，裁决人 = Founder；若候选为境外模型 API 且处理个体资料，须先通过 D-07 第③项数据出境核验。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D-11　个体资料双模式合同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能力与数据分离原则：“系统对所有款式适合什么体型、肤色、气质、发型、预算、舒适边界有自己的判断”属于专家内核的知识能力（MechanismCard / DecisionRuleCard 的正常工作），不依赖任何个体数据采集即可运行；个体资料仅在服务具体消费者的任务中按以下双模式采集。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模式一　非实名搭配模式（默认）：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适用：顾客只做一次搭配，或未要求建立长期档案。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采集通道：自然语言自述、简短问答、导购代录、上传照片。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保存规则：系统提取结构化特征后形成非实名个体档案；默认不长期保存姓名与原始肖像；保存经提取的体型、肤色、气质、发型、预算、舒适边界、拒绝项等搭配信息。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模式二　完整顾客档案模式（经授权）：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触发条件合同：经授权角色发起，并取得顾客有效授权后，系统方可在约定用途、范围和保存期限内建立完整实名顾客档案；“门店想保存”不能单独代替顾客授权。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可保存内容：姓名及必要联系方式；原始照片或肖像；体型、肤色、气质、发型；预算、舒适边界和拒绝项；尺码、试穿记录、购买记录；历次搭配方案、反馈及人工修改；顾客明确要求保存的其他相关信息。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顾客权利：可查询、更正、撤回授权、申请删除。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未成年人：未满 14 周岁须取得监护人同意并适用专门规则（与品类安全合同联动）。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法务警示条款：去除姓名不自动等于匿名化——仍可关联到具体顾客的档案属于个人信息；敏感信息处理、未成年人资料与保存期限在 M0–M2 完成法务核验（D-07 清单第⑥项）。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施工落点：M1 交付 individual_profile.schema（含模式位与授权状态字段，见 D-04）；M9 交付采集与授权流程合同、同意管理与删除流程 checker。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D-12　商品属性来源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商品与货盘属性以品牌专属数据库（品牌真源 / PIM / ERP 等）为唯一来源；V1.0 不立项图像识别属性提取工程线。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字段缺失时按 FR-05 既有路径处理：触发收窄或要求补充，不得脑补属性。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非目标追加（3.2 节）：以图像识别自动生成商品属性不属于 V1.0 产品承诺。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D-13　发布终态：全周期人工在环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终态裁决：不考虑自动发布——V1.0 全生命周期保持人工审核在环，包括所有发布门通过之后。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条文修订：v1.0 第 3.2 节“在库存真实性与事实边界门未通过前自动发布”的表述隐含“过门后可自动发布”，予以删除，改为“自动发布不在 V1.0 产品承诺内”。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保留不变：FR-17 发布前库存复核、“人工可发布率 ≥75%”质量门。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D-14　商业 KPI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KPI 阈值与取舍由 Founder 自行判断，不写入合同硬门。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决策节点</w:t>
      </w:r>
      <w:r>
        <w:rPr>
          <w:rFonts w:ascii="Microsoft YaHei" w:cs="Microsoft YaHei" w:eastAsia="Microsoft YaHei" w:hAnsi="Microsoft YaHei"/>
          <w:color w:val="2E4E8C"/>
          <w:sz w:val="21"/>
          <w:szCs w:val="21"/>
        </w:rPr>
        <w:t xml:space="preserve">【后置＋节点】：M11 试点基线冻结时，由 Founder 确定本轮试点关注的商业信号与判断口径。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保留不变：M11 仪表盘按专业、内容、商业三层分离呈现信号（R-10 控制），播放量不得单独决定结论。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D-15　试点品类选择规则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Commercial V1.0 的五类承诺不变；“三品类试点”指五类全部建设完成、正式商业发布之前，至少三类先进入真实小规模试运行。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现在不锁死具体品类；M10 通过后、M11 启动前，按真实可获得的品牌、货盘与专家资源选择。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覆盖规则（硬性）：至少三类，且必须覆盖——一个成人审美与身体适配品类；一个未成年人或家庭安全品类；一个功能优先品类。典型组合：女装 ＋ 童装/青少年/亲子之一 ＋ 运动潮流。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其余两类仍须在 Commercial V1.0 发布前完成正式验证（夹具环境下验证同样适用 D-16 宣称限制）；五类同时进入仿真试点属于扩大 Pilot 投入的可选项，不是当前必须条件。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2E4E8C"/>
          <w:sz w:val="24"/>
          <w:szCs w:val="24"/>
        </w:rPr>
        <w:t xml:space="preserve">D-16　夹具品牌顶替 M11 与真实品牌补验节点</w:t>
      </w:r>
      <w:r>
        <w:rPr>
          <w:rFonts w:ascii="Microsoft YaHei" w:cs="Microsoft YaHei" w:eastAsia="Microsoft YaHei" w:hAnsi="Microsoft YaHei"/>
          <w:b/>
          <w:bCs/>
          <w:color w:val="006100"/>
          <w:sz w:val="20"/>
          <w:szCs w:val="20"/>
        </w:rPr>
        <w:t xml:space="preserve">　【已裁决】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裁决：M11 试点以夹具品牌（Codex 合成、Claude Code 完整性审核、冻结）先行顶替真实品牌运行。这是对 v1.0“真实采用门”验收含义的显式降级裁决，按本条落文，不再回避。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color w:val="222222"/>
          <w:sz w:val="21"/>
          <w:szCs w:val="21"/>
        </w:rPr>
        <w:t xml:space="preserve">M11 更名与验收含义变化：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3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 旧含义</w:t>
            </w:r>
          </w:p>
        </w:tc>
        <w:tc>
          <w:tcPr>
            <w:tcW w:type="dxa" w:w="4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v1.1 新含义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里程碑名称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多品牌、多门店、多品类试点（真实品牌、真实门店、真实库存）</w:t>
            </w:r>
          </w:p>
        </w:tc>
        <w:tc>
          <w:tcPr>
            <w:tcW w:type="dxa" w:w="4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多品牌、多门店、多品类仿真试点（夹具品牌）</w:t>
            </w:r>
          </w:p>
        </w:tc>
      </w:tr>
      <w:tr>
        <w:tc>
          <w:tcPr>
            <w:tcW w:type="dxa" w:w="1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关键门</w:t>
            </w:r>
          </w:p>
        </w:tc>
        <w:tc>
          <w:tcPr>
            <w:tcW w:type="dxa" w:w="3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真实采用门</w:t>
            </w:r>
          </w:p>
        </w:tc>
        <w:tc>
          <w:tcPr>
            <w:tcW w:type="dxa" w:w="4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仿真运行门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仍然证明</w:t>
            </w:r>
          </w:p>
        </w:tc>
        <w:tc>
          <w:tcPr>
            <w:tcW w:type="dxa" w:w="3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——</w:t>
            </w:r>
          </w:p>
        </w:tc>
        <w:tc>
          <w:tcPr>
            <w:tcW w:type="dxa" w:w="4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端到端产能与稳定性（多品牌×多门店×多品类批量运行）、专业与叙事质量达标、库存约束/替代/撤稿在仿真货盘上的确定性执行、账号矩阵差异化、成本与恢复能力</w:t>
            </w:r>
          </w:p>
        </w:tc>
      </w:tr>
      <w:tr>
        <w:tc>
          <w:tcPr>
            <w:tcW w:type="dxa" w:w="1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不再证明</w:t>
            </w:r>
          </w:p>
        </w:tc>
        <w:tc>
          <w:tcPr>
            <w:tcW w:type="dxa" w:w="33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真实门店采用、真实消费者理解、真实库存对接、真实商业信号</w:t>
            </w:r>
          </w:p>
        </w:tc>
        <w:tc>
          <w:tcPr>
            <w:tcW w:type="dxa" w:w="4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同左——四项整体移入“真实品牌补验批次”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color w:val="9C5700"/>
          <w:sz w:val="21"/>
          <w:szCs w:val="21"/>
        </w:rPr>
        <w:t xml:space="preserve">【建议默认】真实品牌补验批次：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时点＝Commercial V1.0 发布后、首个真实品牌接入时（若发布前已有真实品牌可得，则提前执行）；按 M11 试点纪律运行（冻结基线、内容日历、专家与品牌评审、信号仪表盘），回填上表四项未验证声明；补验通过由 Founder 裁决。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宣称限制（补验通过前）：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对外可宣称“已完成全链路仿真验证”，不得宣称“已通过真实市场／真实门店验证”。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M8 连带调整：库存引擎与接口合同交付不变，但验证对象改为仿真货盘源；真实 ERP/PIM/POS 系统对接验证并入补验批次。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硬门不放松：inventory_hallucination_rate＝0 等硬门在仿真环境照常执行——分母是夹具货盘快照，推荐夹具货盘外的商品同样计为硬失败。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固有局限（如实记录）：夹具与隐藏品牌均为模型合成后，“未见品牌测试”证明的是对新合成品牌的迁移，对真实品牌的迁移强度弱一档——第一个真实品牌接入即第一次真实考试。该局限由补验批次与宣称限制兜底，D-05 同质性控制用于收窄合成分布与真实分布的差距。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第四部分　后置事项决策节点指派表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以下事项按裁决允许后置，但自本 Delta 起均有责任人与截止节点，不再存在“无人负责、无截止节点”状态：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800"/>
        <w:gridCol w:w="21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事项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决策节点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裁决人</w:t>
            </w:r>
          </w:p>
        </w:tc>
        <w:tc>
          <w:tcPr>
            <w:tcW w:type="dxa" w:w="21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前置联动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生产模型最终选型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M12 生产加固前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</w:t>
            </w:r>
          </w:p>
        </w:tc>
        <w:tc>
          <w:tcPr>
            <w:tcW w:type="dxa" w:w="2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境外 API 处理个体资料 → 先过 D-07 数据出境核验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试点三品类选定</w:t>
            </w:r>
          </w:p>
        </w:tc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M10 通过后、M11 启动前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</w:t>
            </w:r>
          </w:p>
        </w:tc>
        <w:tc>
          <w:tcPr>
            <w:tcW w:type="dxa" w:w="2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D-15 覆盖规则约束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商业 KPI 口径与阈值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试点基线冻结时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</w:t>
            </w:r>
          </w:p>
        </w:tc>
        <w:tc>
          <w:tcPr>
            <w:tcW w:type="dxa" w:w="2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三层信号分离呈现（R-10）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POC 限额批次额度</w:t>
            </w:r>
          </w:p>
        </w:tc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M0 冻结时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</w:t>
            </w:r>
          </w:p>
        </w:tc>
        <w:tc>
          <w:tcPr>
            <w:tcW w:type="dxa" w:w="2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D-06 建议默认额度可改判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端侧形态（总部/门店/导购各角色界面）【建议默认】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M6 前形成提案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产品负责人提案 + Founder 裁决</w:t>
            </w:r>
          </w:p>
        </w:tc>
        <w:tc>
          <w:tcPr>
            <w:tcW w:type="dxa" w:w="2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S-07 投影类型（D-08）依赖端侧形态确定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分场景时延目标【建议默认】</w:t>
            </w:r>
          </w:p>
        </w:tc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M6 冻结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产品负责人提案 + Founder 裁决</w:t>
            </w:r>
          </w:p>
        </w:tc>
        <w:tc>
          <w:tcPr>
            <w:tcW w:type="dxa" w:w="2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批量内容与导购辅助两类场景分别定标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隐藏品牌合成细则（配方分离与同质性控制）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M0 合同 → M2 冻结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Guardian 侧执行 + Founder 确认</w:t>
            </w:r>
          </w:p>
        </w:tc>
        <w:tc>
          <w:tcPr>
            <w:tcW w:type="dxa" w:w="2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D-05（合成路径已裁决）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真实品牌补验批次启动</w:t>
            </w:r>
          </w:p>
        </w:tc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首个真实品牌接入时（可提前）</w:t>
            </w:r>
          </w:p>
        </w:tc>
        <w:tc>
          <w:tcPr>
            <w:tcW w:type="dxa" w:w="18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</w:t>
            </w:r>
          </w:p>
        </w:tc>
        <w:tc>
          <w:tcPr>
            <w:tcW w:type="dxa" w:w="2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D-16 回填清单与宣称限制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第五部分　PRD v1.0 → v1.1 条文修改映射表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Founder PASS 后，按下表机械应用即得 v1.1 全文；每行注明来源 Delta 条目，可逐条核对。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00"/>
        <w:gridCol w:w="900"/>
        <w:gridCol w:w="4380"/>
        <w:gridCol w:w="1626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v1.0 位置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438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内容要点</w:t>
            </w:r>
          </w:p>
        </w:tc>
        <w:tc>
          <w:tcPr>
            <w:tcW w:type="dxa" w:w="1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1.4 项目状态合同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ARCHITECTURE_RELATIONSHIP / FUTURE_INTEGRATION_MODE 两项状态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2.3 独立立项理由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追加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与底座解耦条款、互不污染边界、不依赖清单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D-01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3.2 非目标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追加/修订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追加“图像识别商品属性提取”“自动发布（全周期）”；删除“过门前”限定语的隐含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D-12 D-13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4.4 场景 S-07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修订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标注 V1.0 承诺级别＝导购辅助要点投影（建议默认）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D-08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6.1 IndividualProfile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修订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双模式注记 + 能力与数据分离原则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D-11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 功能需求清单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新增/修订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新增 FR-21；FR-18/19 验收增比较解释；FR-20 标注 M12 落点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D-08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10.4 商业发布门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修订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七道 → 八道，新增 Safety &amp; Compliance Gate；M2 出硬门映射表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D-07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11.1 组件清单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注记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StylingDiagnosis 由决策编译器诊断步承接，不新增独立服务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D-08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11.2 NFR-08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修订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模型无关、可绑定切换、Founder 供 API、暂不自部署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D-10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M0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替换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统一为 D-03 十四项清单（13、14、17.1 三处一致）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D-03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brand_truth_pack.schema、individual_profile.schema、11 输出对象 Schema 或 StylingResultBundle、输入对象映射表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D-04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M2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评分者校准、抽样设计、基线修订协议三件套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D-09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M12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feedback_to_candidate_ledger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D-08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15.1 工程量裁决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改判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默认独立建设 125–185 人月 / 15–24 个月；复用降级为条件路线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D-02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15.3 团队配置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兼职法务/合规角色；语料与档案建设负责人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D-07 D-05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16.1 风险 / 16.2 停止条件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R-11 合规（建议：R-12 语料进度、R-13 专家资源、R-14 平台政策）；停止条件增“无有效授权建立完整档案→停止建档”“夹具/合成数据混入隐藏集→停止评测并重建”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D-07 D-09 D-11 D-05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17.1 首任务清单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替换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与 D-03 统一清单一致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D-03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附录 B 术语表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Fixture Brand（夹具品牌）、Standalone Decoupled（独立解耦）、非实名搭配模式、完整顾客档案模式、Discovery 准备度门、限额 POC 证据批次、仿真试点、真实品牌补验批次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D-01 D-05 D-06 D-11 D-16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M11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改判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更名“多品牌、多门店、多品类仿真试点（夹具品牌）”；关键门“真实采用门”→“仿真运行门”；真实门店采用、真实消费者理解、真实库存对接、真实商业信号四项验证移入真实品牌补验批次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D-16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M8</w:t>
            </w:r>
          </w:p>
        </w:tc>
        <w:tc>
          <w:tcPr>
            <w:tcW w:type="dxa" w:w="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注记</w:t>
            </w:r>
          </w:p>
        </w:tc>
        <w:tc>
          <w:tcPr>
            <w:tcW w:type="dxa" w:w="438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引擎与接口合同交付不变；验证对象为仿真货盘源，真实 ERP/PIM/POS 对接验证并入补验批次</w:t>
            </w:r>
          </w:p>
        </w:tc>
        <w:tc>
          <w:tcPr>
            <w:tcW w:type="dxa" w:w="16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D-16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13/14 节 M2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增补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泄漏检查扩展为“泄漏＋同质性”双检查（夹具池与隐藏池配方分离核验）</w:t>
            </w:r>
          </w:p>
        </w:tc>
        <w:tc>
          <w:tcPr>
            <w:tcW w:type="dxa" w:w="16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D-05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第六部分　边界裁决结果（Founder 已裁决）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001 版列出的两项边界碰撞已由 Founder 裁决，结果与生效落点如下：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900"/>
        <w:gridCol w:w="2400"/>
        <w:gridCol w:w="3306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边界问题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Founder 裁决</w:t>
            </w:r>
          </w:p>
        </w:tc>
        <w:tc>
          <w:tcPr>
            <w:tcW w:type="dxa" w:w="33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生效落点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夹具品牌（Codex 合成）与 M11“真实采用门”的关系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改判：夹具先行顶替 M11</w:t>
            </w:r>
          </w:p>
        </w:tc>
        <w:tc>
          <w:tcPr>
            <w:tcW w:type="dxa" w:w="3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转为仿真试点、真实验证移入真实品牌补验批次——落文于 D-16 与映射表第 19、20 行；宣称限制随附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隐藏未见品牌（30–50 个）是否也走合成路径</w:t>
            </w:r>
          </w:p>
        </w:tc>
        <w:tc>
          <w:tcPr>
            <w:tcW w:type="dxa" w:w="2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维持默认：隐藏品牌也走 Codex 合成路径</w:t>
            </w:r>
          </w:p>
        </w:tc>
        <w:tc>
          <w:tcPr>
            <w:tcW w:type="dxa" w:w="33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D-05 隔离条款转为已裁决并生效；同质性控制（建议默认）纳入 M2“泄漏＋同质性”双检查——映射表第 21 行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28"/>
          <w:szCs w:val="28"/>
        </w:rPr>
        <w:t xml:space="preserve">第七部分　生效与裁决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本 Delta 经 Founder 裁决 PASS 后，与 PRD v1.0 合并构成 PRD v1.1 正式基线；CONDITIONAL 则按批注修订后重报；BLOCK 则维持 v1.0 + Handoff 优先级条款现状。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v1.1 生效前不启动 M0；生效后，唯一下一任务为 GKB-CROSS-BRAND-STYLING-EXPERT-KERNEL-M0-CONTRACT-AND-BENCHMARK-FOUNDATION-001（执行申请另附）。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两项边界已裁决完毕（第六部分）。整体裁决时请重点过目剩余【建议默认·待裁决】：D-05 同质性控制、D-08 S-07 承诺级别、D-09 风险增补、D-16 补验批次时点与宣称限制、第四部分端侧形态与时延两行；其余条目均为已裁决内容落文，核对无误即可。</w:t>
      </w:r>
    </w:p>
    <w:p>
      <w:pPr>
        <w:spacing w:after="20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7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裁决项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结果（圈选）</w:t>
            </w:r>
          </w:p>
        </w:tc>
        <w:tc>
          <w:tcPr>
            <w:tcW w:type="dxa" w:w="27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签署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v1.1 Delta 整体（002 版）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PASS ／ CONDITIONAL ／ BLOCK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Founder：＿＿＿＿＿＿　日期：＿＿＿＿＿＿</w:t>
            </w:r>
          </w:p>
        </w:tc>
      </w:tr>
      <w:tr>
        <w:tc>
          <w:tcPr>
            <w:tcW w:type="dxa" w:w="3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剩余建议默认项（如需改判请批注）</w:t>
            </w:r>
          </w:p>
        </w:tc>
        <w:tc>
          <w:tcPr>
            <w:tcW w:type="dxa" w:w="2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维持默认 ／ 批注改判：＿＿＿＿＿＿</w:t>
            </w:r>
          </w:p>
        </w:tc>
        <w:tc>
          <w:tcPr>
            <w:tcW w:type="dxa" w:w="27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Founder：＿＿＿＿＿＿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2026-08-13T00:00:56.507Z</dcterms:created>
  <dcterms:modified xsi:type="dcterms:W3CDTF">2026-08-13T00:00:56.522Z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