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60"/>
      </w:pPr>
      <w:r>
        <w:rPr>
          <w:rFonts w:ascii="Microsoft YaHei" w:hAnsi="Microsoft YaHei" w:eastAsia="Microsoft YaHei"/>
          <w:b/>
          <w:color w:val="22577A"/>
          <w:sz w:val="19"/>
        </w:rPr>
        <w:t>CLAUDE CODE APPROVAL REQUEST</w:t>
      </w:r>
    </w:p>
    <w:p>
      <w:pPr>
        <w:pStyle w:val="Title"/>
      </w:pPr>
      <w:r>
        <w:rPr>
          <w:rFonts w:ascii="Microsoft YaHei" w:hAnsi="Microsoft YaHei" w:eastAsia="Microsoft YaHei"/>
          <w:b/>
          <w:color w:val="15384F"/>
          <w:sz w:val="48"/>
        </w:rPr>
        <w:t>笛语跨品牌服装搭配专家内核</w:t>
      </w:r>
    </w:p>
    <w:p>
      <w:pPr>
        <w:pStyle w:val="Subtitle"/>
      </w:pPr>
      <w:r>
        <w:rPr>
          <w:rFonts w:ascii="Microsoft YaHei" w:hAnsi="Microsoft YaHei" w:eastAsia="Microsoft YaHei"/>
          <w:color w:val="667085"/>
          <w:sz w:val="25"/>
        </w:rPr>
        <w:t>PRD v1.1 修复与 M0 合同冻结执行申请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7D3DD"/>
          <w:left w:val="single" w:sz="6" w:color="C7D3DD"/>
          <w:bottom w:val="single" w:sz="6" w:color="C7D3DD"/>
          <w:right w:val="single" w:sz="6" w:color="C7D3DD"/>
          <w:insideH w:val="single" w:sz="6" w:color="C7D3DD"/>
          <w:insideV w:val="single" w:sz="6" w:color="C7D3DD"/>
        </w:tblBorders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4F8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5384F"/>
                <w:sz w:val="19"/>
              </w:rPr>
              <w:t>控制项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4F8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5384F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申请 ID</w:t>
            </w:r>
          </w:p>
        </w:tc>
        <w:tc>
          <w:tcPr>
            <w:tcW w:type="dxa" w:w="7460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DIYU-CBFSK-WORK-EXEC-REQUEST-20260812-001</w:t>
            </w:r>
          </w:p>
        </w:tc>
      </w:tr>
      <w:tr>
        <w:trPr>
          <w:cantSplit/>
        </w:trPr>
        <w:tc>
          <w:tcPr>
            <w:tcW w:type="dxa" w:w="1900"/>
            <w:shd w:fill="F7F9FB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交接基线</w:t>
            </w:r>
          </w:p>
        </w:tc>
        <w:tc>
          <w:tcPr>
            <w:tcW w:type="dxa" w:w="7460"/>
            <w:shd w:fill="F7F9FB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DIYU-CBFSK-WORK-HANDOFF-20260812-001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申请日期</w:t>
            </w:r>
          </w:p>
        </w:tc>
        <w:tc>
          <w:tcPr>
            <w:tcW w:type="dxa" w:w="7460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2026-08-12</w:t>
            </w:r>
          </w:p>
        </w:tc>
      </w:tr>
      <w:tr>
        <w:trPr>
          <w:cantSplit/>
        </w:trPr>
        <w:tc>
          <w:tcPr>
            <w:tcW w:type="dxa" w:w="1900"/>
            <w:shd w:fill="F7F9FB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审批对象</w:t>
            </w:r>
          </w:p>
        </w:tc>
        <w:tc>
          <w:tcPr>
            <w:tcW w:type="dxa" w:w="7460"/>
            <w:shd w:fill="F7F9FB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Claude Code - Contract / Completeness Guardian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业务与产品最终裁决</w:t>
            </w:r>
          </w:p>
        </w:tc>
        <w:tc>
          <w:tcPr>
            <w:tcW w:type="dxa" w:w="7460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Founder</w:t>
            </w:r>
          </w:p>
        </w:tc>
      </w:tr>
      <w:tr>
        <w:trPr>
          <w:cantSplit/>
        </w:trPr>
        <w:tc>
          <w:tcPr>
            <w:tcW w:type="dxa" w:w="1900"/>
            <w:shd w:fill="F7F9FB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当前状态</w:t>
            </w:r>
          </w:p>
        </w:tc>
        <w:tc>
          <w:tcPr>
            <w:tcW w:type="dxa" w:w="7460"/>
            <w:shd w:fill="F7F9FB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PROJECT_INITIATED / EXECUTION_NOT_STARTED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申请性质</w:t>
            </w:r>
          </w:p>
        </w:tc>
        <w:tc>
          <w:tcPr>
            <w:tcW w:type="dxa" w:w="7460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文档修复与 M0 合同基础；不是知识蒸馏、生产接入或 Serving 发布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7D3DD"/>
          <w:left w:val="single" w:sz="5" w:color="C7D3DD"/>
          <w:bottom w:val="single" w:sz="5" w:color="C7D3DD"/>
          <w:right w:val="single" w:sz="5" w:color="C7D3DD"/>
          <w:insideH w:val="single" w:sz="5" w:color="C7D3DD"/>
          <w:insideV w:val="single" w:sz="5" w:color="C7D3DD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5384F"/>
                <w:sz w:val="20"/>
              </w:rPr>
              <w:t>申请结论</w:t>
              <w:br/>
            </w:r>
            <w:r>
              <w:rPr>
                <w:rFonts w:ascii="Microsoft YaHei" w:hAnsi="Microsoft YaHei" w:eastAsia="Microsoft YaHei"/>
                <w:color w:val="172033"/>
                <w:sz w:val="21"/>
              </w:rPr>
              <w:t>请 Claude Code 对本申请的范围完整性、交付物闭环、越界风险、清单一致性与可验收性进行独立审查，输出 APPROVE / APPROVE_WITH_CONDITIONS / REJECT。Claude Code 的结论是工程与完整性审查意见，不替代 Founder 的最终业务授权。</w:t>
            </w:r>
          </w:p>
        </w:tc>
      </w:tr>
    </w:tbl>
    <w:p>
      <w:pPr>
        <w:spacing w:after="40"/>
      </w:pPr>
    </w:p>
    <w:p>
      <w:pPr>
        <w:pStyle w:val="Heading1"/>
      </w:pPr>
      <w:r>
        <w:t>一、申请执行的唯一范围</w:t>
      </w:r>
    </w:p>
    <w:p>
      <w:pPr>
        <w:keepLines w:val="0"/>
        <w:spacing w:after="120"/>
      </w:pPr>
      <w:r>
        <w:rPr>
          <w:rFonts w:ascii="Microsoft YaHei" w:hAnsi="Microsoft YaHei" w:eastAsia="Microsoft YaHei"/>
          <w:color w:val="172033"/>
          <w:sz w:val="21"/>
        </w:rPr>
        <w:t>本次申请只允许两步连续交付：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color w:val="172033"/>
          <w:sz w:val="21"/>
        </w:rPr>
        <w:t>先形成 PRD v1.1 Delta，将新增 Founder 裁决、完整性审查的有效修复项和独立解耦边界写回正式产品合同。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color w:val="172033"/>
          <w:sz w:val="21"/>
        </w:rPr>
        <w:t>PRD v1.1 通过 Founder 裁决后，只执行 GKB-CROSS-BRAND-STYLING-EXPERT-KERNEL-M0-CONTRACT-AND-BENCHMARK-FOUNDATION-001，完成 M0 合同冻结并为 M1-M2 建立可执行基础。</w:t>
      </w:r>
    </w:p>
    <w:p>
      <w:pPr>
        <w:keepLines w:val="0"/>
        <w:spacing w:after="120"/>
      </w:pPr>
      <w:r>
        <w:rPr>
          <w:rFonts w:ascii="Microsoft YaHei" w:hAnsi="Microsoft YaHei" w:eastAsia="Microsoft YaHei"/>
          <w:color w:val="172033"/>
          <w:sz w:val="21"/>
        </w:rPr>
        <w:t>本申请不授权任何其他里程碑施工。</w:t>
      </w:r>
    </w:p>
    <w:p>
      <w:pPr>
        <w:pStyle w:val="Heading1"/>
      </w:pPr>
      <w:r>
        <w:t>二、Founder 已冻结裁决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7D3DD"/>
          <w:left w:val="single" w:sz="6" w:color="C7D3DD"/>
          <w:bottom w:val="single" w:sz="6" w:color="C7D3DD"/>
          <w:right w:val="single" w:sz="6" w:color="C7D3DD"/>
          <w:insideH w:val="single" w:sz="6" w:color="C7D3DD"/>
          <w:insideV w:val="single" w:sz="6" w:color="C7D3DD"/>
        </w:tblBorders>
      </w:tblPr>
      <w:tblGrid>
        <w:gridCol w:w="1700"/>
        <w:gridCol w:w="2500"/>
        <w:gridCol w:w="5160"/>
      </w:tblGrid>
      <w:tr>
        <w:trPr>
          <w:tblHeader w:val="true"/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4F8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5384F"/>
                <w:sz w:val="19"/>
              </w:rPr>
              <w:t>裁决项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4F8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5384F"/>
                <w:sz w:val="19"/>
              </w:rPr>
              <w:t>冻结值</w:t>
            </w:r>
          </w:p>
        </w:tc>
        <w:tc>
          <w:tcPr>
            <w:tcW w:type="dxa" w:w="5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4F8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5384F"/>
                <w:sz w:val="19"/>
              </w:rPr>
              <w:t>执行含义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项目关系</w:t>
            </w:r>
          </w:p>
        </w:tc>
        <w:tc>
          <w:tcPr>
            <w:tcW w:type="dxa" w:w="2500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STANDALONE_DECOUPLED</w:t>
            </w:r>
          </w:p>
        </w:tc>
        <w:tc>
          <w:tcPr>
            <w:tcW w:type="dxa" w:w="5160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独立代码/项目空间、合同、数据模型、评测、版本、部署、运维与商业路线；不依赖笛语现有底座状态。</w:t>
            </w:r>
          </w:p>
        </w:tc>
      </w:tr>
      <w:tr>
        <w:trPr>
          <w:cantSplit/>
        </w:trPr>
        <w:tc>
          <w:tcPr>
            <w:tcW w:type="dxa" w:w="1700"/>
            <w:shd w:fill="F7F9FB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未来集成</w:t>
            </w:r>
          </w:p>
        </w:tc>
        <w:tc>
          <w:tcPr>
            <w:tcW w:type="dxa" w:w="2500"/>
            <w:shd w:fill="F7F9FB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Diyu foundation consumes kernel</w:t>
            </w:r>
          </w:p>
        </w:tc>
        <w:tc>
          <w:tcPr>
            <w:tcW w:type="dxa" w:w="5160"/>
            <w:shd w:fill="F7F9FB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笛语底座只能通过版本化 API / SDK / Schema / 组件包消费本项目能力，不得拆散内核或重新定义其知识与决策合同。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默认建设预算</w:t>
            </w:r>
          </w:p>
        </w:tc>
        <w:tc>
          <w:tcPr>
            <w:tcW w:type="dxa" w:w="2500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125-185 人月 / 15-24 个月</w:t>
            </w:r>
          </w:p>
        </w:tc>
        <w:tc>
          <w:tcPr>
            <w:tcW w:type="dxa" w:w="5160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作为独立完整建设的默认基线；仅在未来验证中立基础设施可安全复用时重算增量。</w:t>
            </w:r>
          </w:p>
        </w:tc>
      </w:tr>
      <w:tr>
        <w:trPr>
          <w:cantSplit/>
        </w:trPr>
        <w:tc>
          <w:tcPr>
            <w:tcW w:type="dxa" w:w="1700"/>
            <w:shd w:fill="F7F9FB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专家内核</w:t>
            </w:r>
          </w:p>
        </w:tc>
        <w:tc>
          <w:tcPr>
            <w:tcW w:type="dxa" w:w="2500"/>
            <w:shd w:fill="F7F9FB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One Universal Expert Kernel</w:t>
            </w:r>
          </w:p>
        </w:tc>
        <w:tc>
          <w:tcPr>
            <w:tcW w:type="dxa" w:w="5160"/>
            <w:shd w:fill="F7F9FB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品类通过 Category Adapter 提供特有语义、功能和安全约束；品牌只提供 Brand Truth Pack，不复制品牌专属专家。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生产模型策略</w:t>
            </w:r>
          </w:p>
        </w:tc>
        <w:tc>
          <w:tcPr>
            <w:tcW w:type="dxa" w:w="2500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Provider-agnostic, API-swappable</w:t>
            </w:r>
          </w:p>
        </w:tc>
        <w:tc>
          <w:tcPr>
            <w:tcW w:type="dxa" w:w="5160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系统必须能绑定和切换任意符合合同的模型；测试期按需提出 API 需求，由 Founder 提供凭证；本阶段不考虑自部署。</w:t>
            </w:r>
          </w:p>
        </w:tc>
      </w:tr>
      <w:tr>
        <w:trPr>
          <w:cantSplit/>
        </w:trPr>
        <w:tc>
          <w:tcPr>
            <w:tcW w:type="dxa" w:w="1700"/>
            <w:shd w:fill="F7F9FB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商品属性真源</w:t>
            </w:r>
          </w:p>
        </w:tc>
        <w:tc>
          <w:tcPr>
            <w:tcW w:type="dxa" w:w="2500"/>
            <w:shd w:fill="F7F9FB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Brand-specific database</w:t>
            </w:r>
          </w:p>
        </w:tc>
        <w:tc>
          <w:tcPr>
            <w:tcW w:type="dxa" w:w="5160"/>
            <w:shd w:fill="F7F9FB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品牌专属数据库是商品属性、款色码与品牌事实的授权真源；模型推断只能作为候选补充，不得覆盖真源。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发布终态</w:t>
            </w:r>
          </w:p>
        </w:tc>
        <w:tc>
          <w:tcPr>
            <w:tcW w:type="dxa" w:w="2500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Human-in-the-loop only</w:t>
            </w:r>
          </w:p>
        </w:tc>
        <w:tc>
          <w:tcPr>
            <w:tcW w:type="dxa" w:w="5160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本项目不考虑自动发布终态；所有内容均需有权人工审阅与显式发布动作。</w:t>
            </w:r>
          </w:p>
        </w:tc>
      </w:tr>
      <w:tr>
        <w:trPr>
          <w:cantSplit/>
        </w:trPr>
        <w:tc>
          <w:tcPr>
            <w:tcW w:type="dxa" w:w="1700"/>
            <w:shd w:fill="F7F9FB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商业 KPI</w:t>
            </w:r>
          </w:p>
        </w:tc>
        <w:tc>
          <w:tcPr>
            <w:tcW w:type="dxa" w:w="2500"/>
            <w:shd w:fill="F7F9FB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Founder judgment</w:t>
            </w:r>
          </w:p>
        </w:tc>
        <w:tc>
          <w:tcPr>
            <w:tcW w:type="dxa" w:w="5160"/>
            <w:shd w:fill="F7F9FB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系统记录事先冻结的业务信号和数据，但不设代替 Founder 的自动商业通过分数；是否继续、扩大或停止由 Founder 综合裁决。</w:t>
            </w:r>
          </w:p>
        </w:tc>
      </w:tr>
    </w:tbl>
    <w:p>
      <w:pPr>
        <w:spacing w:after="40"/>
      </w:pPr>
    </w:p>
    <w:p>
      <w:pPr>
        <w:pStyle w:val="Heading1"/>
      </w:pPr>
      <w:r>
        <w:t>三、个体资料、照片与顾客档案合同</w:t>
      </w:r>
    </w:p>
    <w:p>
      <w:pPr>
        <w:keepLines w:val="0"/>
        <w:spacing w:after="120"/>
      </w:pPr>
      <w:r>
        <w:rPr>
          <w:rFonts w:ascii="Microsoft YaHei" w:hAnsi="Microsoft YaHei" w:eastAsia="Microsoft YaHei"/>
          <w:color w:val="172033"/>
          <w:sz w:val="21"/>
        </w:rPr>
        <w:t>系统同时支持“商品适配判断”与“具体顾客档案”，两者不得混写。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7D3DD"/>
          <w:left w:val="single" w:sz="6" w:color="C7D3DD"/>
          <w:bottom w:val="single" w:sz="6" w:color="C7D3DD"/>
          <w:right w:val="single" w:sz="6" w:color="C7D3DD"/>
          <w:insideH w:val="single" w:sz="6" w:color="C7D3DD"/>
          <w:insideV w:val="single" w:sz="6" w:color="C7D3DD"/>
        </w:tblBorders>
      </w:tblPr>
      <w:tblGrid>
        <w:gridCol w:w="1800"/>
        <w:gridCol w:w="4200"/>
        <w:gridCol w:w="3360"/>
      </w:tblGrid>
      <w:tr>
        <w:trPr>
          <w:tblHeader w:val="true"/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4F8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5384F"/>
                <w:sz w:val="19"/>
              </w:rPr>
              <w:t>模式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4F8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5384F"/>
                <w:sz w:val="19"/>
              </w:rPr>
              <w:t>输入与保存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4F8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5384F"/>
                <w:sz w:val="19"/>
              </w:rPr>
              <w:t>约束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商品适配知识</w:t>
            </w:r>
          </w:p>
        </w:tc>
        <w:tc>
          <w:tcPr>
            <w:tcW w:type="dxa" w:w="4200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系统对每一款商品适合的体型、肤色、气质、发型、预算、舒适边界、场景等形成可审查的专业判断。</w:t>
            </w:r>
          </w:p>
        </w:tc>
        <w:tc>
          <w:tcPr>
            <w:tcW w:type="dxa" w:w="3360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属于商品/专家知识，不是某个真实顾客的个人档案；不得用未接受候选知识正式服务。</w:t>
            </w:r>
          </w:p>
        </w:tc>
      </w:tr>
      <w:tr>
        <w:trPr>
          <w:cantSplit/>
        </w:trPr>
        <w:tc>
          <w:tcPr>
            <w:tcW w:type="dxa" w:w="1800"/>
            <w:shd w:fill="F7F9FB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非实名/一次性适配</w:t>
            </w:r>
          </w:p>
        </w:tc>
        <w:tc>
          <w:tcPr>
            <w:tcW w:type="dxa" w:w="4200"/>
            <w:shd w:fill="F7F9FB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用户可自然语言自述、简短问答、导购代录或上传照片。默认不长期保存姓名和原始肖像；可保存为本次搭配必要的结构化特征。</w:t>
            </w:r>
          </w:p>
        </w:tc>
        <w:tc>
          <w:tcPr>
            <w:tcW w:type="dxa" w:w="3360"/>
            <w:shd w:fill="F7F9FB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遵守最小必要、目的限定、保存期限与可删除。去标识化后如仍可关联个人，仍按个人信息管理。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完整顾客档案</w:t>
            </w:r>
          </w:p>
        </w:tc>
        <w:tc>
          <w:tcPr>
            <w:tcW w:type="dxa" w:w="4200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当顾客、品牌或门店业务明确需要长期顾客档案时，系统应支持完整保存姓名、联系信息、原始照片、身体与审美特征、预算、舒适边界、尺码、试穿/购买/搭配与反馈记录。</w:t>
            </w:r>
          </w:p>
        </w:tc>
        <w:tc>
          <w:tcPr>
            <w:tcW w:type="dxa" w:w="3360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必须经授权角色发起并取得顾客有效授权；应支持查询、更正、撤回、删除与权限审计。未满14周岁顾客需监护人同意和专门规则。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7D3DD"/>
          <w:left w:val="single" w:sz="5" w:color="C7D3DD"/>
          <w:bottom w:val="single" w:sz="5" w:color="C7D3DD"/>
          <w:right w:val="single" w:sz="5" w:color="C7D3DD"/>
          <w:insideH w:val="single" w:sz="5" w:color="C7D3DD"/>
          <w:insideV w:val="single" w:sz="5" w:color="C7D3DD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7E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8A5A00"/>
                <w:sz w:val="20"/>
              </w:rPr>
              <w:t>合规边界</w:t>
              <w:br/>
            </w:r>
            <w:r>
              <w:rPr>
                <w:rFonts w:ascii="Microsoft YaHei" w:hAnsi="Microsoft YaHei" w:eastAsia="Microsoft YaHei"/>
                <w:color w:val="172033"/>
                <w:sz w:val="21"/>
              </w:rPr>
              <w:t>Founder 已裁决产品必须支持完整顾客档案；M0 必须建立 compliance_review_contract 并指定责任人。具体同意文本、保存期限、照片处理、跨境传输与未成年人规则须经法务/合规核验，不由执行代理自行宣布满足法律要求。</w:t>
            </w:r>
          </w:p>
        </w:tc>
      </w:tr>
    </w:tbl>
    <w:p>
      <w:pPr>
        <w:spacing w:after="40"/>
      </w:pPr>
    </w:p>
    <w:p>
      <w:pPr>
        <w:pStyle w:val="Heading1"/>
      </w:pPr>
      <w:r>
        <w:t>四、Pilot 三品类与夹具品牌裁决</w:t>
      </w:r>
    </w:p>
    <w:p>
      <w:pPr>
        <w:keepLines w:val="0"/>
        <w:spacing w:after="120"/>
      </w:pPr>
      <w:r>
        <w:rPr>
          <w:rFonts w:ascii="Microsoft YaHei" w:hAnsi="Microsoft YaHei" w:eastAsia="Microsoft YaHei"/>
          <w:color w:val="172033"/>
          <w:sz w:val="21"/>
        </w:rPr>
        <w:t>本轮裁决将“Pilot先选三个真实品类”改为“三类品类的合成夹具品牌验证”。三类不需在本申请中指定具体名称，应在 M2 依据覆盖矩阵冻结，且至少包含：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72033"/>
          <w:sz w:val="21"/>
        </w:rPr>
        <w:t>一个成人审美与身体适配类；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72033"/>
          <w:sz w:val="21"/>
        </w:rPr>
        <w:t>一个未成年人或家庭安全类；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72033"/>
          <w:sz w:val="21"/>
        </w:rPr>
        <w:t>一个功能优先类。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7D3DD"/>
          <w:left w:val="single" w:sz="6" w:color="C7D3DD"/>
          <w:bottom w:val="single" w:sz="6" w:color="C7D3DD"/>
          <w:right w:val="single" w:sz="6" w:color="C7D3DD"/>
          <w:insideH w:val="single" w:sz="6" w:color="C7D3DD"/>
          <w:insideV w:val="single" w:sz="6" w:color="C7D3DD"/>
        </w:tblBorders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4F8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5384F"/>
                <w:sz w:val="19"/>
              </w:rPr>
              <w:t>项目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4F8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5384F"/>
                <w:sz w:val="19"/>
              </w:rPr>
              <w:t>冻结合同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夹具品牌供给</w:t>
            </w:r>
          </w:p>
        </w:tc>
        <w:tc>
          <w:tcPr>
            <w:tcW w:type="dxa" w:w="7460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Codex 依据已冻结 Schema 和品类合同模拟合成品牌事实包、模拟货盘与任务样例。</w:t>
            </w:r>
          </w:p>
        </w:tc>
      </w:tr>
      <w:tr>
        <w:trPr>
          <w:cantSplit/>
        </w:trPr>
        <w:tc>
          <w:tcPr>
            <w:tcW w:type="dxa" w:w="1900"/>
            <w:shd w:fill="F7F9FB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审查</w:t>
            </w:r>
          </w:p>
        </w:tc>
        <w:tc>
          <w:tcPr>
            <w:tcW w:type="dxa" w:w="7460"/>
            <w:shd w:fill="F7F9FB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Claude Code 在独立工作区审查 Schema 完整性、内部自洽性、边界覆盖、品类安全、可重放性与泄漏风险；不审批其为真实品牌事实。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资产标识</w:t>
            </w:r>
          </w:p>
        </w:tc>
        <w:tc>
          <w:tcPr>
            <w:tcW w:type="dxa" w:w="7460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必须显式标记 synthetic_fixture_brand / non_real_inventory / non_commercial_evidence，不得使用可误认为真实品牌的名称或叙事。</w:t>
            </w:r>
          </w:p>
        </w:tc>
      </w:tr>
      <w:tr>
        <w:trPr>
          <w:cantSplit/>
        </w:trPr>
        <w:tc>
          <w:tcPr>
            <w:tcW w:type="dxa" w:w="1900"/>
            <w:shd w:fill="F7F9FB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可证明范围</w:t>
            </w:r>
          </w:p>
        </w:tc>
        <w:tc>
          <w:tcPr>
            <w:tcW w:type="dxa" w:w="7460"/>
            <w:shd w:fill="F7F9FB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可验证 Schema、Checker、失败关闭、决策轨迹、迁移方法与工程可运行性。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不可证明范围</w:t>
            </w:r>
          </w:p>
        </w:tc>
        <w:tc>
          <w:tcPr>
            <w:tcW w:type="dxa" w:w="7460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不得作为真实品牌适配、真实库存、门店采用、销售结果、Commercial V1.0 或专家商业能力的证据。</w:t>
            </w:r>
          </w:p>
        </w:tc>
      </w:tr>
      <w:tr>
        <w:trPr>
          <w:cantSplit/>
        </w:trPr>
        <w:tc>
          <w:tcPr>
            <w:tcW w:type="dxa" w:w="1900"/>
            <w:shd w:fill="F7F9FB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时序</w:t>
            </w:r>
          </w:p>
        </w:tc>
        <w:tc>
          <w:tcPr>
            <w:tcW w:type="dxa" w:w="7460"/>
            <w:shd w:fill="F7F9FB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M0 只冻结夹具品牌方法和责任；M1 Schema 稳定后才允许合成；M2 冻结隔离的评测分割。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7D3DD"/>
          <w:left w:val="single" w:sz="5" w:color="C7D3DD"/>
          <w:bottom w:val="single" w:sz="5" w:color="C7D3DD"/>
          <w:right w:val="single" w:sz="5" w:color="C7D3DD"/>
          <w:insideH w:val="single" w:sz="5" w:color="C7D3DD"/>
          <w:insideV w:val="single" w:sz="5" w:color="C7D3DD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DECE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9B1C1C"/>
                <w:sz w:val="20"/>
              </w:rPr>
              <w:t>关键事实边界</w:t>
              <w:br/>
            </w:r>
            <w:r>
              <w:rPr>
                <w:rFonts w:ascii="Microsoft YaHei" w:hAnsi="Microsoft YaHei" w:eastAsia="Microsoft YaHei"/>
                <w:color w:val="172033"/>
                <w:sz w:val="21"/>
              </w:rPr>
              <w:t>“夹具品牌验证”是开发和离线评测，不是 M11 所定义的真实多品牌、多门店、真实库存商业试点。如未来不做真实品牌试点，则 M11 应更名为“合成夹具试验”，且不得对外宣称已通过商业试点门。</w:t>
            </w:r>
          </w:p>
        </w:tc>
      </w:tr>
    </w:tbl>
    <w:p>
      <w:pPr>
        <w:spacing w:after="40"/>
      </w:pPr>
    </w:p>
    <w:p>
      <w:pPr>
        <w:pStyle w:val="Heading1"/>
      </w:pPr>
      <w:r>
        <w:t>五、PRD v1.1 必须修复的执行合同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7D3DD"/>
          <w:left w:val="single" w:sz="6" w:color="C7D3DD"/>
          <w:bottom w:val="single" w:sz="6" w:color="C7D3DD"/>
          <w:right w:val="single" w:sz="6" w:color="C7D3DD"/>
          <w:insideH w:val="single" w:sz="6" w:color="C7D3DD"/>
          <w:insideV w:val="single" w:sz="6" w:color="C7D3DD"/>
        </w:tblBorders>
      </w:tblPr>
      <w:tblGrid>
        <w:gridCol w:w="900"/>
        <w:gridCol w:w="2200"/>
        <w:gridCol w:w="6260"/>
      </w:tblGrid>
      <w:tr>
        <w:trPr>
          <w:tblHeader w:val="true"/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4F8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5384F"/>
                <w:sz w:val="19"/>
              </w:rPr>
              <w:t>编号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4F8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5384F"/>
                <w:sz w:val="19"/>
              </w:rPr>
              <w:t>修复项</w:t>
            </w:r>
          </w:p>
        </w:tc>
        <w:tc>
          <w:tcPr>
            <w:tcW w:type="dxa" w:w="6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4F8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5384F"/>
                <w:sz w:val="19"/>
              </w:rPr>
              <w:t>最小验收合同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P0-01</w:t>
            </w:r>
          </w:p>
        </w:tc>
        <w:tc>
          <w:tcPr>
            <w:tcW w:type="dxa" w:w="2200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独立解耦和预算基线</w:t>
            </w:r>
          </w:p>
        </w:tc>
        <w:tc>
          <w:tcPr>
            <w:tcW w:type="dxa" w:w="6260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写入 standalone_decoupled、standalone_full_stack、未来消费方向与125-185人月/15-24个月；删除“默认复用底座90-135人月”冲突措辞。</w:t>
            </w:r>
          </w:p>
        </w:tc>
      </w:tr>
      <w:tr>
        <w:trPr>
          <w:cantSplit/>
        </w:trPr>
        <w:tc>
          <w:tcPr>
            <w:tcW w:type="dxa" w:w="900"/>
            <w:shd w:fill="F7F9FB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P0-02</w:t>
            </w:r>
          </w:p>
        </w:tc>
        <w:tc>
          <w:tcPr>
            <w:tcW w:type="dxa" w:w="2200"/>
            <w:shd w:fill="F7F9FB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M0唯一清单</w:t>
            </w:r>
          </w:p>
        </w:tc>
        <w:tc>
          <w:tcPr>
            <w:tcW w:type="dxa" w:w="6260"/>
            <w:shd w:fill="F7F9FB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13、14、17.1三处完全对齐，纳入knowledge_state_machine、non_goals_and_stop_conditions、architecture_and_integration_boundary、compliance_review_contract。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P0-03</w:t>
            </w:r>
          </w:p>
        </w:tc>
        <w:tc>
          <w:tcPr>
            <w:tcW w:type="dxa" w:w="2200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M1 Schema收口</w:t>
            </w:r>
          </w:p>
        </w:tc>
        <w:tc>
          <w:tcPr>
            <w:tcW w:type="dxa" w:w="6260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纳入BrandTruthPack与全部正式输入/输出对象Schema，或一个绑定所有对象的可验证bundle。</w:t>
            </w:r>
          </w:p>
        </w:tc>
      </w:tr>
      <w:tr>
        <w:trPr>
          <w:cantSplit/>
        </w:trPr>
        <w:tc>
          <w:tcPr>
            <w:tcW w:type="dxa" w:w="900"/>
            <w:shd w:fill="F7F9FB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P0-04</w:t>
            </w:r>
          </w:p>
        </w:tc>
        <w:tc>
          <w:tcPr>
            <w:tcW w:type="dxa" w:w="2200"/>
            <w:shd w:fill="F7F9FB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合规责任与发布门</w:t>
            </w:r>
          </w:p>
        </w:tc>
        <w:tc>
          <w:tcPr>
            <w:tcW w:type="dxa" w:w="6260"/>
            <w:shd w:fill="F7F9FB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M0建立合规待核验清单与责任人；新增独立Safety, Privacy &amp; Compliance Gate；明确永久人工发布。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P0-05</w:t>
            </w:r>
          </w:p>
        </w:tc>
        <w:tc>
          <w:tcPr>
            <w:tcW w:type="dxa" w:w="2200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夹具品牌/语料工作流</w:t>
            </w:r>
          </w:p>
        </w:tc>
        <w:tc>
          <w:tcPr>
            <w:tcW w:type="dxa" w:w="6260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冻结Codex合成、Claude Code独立完整性审查、合成资产标记、隔离规则、可证明/不可证明边界和人月/调用成本记录。</w:t>
            </w:r>
          </w:p>
        </w:tc>
      </w:tr>
      <w:tr>
        <w:trPr>
          <w:cantSplit/>
        </w:trPr>
        <w:tc>
          <w:tcPr>
            <w:tcW w:type="dxa" w:w="900"/>
            <w:shd w:fill="F7F9FB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P0-06</w:t>
            </w:r>
          </w:p>
        </w:tc>
        <w:tc>
          <w:tcPr>
            <w:tcW w:type="dxa" w:w="2200"/>
            <w:shd w:fill="F7F9FB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投资阶梯与关键路径</w:t>
            </w:r>
          </w:p>
        </w:tc>
        <w:tc>
          <w:tcPr>
            <w:tcW w:type="dxa" w:w="6260"/>
            <w:shd w:fill="F7F9FB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不得继续使用24-36人月POC与M0-M12无映射的口径；M0输出关键路径、限额POC证据包及continue/pivot/stop裁决点。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P1-01</w:t>
            </w:r>
          </w:p>
        </w:tc>
        <w:tc>
          <w:tcPr>
            <w:tcW w:type="dxa" w:w="2200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M2评测治理三件套</w:t>
            </w:r>
          </w:p>
        </w:tc>
        <w:tc>
          <w:tcPr>
            <w:tcW w:type="dxa" w:w="6260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rater_calibration、sampling_design、benchmark_revision_protocol；修订不得由失败触发降标，且需Founder裁决、版本增量与重跑。</w:t>
            </w:r>
          </w:p>
        </w:tc>
      </w:tr>
      <w:tr>
        <w:trPr>
          <w:cantSplit/>
        </w:trPr>
        <w:tc>
          <w:tcPr>
            <w:tcW w:type="dxa" w:w="900"/>
            <w:shd w:fill="F7F9FB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P1-02</w:t>
            </w:r>
          </w:p>
        </w:tc>
        <w:tc>
          <w:tcPr>
            <w:tcW w:type="dxa" w:w="2200"/>
            <w:shd w:fill="F7F9FB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承诺-功能-组件闭环</w:t>
            </w:r>
          </w:p>
        </w:tc>
        <w:tc>
          <w:tcPr>
            <w:tcW w:type="dxa" w:w="6260"/>
            <w:shd w:fill="F7F9FB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新增单品多套生命FR；明确门店成交辅助输出；将跨品牌/品类比较并入迁移验收；由M6组件显式承接StylingDiagnosis。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P1-03</w:t>
            </w:r>
          </w:p>
        </w:tc>
        <w:tc>
          <w:tcPr>
            <w:tcW w:type="dxa" w:w="2200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反馈隔离与运营治理</w:t>
            </w:r>
          </w:p>
        </w:tc>
        <w:tc>
          <w:tcPr>
            <w:tcW w:type="dxa" w:w="6260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落地feedback_to_candidate_ledger；内容表现、门店修改与顾客反馈不得直写专家知识真源。</w:t>
            </w:r>
          </w:p>
        </w:tc>
      </w:tr>
      <w:tr>
        <w:trPr>
          <w:cantSplit/>
        </w:trPr>
        <w:tc>
          <w:tcPr>
            <w:tcW w:type="dxa" w:w="900"/>
            <w:shd w:fill="F7F9FB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P1-04</w:t>
            </w:r>
          </w:p>
        </w:tc>
        <w:tc>
          <w:tcPr>
            <w:tcW w:type="dxa" w:w="2200"/>
            <w:shd w:fill="F7F9FB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模型和API运行合同</w:t>
            </w:r>
          </w:p>
        </w:tc>
        <w:tc>
          <w:tcPr>
            <w:tcW w:type="dxa" w:w="6260"/>
            <w:shd w:fill="F7F9FB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提供商中立适配层、模型能力清单、回归、失败关闭、凭证不落盘/不输出、调用成本与分场景时延的延迟冻结节点。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P1-05</w:t>
            </w:r>
          </w:p>
        </w:tc>
        <w:tc>
          <w:tcPr>
            <w:tcW w:type="dxa" w:w="2200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商业信号与Founder裁决</w:t>
            </w:r>
          </w:p>
        </w:tc>
        <w:tc>
          <w:tcPr>
            <w:tcW w:type="dxa" w:w="6260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M11前冻结业务信号名录和数据口径；不设自动KPI通过线；最终继续/扩大/停止由Founder综合裁决。</w:t>
            </w:r>
          </w:p>
        </w:tc>
      </w:tr>
    </w:tbl>
    <w:p>
      <w:pPr>
        <w:spacing w:after="40"/>
      </w:pPr>
    </w:p>
    <w:p>
      <w:pPr>
        <w:pStyle w:val="Heading1"/>
      </w:pPr>
      <w:r>
        <w:t>六、M0 唯一交付清单</w:t>
      </w:r>
    </w:p>
    <w:p>
      <w:pPr>
        <w:keepLines w:val="0"/>
        <w:spacing w:after="120"/>
      </w:pPr>
      <w:r>
        <w:rPr>
          <w:rFonts w:ascii="Microsoft YaHei" w:hAnsi="Microsoft YaHei" w:eastAsia="Microsoft YaHei"/>
          <w:color w:val="172033"/>
          <w:sz w:val="21"/>
        </w:rPr>
        <w:t>PRD v1.1 通过 Founder 裁决后，M0 在第13节、第14节和第17.1节必须使用以下同一清单，不得使用包含关系不明的两套清单：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72033"/>
          <w:sz w:val="21"/>
        </w:rPr>
        <w:t>project_charter.v1.1.yaml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72033"/>
          <w:sz w:val="21"/>
        </w:rPr>
        <w:t>capability_contract.v1.1.yaml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72033"/>
          <w:sz w:val="21"/>
        </w:rPr>
        <w:t>category_scope_contract.v1.1.yaml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72033"/>
          <w:sz w:val="21"/>
        </w:rPr>
        <w:t>input_output_boundary.v1.1.yaml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72033"/>
          <w:sz w:val="21"/>
        </w:rPr>
        <w:t>role_and_decision_rights.v1.1.yaml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72033"/>
          <w:sz w:val="21"/>
        </w:rPr>
        <w:t>knowledge_state_machine.v1.1.yaml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72033"/>
          <w:sz w:val="21"/>
        </w:rPr>
        <w:t>non_goals_and_stop_conditions.v1.1.yaml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72033"/>
          <w:sz w:val="21"/>
        </w:rPr>
        <w:t>architecture_and_integration_boundary.v1.1.yaml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72033"/>
          <w:sz w:val="21"/>
        </w:rPr>
        <w:t>model_provider_and_api_boundary.v1.1.yaml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72033"/>
          <w:sz w:val="21"/>
        </w:rPr>
        <w:t>individual_data_and_customer_record_contract.v1.1.yaml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72033"/>
          <w:sz w:val="21"/>
        </w:rPr>
        <w:t>product_attribute_source_contract.v1.1.yaml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72033"/>
          <w:sz w:val="21"/>
        </w:rPr>
        <w:t>human_publish_only_contract.v1.1.yaml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72033"/>
          <w:sz w:val="21"/>
        </w:rPr>
        <w:t>synthetic_fixture_brand_governance.v1.1.yaml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72033"/>
          <w:sz w:val="21"/>
        </w:rPr>
        <w:t>compliance_review_contract.v1.1.yaml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72033"/>
          <w:sz w:val="21"/>
        </w:rPr>
        <w:t>investment_stage_and_critical_path_brief.v1.1.md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72033"/>
          <w:sz w:val="21"/>
        </w:rPr>
        <w:t>M1_object_model_and_schema_brief.v1.1.md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72033"/>
          <w:sz w:val="21"/>
        </w:rPr>
        <w:t>M2_benchmark_freeze_brief.v1.1.md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72033"/>
          <w:sz w:val="21"/>
        </w:rPr>
        <w:t>M0 checker / fixtures / report / receipt / replay manifest</w:t>
      </w:r>
    </w:p>
    <w:p>
      <w:pPr>
        <w:keepLines w:val="0"/>
        <w:spacing w:after="120"/>
      </w:pPr>
      <w:r>
        <w:rPr>
          <w:rFonts w:ascii="Microsoft YaHei" w:hAnsi="Microsoft YaHei" w:eastAsia="Microsoft YaHei"/>
          <w:color w:val="172033"/>
          <w:sz w:val="21"/>
        </w:rPr>
        <w:t>以上文件名允许根据项目目录做 delta 适配，但语义对象、负责人、失败状态与验收范围不得缺失。</w:t>
      </w:r>
    </w:p>
    <w:p>
      <w:pPr>
        <w:pStyle w:val="Heading1"/>
      </w:pPr>
      <w:r>
        <w:t>七、本次明确禁止事项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72033"/>
          <w:sz w:val="21"/>
        </w:rPr>
        <w:t>不得开始大规模GPT x Claude Code知识蒸馏、批量候选生成或专家知识接受。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72033"/>
          <w:sz w:val="21"/>
        </w:rPr>
        <w:t>不得在M1 Schema冻结前正式生成夹具品牌资产；M0只定义其治理合同。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72033"/>
          <w:sz w:val="21"/>
        </w:rPr>
        <w:t>不得把夹具品牌、模拟库存或合成顾客当作真实业务证据。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72033"/>
          <w:sz w:val="21"/>
        </w:rPr>
        <w:t>不得接入真实品牌生产、正式库存、真实顾客敏感数据或任何内容发布账号。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72033"/>
          <w:sz w:val="21"/>
        </w:rPr>
        <w:t>不得创建或翻转Serving、RAG、DIFY、生产发布或Commercial V1.0状态。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72033"/>
          <w:sz w:val="21"/>
        </w:rPr>
        <w:t>不得为任何品牌复制独立专家内核、补写隐藏品牌专属Prompt或向生成链泄漏隐藏答案。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72033"/>
          <w:sz w:val="21"/>
        </w:rPr>
        <w:t>不得获取、输出或持久化Founder提供的模型API明文凭证；本次也不得以“测试方便”为由索要凭证。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172033"/>
          <w:sz w:val="21"/>
        </w:rPr>
        <w:t>不得将Claude Code的工程审批写成Founder的业务批准，也不得自行更改本申请中已冻结的产品裁决。</w:t>
      </w:r>
    </w:p>
    <w:p>
      <w:pPr>
        <w:pStyle w:val="Heading1"/>
      </w:pPr>
      <w:r>
        <w:t>八、执行与审查分工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7D3DD"/>
          <w:left w:val="single" w:sz="6" w:color="C7D3DD"/>
          <w:bottom w:val="single" w:sz="6" w:color="C7D3DD"/>
          <w:right w:val="single" w:sz="6" w:color="C7D3DD"/>
          <w:insideH w:val="single" w:sz="6" w:color="C7D3DD"/>
          <w:insideV w:val="single" w:sz="6" w:color="C7D3DD"/>
        </w:tblBorders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4F8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5384F"/>
                <w:sz w:val="19"/>
              </w:rPr>
              <w:t>角色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4F8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5384F"/>
                <w:sz w:val="19"/>
              </w:rPr>
              <w:t>责任与边界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Founder</w:t>
            </w:r>
          </w:p>
        </w:tc>
        <w:tc>
          <w:tcPr>
            <w:tcW w:type="dxa" w:w="7260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冻结业务范围、风险接受、PRD v1.1、M0和商业延续性；提供测试期模型API但不提供凭证管理授权。</w:t>
            </w:r>
          </w:p>
        </w:tc>
      </w:tr>
      <w:tr>
        <w:trPr>
          <w:cantSplit/>
        </w:trPr>
        <w:tc>
          <w:tcPr>
            <w:tcW w:type="dxa" w:w="2100"/>
            <w:shd w:fill="F7F9FB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Codex Engineering</w:t>
            </w:r>
          </w:p>
        </w:tc>
        <w:tc>
          <w:tcPr>
            <w:tcW w:type="dxa" w:w="7260"/>
            <w:shd w:fill="F7F9FB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按批准合同修订PRD v1.1、落盘M0对象、Schema brief、Checker、Fixtures、Report、Receipt和重放证据；M1后才合成夹具品牌。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Claude Code Guardian</w:t>
            </w:r>
          </w:p>
        </w:tc>
        <w:tc>
          <w:tcPr>
            <w:tcW w:type="dxa" w:w="7260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使用隔离上下文审查范围一致性、对象完整性、清单闭环、事实边界、隐藏评测泄漏、夹具自洽性和验收可重放性；不产生业务真源。</w:t>
            </w:r>
          </w:p>
        </w:tc>
      </w:tr>
      <w:tr>
        <w:trPr>
          <w:cantSplit/>
        </w:trPr>
        <w:tc>
          <w:tcPr>
            <w:tcW w:type="dxa" w:w="2100"/>
            <w:shd w:fill="F7F9FB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外部专家/法务</w:t>
            </w:r>
          </w:p>
        </w:tc>
        <w:tc>
          <w:tcPr>
            <w:tcW w:type="dxa" w:w="7260"/>
            <w:shd w:fill="F7F9FB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在后续指定节点审查专业正确性、品类安全与个人信息合规；本次申请不宣称已取得该等审查。</w:t>
            </w:r>
          </w:p>
        </w:tc>
      </w:tr>
    </w:tbl>
    <w:p>
      <w:pPr>
        <w:spacing w:after="40"/>
      </w:pPr>
    </w:p>
    <w:p>
      <w:pPr>
        <w:pStyle w:val="Heading1"/>
      </w:pPr>
      <w:r>
        <w:t>九、通过标准与审批回执</w:t>
      </w:r>
    </w:p>
    <w:p>
      <w:pPr>
        <w:keepLines w:val="0"/>
        <w:spacing w:after="120"/>
      </w:pPr>
      <w:r>
        <w:rPr>
          <w:rFonts w:ascii="Microsoft YaHei" w:hAnsi="Microsoft YaHei" w:eastAsia="Microsoft YaHei"/>
          <w:color w:val="172033"/>
          <w:sz w:val="21"/>
        </w:rPr>
        <w:t>Claude Code 应逐项返回审查结论，而非只回复“同意”。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7D3DD"/>
          <w:left w:val="single" w:sz="6" w:color="C7D3DD"/>
          <w:bottom w:val="single" w:sz="6" w:color="C7D3DD"/>
          <w:right w:val="single" w:sz="6" w:color="C7D3DD"/>
          <w:insideH w:val="single" w:sz="6" w:color="C7D3DD"/>
          <w:insideV w:val="single" w:sz="6" w:color="C7D3DD"/>
        </w:tblBorders>
      </w:tblPr>
      <w:tblGrid>
        <w:gridCol w:w="1600"/>
        <w:gridCol w:w="5460"/>
        <w:gridCol w:w="2300"/>
      </w:tblGrid>
      <w:tr>
        <w:trPr>
          <w:tblHeader w:val="true"/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4F8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5384F"/>
                <w:sz w:val="19"/>
              </w:rPr>
              <w:t>审查项</w:t>
            </w:r>
          </w:p>
        </w:tc>
        <w:tc>
          <w:tcPr>
            <w:tcW w:type="dxa" w:w="5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4F8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5384F"/>
                <w:sz w:val="19"/>
              </w:rPr>
              <w:t>要求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4F8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5384F"/>
                <w:sz w:val="19"/>
              </w:rPr>
              <w:t>回执格式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范围一致</w:t>
            </w:r>
          </w:p>
        </w:tc>
        <w:tc>
          <w:tcPr>
            <w:tcW w:type="dxa" w:w="5460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是否严格停留在PRD v1.1 + M0，且未提前生成知识、夹具或生产能力。</w:t>
            </w:r>
          </w:p>
        </w:tc>
        <w:tc>
          <w:tcPr>
            <w:tcW w:type="dxa" w:w="2300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PASS / FAIL + 证据</w:t>
            </w:r>
          </w:p>
        </w:tc>
      </w:tr>
      <w:tr>
        <w:trPr>
          <w:cantSplit/>
        </w:trPr>
        <w:tc>
          <w:tcPr>
            <w:tcW w:type="dxa" w:w="1600"/>
            <w:shd w:fill="F7F9FB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清单闭环</w:t>
            </w:r>
          </w:p>
        </w:tc>
        <w:tc>
          <w:tcPr>
            <w:tcW w:type="dxa" w:w="5460"/>
            <w:shd w:fill="F7F9FB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M0唯一清单、M1 Schema、M2评测治理、负责人和失败状态是否可追溯。</w:t>
            </w:r>
          </w:p>
        </w:tc>
        <w:tc>
          <w:tcPr>
            <w:tcW w:type="dxa" w:w="2300"/>
            <w:shd w:fill="F7F9FB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PASS / FAIL + 缺口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边界安全</w:t>
            </w:r>
          </w:p>
        </w:tc>
        <w:tc>
          <w:tcPr>
            <w:tcW w:type="dxa" w:w="5460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独立解耦、API凭证、顾客档案、人工发布和夹具品牌不可证明范围是否清楚。</w:t>
            </w:r>
          </w:p>
        </w:tc>
        <w:tc>
          <w:tcPr>
            <w:tcW w:type="dxa" w:w="2300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PASS / FAIL + 风险</w:t>
            </w:r>
          </w:p>
        </w:tc>
      </w:tr>
      <w:tr>
        <w:trPr>
          <w:cantSplit/>
        </w:trPr>
        <w:tc>
          <w:tcPr>
            <w:tcW w:type="dxa" w:w="1600"/>
            <w:shd w:fill="F7F9FB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可验收性</w:t>
            </w:r>
          </w:p>
        </w:tc>
        <w:tc>
          <w:tcPr>
            <w:tcW w:type="dxa" w:w="5460"/>
            <w:shd w:fill="F7F9FB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交付物是否可运行Checker、可重放、可出Report/Receipt，不以文档数量替代结果。</w:t>
            </w:r>
          </w:p>
        </w:tc>
        <w:tc>
          <w:tcPr>
            <w:tcW w:type="dxa" w:w="2300"/>
            <w:shd w:fill="F7F9FB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PASS / FAIL + 修复建议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最终意见</w:t>
            </w:r>
          </w:p>
        </w:tc>
        <w:tc>
          <w:tcPr>
            <w:tcW w:type="dxa" w:w="5460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上述问题是否已达到可向Founder申请执行授权的程度。</w:t>
            </w:r>
          </w:p>
        </w:tc>
        <w:tc>
          <w:tcPr>
            <w:tcW w:type="dxa" w:w="2300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APPROVE / APPROVE_WITH_CONDITIONS / REJECT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8DEE5"/>
          <w:left w:val="single" w:sz="4" w:color="D8DEE5"/>
          <w:bottom w:val="single" w:sz="4" w:color="D8DEE5"/>
          <w:right w:val="single" w:sz="4" w:color="D8DEE5"/>
          <w:insideH w:val="single" w:sz="4" w:color="D8DEE5"/>
          <w:insideV w:val="single" w:sz="4" w:color="D8DEE5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7F9"/>
          </w:tcPr>
          <w:p>
            <w:pPr>
              <w:spacing w:after="0" w:line="252" w:lineRule="auto"/>
            </w:pPr>
            <w:r>
              <w:rPr>
                <w:rFonts w:ascii="Consolas" w:hAnsi="Consolas" w:eastAsia="Consolas"/>
                <w:color w:val="25313C"/>
                <w:sz w:val="17"/>
              </w:rPr>
              <w:t>approval_request_id: DIYU-CBFSK-WORK-EXEC-REQUEST-20260812-001</w:t>
              <w:br/>
            </w:r>
            <w:r>
              <w:rPr>
                <w:rFonts w:ascii="Consolas" w:hAnsi="Consolas" w:eastAsia="Consolas"/>
                <w:color w:val="25313C"/>
                <w:sz w:val="17"/>
              </w:rPr>
              <w:t>reviewer_role: claude_code_contract_completeness_guardian</w:t>
              <w:br/>
            </w:r>
            <w:r>
              <w:rPr>
                <w:rFonts w:ascii="Consolas" w:hAnsi="Consolas" w:eastAsia="Consolas"/>
                <w:color w:val="25313C"/>
                <w:sz w:val="17"/>
              </w:rPr>
              <w:t>decision: APPROVE | APPROVE_WITH_CONDITIONS | REJECT</w:t>
              <w:br/>
            </w:r>
            <w:r>
              <w:rPr>
                <w:rFonts w:ascii="Consolas" w:hAnsi="Consolas" w:eastAsia="Consolas"/>
                <w:color w:val="25313C"/>
                <w:sz w:val="17"/>
              </w:rPr>
              <w:t>scope_alignment: PASS | FAIL</w:t>
              <w:br/>
            </w:r>
            <w:r>
              <w:rPr>
                <w:rFonts w:ascii="Consolas" w:hAnsi="Consolas" w:eastAsia="Consolas"/>
                <w:color w:val="25313C"/>
                <w:sz w:val="17"/>
              </w:rPr>
              <w:t>deliverable_closure: PASS | FAIL</w:t>
              <w:br/>
            </w:r>
            <w:r>
              <w:rPr>
                <w:rFonts w:ascii="Consolas" w:hAnsi="Consolas" w:eastAsia="Consolas"/>
                <w:color w:val="25313C"/>
                <w:sz w:val="17"/>
              </w:rPr>
              <w:t>fact_and_safety_boundaries: PASS | FAIL</w:t>
              <w:br/>
            </w:r>
            <w:r>
              <w:rPr>
                <w:rFonts w:ascii="Consolas" w:hAnsi="Consolas" w:eastAsia="Consolas"/>
                <w:color w:val="25313C"/>
                <w:sz w:val="17"/>
              </w:rPr>
              <w:t>blocking_findings: []</w:t>
              <w:br/>
            </w:r>
            <w:r>
              <w:rPr>
                <w:rFonts w:ascii="Consolas" w:hAnsi="Consolas" w:eastAsia="Consolas"/>
                <w:color w:val="25313C"/>
                <w:sz w:val="17"/>
              </w:rPr>
              <w:t>non_blocking_findings: []</w:t>
              <w:br/>
            </w:r>
            <w:r>
              <w:rPr>
                <w:rFonts w:ascii="Consolas" w:hAnsi="Consolas" w:eastAsia="Consolas"/>
                <w:color w:val="25313C"/>
                <w:sz w:val="17"/>
              </w:rPr>
              <w:t>required_delta_before_execution: []</w:t>
              <w:br/>
            </w:r>
            <w:r>
              <w:rPr>
                <w:rFonts w:ascii="Consolas" w:hAnsi="Consolas" w:eastAsia="Consolas"/>
                <w:color w:val="25313C"/>
                <w:sz w:val="17"/>
              </w:rPr>
              <w:t>reviewed_version_or_file_hash: &lt;required&gt;</w:t>
              <w:br/>
            </w:r>
            <w:r>
              <w:rPr>
                <w:rFonts w:ascii="Consolas" w:hAnsi="Consolas" w:eastAsia="Consolas"/>
                <w:color w:val="25313C"/>
                <w:sz w:val="17"/>
              </w:rPr>
              <w:t>review_timestamp: &lt;required&gt;</w:t>
            </w:r>
          </w:p>
        </w:tc>
      </w:tr>
    </w:tbl>
    <w:p>
      <w:pPr>
        <w:spacing w:after="40"/>
      </w:pPr>
    </w:p>
    <w:p>
      <w:pPr>
        <w:pStyle w:val="Heading1"/>
      </w:pPr>
      <w:r>
        <w:t>十、批准后的唯一后续动作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7D3DD"/>
          <w:left w:val="single" w:sz="5" w:color="C7D3DD"/>
          <w:bottom w:val="single" w:sz="5" w:color="C7D3DD"/>
          <w:right w:val="single" w:sz="5" w:color="C7D3DD"/>
          <w:insideH w:val="single" w:sz="5" w:color="C7D3DD"/>
          <w:insideV w:val="single" w:sz="5" w:color="C7D3DD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5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2F6B4F"/>
                <w:sz w:val="20"/>
              </w:rPr>
              <w:t>唯一下一步</w:t>
              <w:br/>
            </w:r>
            <w:r>
              <w:rPr>
                <w:rFonts w:ascii="Microsoft YaHei" w:hAnsi="Microsoft YaHei" w:eastAsia="Microsoft YaHei"/>
                <w:color w:val="172033"/>
                <w:sz w:val="21"/>
              </w:rPr>
              <w:t>若 Claude Code 返回 APPROVE 或无阻断性的 APPROVE_WITH_CONDITIONS，则将其回执与本申请一并报 Founder。只有 Founder 明确批准后，才允许落盘 PRD v1.1 Delta；PRD v1.1 再经 Founder 裁决后，才允许执行 M0。任何 REJECT 或阻断性条件均必须先修复并重审。</w:t>
            </w:r>
          </w:p>
        </w:tc>
      </w:tr>
    </w:tbl>
    <w:p>
      <w:pPr>
        <w:spacing w:after="40"/>
      </w:pPr>
    </w:p>
    <w:p>
      <w:pPr>
        <w:keepLines w:val="0"/>
        <w:spacing w:after="0"/>
      </w:pPr>
      <w:r>
        <w:rPr>
          <w:rFonts w:ascii="Microsoft YaHei" w:hAnsi="Microsoft YaHei" w:eastAsia="Microsoft YaHei"/>
          <w:color w:val="172033"/>
          <w:sz w:val="21"/>
        </w:rPr>
        <w:t>文档结束。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440" w:bottom="1152" w:left="1440" w:header="504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67085"/>
        <w:sz w:val="17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/>
        <w:color w:val="667085"/>
        <w:sz w:val="17"/>
      </w:rPr>
      <w:t>DIYU-CBFSK-001  |  EXECUTION APPLICATION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9" w:lineRule="auto"/>
    </w:pPr>
    <w:rPr>
      <w:rFonts w:ascii="Microsoft YaHei" w:hAnsi="Microsoft YaHei" w:eastAsia="Microsoft YaHei"/>
      <w:color w:val="172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2577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2577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5384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5384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20"/>
    </w:pPr>
    <w:rPr>
      <w:rFonts w:asciiTheme="majorHAnsi" w:eastAsiaTheme="majorEastAsia" w:hAnsiTheme="majorHAnsi" w:cstheme="majorBidi" w:ascii="Microsoft YaHei" w:hAnsi="Microsoft YaHei" w:eastAsia="Microsoft YaHei"/>
      <w:b w:val="0"/>
      <w:i/>
      <w:iCs/>
      <w:color w:val="667085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9" w:lineRule="auto"/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69" w:lineRule="auto"/>
      <w:contextualSpacing/>
    </w:pPr>
    <w:rPr>
      <w:rFonts w:ascii="Microsoft YaHei" w:hAnsi="Microsoft YaHei" w:eastAsia="Microsoft YaHei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9" w:lineRule="auto"/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Meta">
    <w:name w:val="Small Meta"/>
    <w:pPr>
      <w:spacing w:after="40"/>
    </w:pPr>
    <w:rPr>
      <w:rFonts w:ascii="Microsoft YaHei" w:hAnsi="Microsoft YaHei" w:eastAsia="Microsoft YaHei"/>
      <w:color w:val="66708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笛语跨品牌服装搭配专家内核 PRD v1.1 与 M0 执行申请</dc:title>
  <dc:subject>Claude Code 合同与完整性审批</dc:subject>
  <dc:creator>Codex Engineering Workspace</dc:creator>
  <cp:keywords>DIYU-CBFSK, PRD v1.1, M0, Claude Code, approval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