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96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70"/>
        <w:gridCol w:w="8901"/>
      </w:tblGrid>
      <w:tr>
        <w:tc>
          <w:tcPr>
            <w:tcW w:type="dxa" w:w="4901"/>
            <w:shd w:fill="B58A4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01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Lines/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B58A45"/>
                <w:sz w:val="18"/>
              </w:rPr>
              <w:t>STRATEGY BASELINE · INTERNAL WORKING DOCUMENT</w:t>
            </w:r>
          </w:p>
        </w:tc>
      </w:tr>
    </w:tbl>
    <w:p>
      <w:pPr>
        <w:spacing w:before="600" w:after="160"/>
        <w:jc w:val="left"/>
      </w:pPr>
      <w:r>
        <w:rPr>
          <w:rFonts w:ascii="Noto Serif CJK SC" w:hAnsi="Noto Serif CJK SC" w:eastAsia="Noto Serif CJK SC"/>
          <w:b/>
          <w:color w:val="18324B"/>
          <w:sz w:val="50"/>
        </w:rPr>
        <w:t>服装品牌组织型IP内容战略</w:t>
      </w:r>
    </w:p>
    <w:p>
      <w:pPr>
        <w:spacing w:after="240"/>
        <w:jc w:val="left"/>
      </w:pPr>
      <w:r>
        <w:rPr>
          <w:rFonts w:ascii="Noto Serif CJK SC" w:hAnsi="Noto Serif CJK SC" w:eastAsia="Noto Serif CJK SC"/>
          <w:b/>
          <w:color w:val="18324B"/>
          <w:sz w:val="50"/>
        </w:rPr>
        <w:t>与企业知识库建设基线</w:t>
      </w:r>
    </w:p>
    <w:p>
      <w:pPr>
        <w:spacing w:after="480"/>
      </w:pPr>
      <w:r>
        <w:rPr>
          <w:rFonts w:ascii="Noto Sans CJK SC" w:hAnsi="Noto Sans CJK SC" w:eastAsia="Noto Sans CJK SC"/>
          <w:b w:val="0"/>
          <w:color w:val="244B66"/>
          <w:sz w:val="25"/>
        </w:rPr>
        <w:t>面向“品牌总部—省级代理商—全国加盟零售终端”的分阶段实施框架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02"/>
      </w:tblGrid>
      <w:tr>
        <w:tc>
          <w:tcPr>
            <w:tcW w:type="dxa" w:w="9802"/>
            <w:shd w:fill="EAF1F5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4" w:color="D9E0E4"/>
              <w:left w:val="single" w:sz="4" w:color="D9E0E4"/>
              <w:bottom w:val="single" w:sz="4" w:color="D9E0E4"/>
              <w:right w:val="single" w:sz="4" w:color="D9E0E4"/>
            </w:tcBorders>
          </w:tcPr>
          <w:p>
            <w:pPr>
              <w:keepLines/>
              <w:spacing w:before="0" w:after="80" w:line="288" w:lineRule="auto"/>
            </w:pPr>
            <w:r>
              <w:rPr>
                <w:rFonts w:ascii="Noto Sans CJK SC" w:hAnsi="Noto Sans CJK SC" w:eastAsia="Noto Sans CJK SC"/>
                <w:b/>
                <w:color w:val="18324B"/>
                <w:sz w:val="21"/>
              </w:rPr>
              <w:t>核心命题</w:t>
            </w:r>
          </w:p>
          <w:p>
            <w:pPr>
              <w:keepLines/>
              <w:spacing w:before="0" w:after="0" w:line="341" w:lineRule="auto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22"/>
              </w:rPr>
              <w:t>不是打造一个中心化“明星账号”，而是建设一套可治理、可继承、可在全国多点生长的组织型IP操作系统。第一阶段由总部先行，并以知识库为未来区域与终端扩展的共同底座。</w:t>
            </w:r>
          </w:p>
        </w:tc>
      </w:tr>
    </w:tbl>
    <w:p>
      <w:pPr>
        <w:spacing w:after="140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4762"/>
      </w:tblGrid>
      <w:tr>
        <w:tc>
          <w:tcPr>
            <w:tcW w:type="dxa" w:w="4901"/>
            <w:shd w:fill="F3F5F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文件性质</w:t>
            </w:r>
          </w:p>
        </w:tc>
        <w:tc>
          <w:tcPr>
            <w:tcW w:type="dxa" w:w="490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战略基线 / 内部讨论稿</w:t>
            </w:r>
          </w:p>
        </w:tc>
      </w:tr>
      <w:tr>
        <w:tc>
          <w:tcPr>
            <w:tcW w:type="dxa" w:w="4901"/>
            <w:shd w:fill="F3F5F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版本</w:t>
            </w:r>
          </w:p>
        </w:tc>
        <w:tc>
          <w:tcPr>
            <w:tcW w:type="dxa" w:w="490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V1.0</w:t>
            </w:r>
          </w:p>
        </w:tc>
      </w:tr>
      <w:tr>
        <w:tc>
          <w:tcPr>
            <w:tcW w:type="dxa" w:w="4901"/>
            <w:shd w:fill="F3F5F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适用范围</w:t>
            </w:r>
          </w:p>
        </w:tc>
        <w:tc>
          <w:tcPr>
            <w:tcW w:type="dxa" w:w="490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品牌总部、省级代理商、加盟零售终端及内容运营协同团队</w:t>
            </w:r>
          </w:p>
        </w:tc>
      </w:tr>
      <w:tr>
        <w:tc>
          <w:tcPr>
            <w:tcW w:type="dxa" w:w="4901"/>
            <w:shd w:fill="F3F5F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日期</w:t>
            </w:r>
          </w:p>
        </w:tc>
        <w:tc>
          <w:tcPr>
            <w:tcW w:type="dxa" w:w="490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2026年7月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60"/>
      </w:pPr>
      <w:r>
        <w:rPr>
          <w:rFonts w:ascii="Noto Serif CJK SC" w:hAnsi="Noto Serif CJK SC" w:eastAsia="Noto Serif CJK SC"/>
          <w:b/>
          <w:color w:val="18324B"/>
          <w:sz w:val="31"/>
        </w:rPr>
        <w:t>文件定位与使用方式</w:t>
      </w:r>
    </w:p>
    <w:p>
      <w:pPr>
        <w:keepLines/>
        <w:spacing w:before="0" w:after="100" w:line="324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本文件用于形成企业推进组织型IP内容战略的共同语言、决策边界和实施原则。它既不是一份短视频选题清单，也不是某个平台的运营方案；它定义的是企业如何把品牌认知、专业知识、人物角色、渠道组织和内容生产连接为一套长期能力。</w:t>
      </w:r>
    </w:p>
    <w:p>
      <w:pPr>
        <w:keepLines/>
        <w:spacing w:before="0" w:after="100" w:line="324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后续对创始人IP、总部专家IP、省级代理IP、门店组织IP、员工个人IP、账号矩阵、内容栏目、AI工具及数据指标的讨论，原则上均应以本文件为基线。若出现与本文件冲突的局部策略，应明确说明偏离原因、影响范围和批准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8957"/>
      </w:tblGrid>
      <w:tr>
        <w:trPr>
          <w:cantSplit/>
        </w:trPr>
        <w:tc>
          <w:tcPr>
            <w:tcW w:type="dxa" w:w="4901"/>
            <w:shd w:fill="18324B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01"/>
            <w:shd w:fill="EAF1F5"/>
            <w:tcMar>
              <w:top w:w="140" w:type="dxa"/>
              <w:start w:w="220" w:type="dxa"/>
              <w:bottom w:w="140" w:type="dxa"/>
              <w:end w:w="220" w:type="dxa"/>
            </w:tcMar>
            <w:tcBorders>
              <w:top w:val="single" w:sz="4" w:color="D9E0E4"/>
              <w:left w:val="nil"/>
              <w:bottom w:val="single" w:sz="4" w:color="D9E0E4"/>
              <w:right w:val="single" w:sz="4" w:color="D9E0E4"/>
            </w:tcBorders>
          </w:tcPr>
          <w:p>
            <w:pPr>
              <w:keepLines/>
              <w:spacing w:before="0" w:after="60" w:line="288" w:lineRule="auto"/>
            </w:pPr>
            <w:r>
              <w:rPr>
                <w:rFonts w:ascii="Noto Sans CJK SC" w:hAnsi="Noto Sans CJK SC" w:eastAsia="Noto Sans CJK SC"/>
                <w:b/>
                <w:color w:val="18324B"/>
                <w:sz w:val="21"/>
              </w:rPr>
              <w:t>本文件先确认五项基线结论</w:t>
            </w:r>
          </w:p>
          <w:p>
            <w:pPr>
              <w:keepLines/>
              <w:spacing w:before="0" w:after="0" w:line="324" w:lineRule="auto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20"/>
              </w:rPr>
              <w:t>① IP战略属于经营与组织战略，而不是一次传播战役；② 目标形态是“总部统一核心、区域有序翻译、终端真实证明”的联邦式组织IP；③ 第一阶段必须由总部先完成权威角色、内容机制和知识底座；④ 知识库首先是事实、权限和继承规则，而不是素材仓库；⑤ 第二阶段应在同一知识模型上增加区域叠加层和门店事实层，不能另起炉灶。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00" w:after="100"/>
      </w:pPr>
      <w:r>
        <w:rPr>
          <w:rFonts w:ascii="Noto Serif CJK SC" w:hAnsi="Noto Serif CJK SC" w:eastAsia="Noto Serif CJK SC"/>
          <w:b/>
          <w:color w:val="18324B"/>
          <w:sz w:val="25"/>
        </w:rPr>
        <w:t>建议本阶段批准的事项</w:t>
      </w:r>
    </w:p>
    <w:p>
      <w:pPr>
        <w:pStyle w:val="ListBullet"/>
        <w:keepLines/>
        <w:spacing w:before="0" w:after="60" w:line="307" w:lineRule="auto"/>
        <w:ind w:left="312" w:hanging="159"/>
      </w:pPr>
      <w:r>
        <w:rPr>
          <w:rFonts w:ascii="Noto Sans CJK SC" w:hAnsi="Noto Sans CJK SC" w:eastAsia="Noto Sans CJK SC"/>
          <w:b w:val="0"/>
          <w:sz w:val="20"/>
        </w:rPr>
        <w:t>批准“组织型IP、多点突破”作为长期方向，而非以单一创始人或单一主播承载全部品牌信用。</w:t>
      </w:r>
    </w:p>
    <w:p>
      <w:pPr>
        <w:pStyle w:val="ListBullet"/>
        <w:keepLines/>
        <w:spacing w:before="0" w:after="60" w:line="307" w:lineRule="auto"/>
        <w:ind w:left="312" w:hanging="159"/>
      </w:pPr>
      <w:r>
        <w:rPr>
          <w:rFonts w:ascii="Noto Sans CJK SC" w:hAnsi="Noto Sans CJK SC" w:eastAsia="Noto Sans CJK SC"/>
          <w:b w:val="0"/>
          <w:sz w:val="20"/>
        </w:rPr>
        <w:t>批准“总部先行—区域试点—规模复制”的阶段路径，并设置明确的阶段闸门。</w:t>
      </w:r>
    </w:p>
    <w:p>
      <w:pPr>
        <w:pStyle w:val="ListBullet"/>
        <w:keepLines/>
        <w:spacing w:before="0" w:after="60" w:line="307" w:lineRule="auto"/>
        <w:ind w:left="312" w:hanging="159"/>
      </w:pPr>
      <w:r>
        <w:rPr>
          <w:rFonts w:ascii="Noto Sans CJK SC" w:hAnsi="Noto Sans CJK SC" w:eastAsia="Noto Sans CJK SC"/>
          <w:b w:val="0"/>
          <w:sz w:val="20"/>
        </w:rPr>
        <w:t>批准第一阶段同步建设企业内容知识库，使其成为所有角色、账号和区域扩展的单一事实源。</w:t>
      </w:r>
    </w:p>
    <w:p>
      <w:pPr>
        <w:pStyle w:val="ListBullet"/>
        <w:keepLines/>
        <w:spacing w:before="0" w:after="60" w:line="307" w:lineRule="auto"/>
        <w:ind w:left="312" w:hanging="159"/>
      </w:pPr>
      <w:r>
        <w:rPr>
          <w:rFonts w:ascii="Noto Sans CJK SC" w:hAnsi="Noto Sans CJK SC" w:eastAsia="Noto Sans CJK SC"/>
          <w:b w:val="0"/>
          <w:sz w:val="20"/>
        </w:rPr>
        <w:t>批准“全国核心知识不可分叉、区域知识以叠加方式继承、门店内容以真实事实贡献”的知识治理原则。</w:t>
      </w:r>
    </w:p>
    <w:p>
      <w:pPr>
        <w:pStyle w:val="ListBullet"/>
        <w:keepLines/>
        <w:spacing w:before="0" w:after="60" w:line="307" w:lineRule="auto"/>
        <w:ind w:left="312" w:hanging="159"/>
      </w:pPr>
      <w:r>
        <w:rPr>
          <w:rFonts w:ascii="Noto Sans CJK SC" w:hAnsi="Noto Sans CJK SC" w:eastAsia="Noto Sans CJK SC"/>
          <w:b w:val="0"/>
          <w:sz w:val="20"/>
        </w:rPr>
        <w:t>批准在第一阶段同步明确账号、肖像、内容版权、客户数据和离职处置的资产边界。</w:t>
      </w:r>
    </w:p>
    <w:p>
      <w:pPr>
        <w:pStyle w:val="Heading2"/>
        <w:keepNext/>
        <w:spacing w:before="200" w:after="100"/>
      </w:pPr>
      <w:r>
        <w:rPr>
          <w:rFonts w:ascii="Noto Serif CJK SC" w:hAnsi="Noto Serif CJK SC" w:eastAsia="Noto Serif CJK SC"/>
          <w:b/>
          <w:color w:val="18324B"/>
          <w:sz w:val="25"/>
        </w:rPr>
        <w:t>暂不宜过早锁定的事项</w:t>
      </w:r>
    </w:p>
    <w:p>
      <w:pPr>
        <w:pStyle w:val="ListBullet"/>
        <w:keepLines/>
        <w:spacing w:before="0" w:after="60" w:line="307" w:lineRule="auto"/>
        <w:ind w:left="312" w:hanging="159"/>
      </w:pPr>
      <w:r>
        <w:rPr>
          <w:rFonts w:ascii="Noto Sans CJK SC" w:hAnsi="Noto Sans CJK SC" w:eastAsia="Noto Sans CJK SC"/>
          <w:b w:val="0"/>
          <w:sz w:val="20"/>
        </w:rPr>
        <w:t>全国所有门店统一开设账号的数量目标。</w:t>
      </w:r>
    </w:p>
    <w:p>
      <w:pPr>
        <w:pStyle w:val="ListBullet"/>
        <w:keepLines/>
        <w:spacing w:before="0" w:after="60" w:line="307" w:lineRule="auto"/>
        <w:ind w:left="312" w:hanging="159"/>
      </w:pPr>
      <w:r>
        <w:rPr>
          <w:rFonts w:ascii="Noto Sans CJK SC" w:hAnsi="Noto Sans CJK SC" w:eastAsia="Noto Sans CJK SC"/>
          <w:b w:val="0"/>
          <w:sz w:val="20"/>
        </w:rPr>
        <w:t>要求所有员工成为个人IP或执行统一口播。</w:t>
      </w:r>
    </w:p>
    <w:p>
      <w:pPr>
        <w:pStyle w:val="ListBullet"/>
        <w:keepLines/>
        <w:spacing w:before="0" w:after="60" w:line="307" w:lineRule="auto"/>
        <w:ind w:left="312" w:hanging="159"/>
      </w:pPr>
      <w:r>
        <w:rPr>
          <w:rFonts w:ascii="Noto Sans CJK SC" w:hAnsi="Noto Sans CJK SC" w:eastAsia="Noto Sans CJK SC"/>
          <w:b w:val="0"/>
          <w:sz w:val="20"/>
        </w:rPr>
        <w:t>在知识模型和流程未确定前，先采购重型内容中台或AI平台。</w:t>
      </w:r>
    </w:p>
    <w:p>
      <w:pPr>
        <w:pStyle w:val="ListBullet"/>
        <w:keepLines/>
        <w:spacing w:before="0" w:after="60" w:line="307" w:lineRule="auto"/>
        <w:ind w:left="312" w:hanging="159"/>
      </w:pPr>
      <w:r>
        <w:rPr>
          <w:rFonts w:ascii="Noto Sans CJK SC" w:hAnsi="Noto Sans CJK SC" w:eastAsia="Noto Sans CJK SC"/>
          <w:b w:val="0"/>
          <w:sz w:val="20"/>
        </w:rPr>
        <w:t>在总部角色尚未跑通前，直接把同一套脚本向全国下发。</w:t>
      </w:r>
    </w:p>
    <w:p>
      <w:pPr>
        <w:pStyle w:val="ListBullet"/>
        <w:keepLines/>
        <w:spacing w:before="0" w:after="60" w:line="307" w:lineRule="auto"/>
        <w:ind w:left="312" w:hanging="159"/>
      </w:pPr>
      <w:r>
        <w:rPr>
          <w:rFonts w:ascii="Noto Sans CJK SC" w:hAnsi="Noto Sans CJK SC" w:eastAsia="Noto Sans CJK SC"/>
          <w:b w:val="0"/>
          <w:sz w:val="20"/>
        </w:rPr>
        <w:t>仅以播放量或短期GMV决定IP角色和内容方向。</w:t>
      </w:r>
    </w:p>
    <w:p>
      <w:r>
        <w:br w:type="page"/>
      </w:r>
    </w:p>
    <w:p>
      <w:pPr>
        <w:pStyle w:val="Heading1"/>
        <w:keepNext/>
        <w:spacing w:before="280" w:after="160"/>
      </w:pPr>
      <w:r>
        <w:rPr>
          <w:rFonts w:ascii="Noto Serif CJK SC" w:hAnsi="Noto Serif CJK SC" w:eastAsia="Noto Serif CJK SC"/>
          <w:b/>
          <w:color w:val="18324B"/>
          <w:sz w:val="31"/>
        </w:rPr>
        <w:t>目录</w:t>
      </w:r>
    </w:p>
    <w:p>
      <w:pPr>
        <w:spacing w:after="80"/>
        <w:ind w:left="255"/>
      </w:pPr>
      <w:r>
        <w:rPr>
          <w:rFonts w:ascii="Noto Sans CJK SC" w:hAnsi="Noto Sans CJK SC" w:eastAsia="Noto Sans CJK SC"/>
          <w:b w:val="0"/>
          <w:color w:val="244B66"/>
          <w:sz w:val="21"/>
        </w:rPr>
        <w:t>一、战略判断：为什么应建设组织型IP</w:t>
      </w:r>
    </w:p>
    <w:p>
      <w:pPr>
        <w:spacing w:after="80"/>
        <w:ind w:left="255"/>
      </w:pPr>
      <w:r>
        <w:rPr>
          <w:rFonts w:ascii="Noto Sans CJK SC" w:hAnsi="Noto Sans CJK SC" w:eastAsia="Noto Sans CJK SC"/>
          <w:b w:val="0"/>
          <w:color w:val="244B66"/>
          <w:sz w:val="21"/>
        </w:rPr>
        <w:t>二、优秀IP案例可迁移的底层机制</w:t>
      </w:r>
    </w:p>
    <w:p>
      <w:pPr>
        <w:spacing w:after="80"/>
        <w:ind w:left="255"/>
      </w:pPr>
      <w:r>
        <w:rPr>
          <w:rFonts w:ascii="Noto Sans CJK SC" w:hAnsi="Noto Sans CJK SC" w:eastAsia="Noto Sans CJK SC"/>
          <w:b w:val="0"/>
          <w:color w:val="244B66"/>
          <w:sz w:val="21"/>
        </w:rPr>
        <w:t>三、目标架构：三级渠道的联邦式IP体系</w:t>
      </w:r>
    </w:p>
    <w:p>
      <w:pPr>
        <w:spacing w:after="80"/>
        <w:ind w:left="255"/>
      </w:pPr>
      <w:r>
        <w:rPr>
          <w:rFonts w:ascii="Noto Sans CJK SC" w:hAnsi="Noto Sans CJK SC" w:eastAsia="Noto Sans CJK SC"/>
          <w:b w:val="0"/>
          <w:color w:val="244B66"/>
          <w:sz w:val="21"/>
        </w:rPr>
        <w:t>四、分阶段实施路线与阶段闸门</w:t>
      </w:r>
    </w:p>
    <w:p>
      <w:pPr>
        <w:spacing w:after="80"/>
        <w:ind w:left="255"/>
      </w:pPr>
      <w:r>
        <w:rPr>
          <w:rFonts w:ascii="Noto Sans CJK SC" w:hAnsi="Noto Sans CJK SC" w:eastAsia="Noto Sans CJK SC"/>
          <w:b w:val="0"/>
          <w:color w:val="244B66"/>
          <w:sz w:val="21"/>
        </w:rPr>
        <w:t>五、第一阶段：总部IP内容矩阵先行</w:t>
      </w:r>
    </w:p>
    <w:p>
      <w:pPr>
        <w:spacing w:after="80"/>
        <w:ind w:left="255"/>
      </w:pPr>
      <w:r>
        <w:rPr>
          <w:rFonts w:ascii="Noto Sans CJK SC" w:hAnsi="Noto Sans CJK SC" w:eastAsia="Noto Sans CJK SC"/>
          <w:b w:val="0"/>
          <w:color w:val="244B66"/>
          <w:sz w:val="21"/>
        </w:rPr>
        <w:t>六、第一阶段知识库：总体设计原则</w:t>
      </w:r>
    </w:p>
    <w:p>
      <w:pPr>
        <w:spacing w:after="80"/>
        <w:ind w:left="255"/>
      </w:pPr>
      <w:r>
        <w:rPr>
          <w:rFonts w:ascii="Noto Sans CJK SC" w:hAnsi="Noto Sans CJK SC" w:eastAsia="Noto Sans CJK SC"/>
          <w:b w:val="0"/>
          <w:color w:val="244B66"/>
          <w:sz w:val="21"/>
        </w:rPr>
        <w:t>七、知识库的领域架构与内容对象</w:t>
      </w:r>
    </w:p>
    <w:p>
      <w:pPr>
        <w:spacing w:after="80"/>
        <w:ind w:left="255"/>
      </w:pPr>
      <w:r>
        <w:rPr>
          <w:rFonts w:ascii="Noto Sans CJK SC" w:hAnsi="Noto Sans CJK SC" w:eastAsia="Noto Sans CJK SC"/>
          <w:b w:val="0"/>
          <w:color w:val="244B66"/>
          <w:sz w:val="21"/>
        </w:rPr>
        <w:t>八、继承式数据模型：为第二阶段预留接口</w:t>
      </w:r>
    </w:p>
    <w:p>
      <w:pPr>
        <w:spacing w:after="80"/>
        <w:ind w:left="255"/>
      </w:pPr>
      <w:r>
        <w:rPr>
          <w:rFonts w:ascii="Noto Sans CJK SC" w:hAnsi="Noto Sans CJK SC" w:eastAsia="Noto Sans CJK SC"/>
          <w:b w:val="0"/>
          <w:color w:val="244B66"/>
          <w:sz w:val="21"/>
        </w:rPr>
        <w:t>九、内容生产、审核与反馈闭环</w:t>
      </w:r>
    </w:p>
    <w:p>
      <w:pPr>
        <w:spacing w:after="80"/>
        <w:ind w:left="255"/>
      </w:pPr>
      <w:r>
        <w:rPr>
          <w:rFonts w:ascii="Noto Sans CJK SC" w:hAnsi="Noto Sans CJK SC" w:eastAsia="Noto Sans CJK SC"/>
          <w:b w:val="0"/>
          <w:color w:val="244B66"/>
          <w:sz w:val="21"/>
        </w:rPr>
        <w:t>十、组织、职责与治理机制</w:t>
      </w:r>
    </w:p>
    <w:p>
      <w:pPr>
        <w:spacing w:after="80"/>
        <w:ind w:left="255"/>
      </w:pPr>
      <w:r>
        <w:rPr>
          <w:rFonts w:ascii="Noto Sans CJK SC" w:hAnsi="Noto Sans CJK SC" w:eastAsia="Noto Sans CJK SC"/>
          <w:b w:val="0"/>
          <w:color w:val="244B66"/>
          <w:sz w:val="21"/>
        </w:rPr>
        <w:t>十一、第二阶段区域与终端试点的接入方式</w:t>
      </w:r>
    </w:p>
    <w:p>
      <w:pPr>
        <w:spacing w:after="80"/>
        <w:ind w:left="255"/>
      </w:pPr>
      <w:r>
        <w:rPr>
          <w:rFonts w:ascii="Noto Sans CJK SC" w:hAnsi="Noto Sans CJK SC" w:eastAsia="Noto Sans CJK SC"/>
          <w:b w:val="0"/>
          <w:color w:val="244B66"/>
          <w:sz w:val="21"/>
        </w:rPr>
        <w:t>十二、风险控制与资产边界</w:t>
      </w:r>
    </w:p>
    <w:p>
      <w:pPr>
        <w:spacing w:after="80"/>
        <w:ind w:left="255"/>
      </w:pPr>
      <w:r>
        <w:rPr>
          <w:rFonts w:ascii="Noto Sans CJK SC" w:hAnsi="Noto Sans CJK SC" w:eastAsia="Noto Sans CJK SC"/>
          <w:b w:val="0"/>
          <w:color w:val="244B66"/>
          <w:sz w:val="21"/>
        </w:rPr>
        <w:t>十三、指标体系与进入第二阶段的条件</w:t>
      </w:r>
    </w:p>
    <w:p>
      <w:pPr>
        <w:spacing w:after="80"/>
        <w:ind w:left="255"/>
      </w:pPr>
      <w:r>
        <w:rPr>
          <w:rFonts w:ascii="Noto Sans CJK SC" w:hAnsi="Noto Sans CJK SC" w:eastAsia="Noto Sans CJK SC"/>
          <w:b w:val="0"/>
          <w:color w:val="244B66"/>
          <w:sz w:val="21"/>
        </w:rPr>
        <w:t>十四、建议的16周第一阶段实施计划</w:t>
      </w:r>
    </w:p>
    <w:p>
      <w:pPr>
        <w:spacing w:after="80"/>
        <w:ind w:left="255"/>
      </w:pPr>
      <w:r>
        <w:rPr>
          <w:rFonts w:ascii="Noto Sans CJK SC" w:hAnsi="Noto Sans CJK SC" w:eastAsia="Noto Sans CJK SC"/>
          <w:b w:val="0"/>
          <w:color w:val="244B66"/>
          <w:sz w:val="21"/>
        </w:rPr>
        <w:t>十五、管理层结论与下一轮关键决策</w:t>
      </w:r>
    </w:p>
    <w:p>
      <w:pPr>
        <w:spacing w:after="80"/>
        <w:ind w:left="255"/>
      </w:pPr>
      <w:r>
        <w:rPr>
          <w:rFonts w:ascii="Noto Sans CJK SC" w:hAnsi="Noto Sans CJK SC" w:eastAsia="Noto Sans CJK SC"/>
          <w:b w:val="0"/>
          <w:color w:val="244B66"/>
          <w:sz w:val="21"/>
        </w:rPr>
        <w:t>附录A：最小可行知识库清单</w:t>
      </w:r>
    </w:p>
    <w:p>
      <w:pPr>
        <w:spacing w:after="80"/>
        <w:ind w:left="255"/>
      </w:pPr>
      <w:r>
        <w:rPr>
          <w:rFonts w:ascii="Noto Sans CJK SC" w:hAnsi="Noto Sans CJK SC" w:eastAsia="Noto Sans CJK SC"/>
          <w:b w:val="0"/>
          <w:color w:val="244B66"/>
          <w:sz w:val="21"/>
        </w:rPr>
        <w:t>附录B：标准知识卡与内容任务书模板</w:t>
      </w:r>
    </w:p>
    <w:p>
      <w:pPr>
        <w:spacing w:after="80"/>
        <w:ind w:left="255"/>
      </w:pPr>
      <w:r>
        <w:rPr>
          <w:rFonts w:ascii="Noto Sans CJK SC" w:hAnsi="Noto Sans CJK SC" w:eastAsia="Noto Sans CJK SC"/>
          <w:b w:val="0"/>
          <w:color w:val="244B66"/>
          <w:sz w:val="21"/>
        </w:rPr>
        <w:t>附录C：省级试点市场选择评分表</w:t>
      </w:r>
    </w:p>
    <w:p>
      <w:pPr>
        <w:spacing w:after="80"/>
        <w:ind w:left="255"/>
      </w:pPr>
      <w:r>
        <w:rPr>
          <w:rFonts w:ascii="Noto Sans CJK SC" w:hAnsi="Noto Sans CJK SC" w:eastAsia="Noto Sans CJK SC"/>
          <w:b w:val="0"/>
          <w:color w:val="244B66"/>
          <w:sz w:val="21"/>
        </w:rPr>
        <w:t>附录D：核心术语表</w:t>
      </w:r>
    </w:p>
    <w:p>
      <w:r>
        <w:br w:type="page"/>
      </w:r>
    </w:p>
    <w:p>
      <w:pPr>
        <w:pStyle w:val="Heading1"/>
        <w:keepNext/>
        <w:spacing w:before="280" w:after="160"/>
      </w:pPr>
      <w:r>
        <w:rPr>
          <w:rFonts w:ascii="Noto Serif CJK SC" w:hAnsi="Noto Serif CJK SC" w:eastAsia="Noto Serif CJK SC"/>
          <w:b/>
          <w:color w:val="18324B"/>
          <w:sz w:val="31"/>
        </w:rPr>
        <w:t>一、战略判断：为什么应建设组织型IP</w:t>
      </w:r>
    </w:p>
    <w:p>
      <w:pPr>
        <w:pStyle w:val="Heading2"/>
        <w:keepNext/>
        <w:spacing w:before="200" w:after="100"/>
      </w:pPr>
      <w:r>
        <w:rPr>
          <w:rFonts w:ascii="Noto Serif CJK SC" w:hAnsi="Noto Serif CJK SC" w:eastAsia="Noto Serif CJK SC"/>
          <w:b/>
          <w:color w:val="18324B"/>
          <w:sz w:val="25"/>
        </w:rPr>
        <w:t>1.1 组织型IP的定义</w:t>
      </w:r>
    </w:p>
    <w:p>
      <w:pPr>
        <w:keepLines/>
        <w:spacing w:before="0" w:after="100" w:line="324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组织型IP不是“组织里有很多账号”，而是组织通过长期一致的经营事实、人物角色、专业判断和用户关系，形成可被公众识别、信任和复述的整体人格。它的载体可以是创始人、设计师、商品负责人、店长、导购、门店团队、服务动作、产品系列或城市生活场景，但所有载体应共享同一品牌核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8957"/>
      </w:tblGrid>
      <w:tr>
        <w:trPr>
          <w:cantSplit/>
        </w:trPr>
        <w:tc>
          <w:tcPr>
            <w:tcW w:type="dxa" w:w="4901"/>
            <w:shd w:fill="18324B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01"/>
            <w:shd w:fill="EAF1F5"/>
            <w:tcMar>
              <w:top w:w="140" w:type="dxa"/>
              <w:start w:w="220" w:type="dxa"/>
              <w:bottom w:w="140" w:type="dxa"/>
              <w:end w:w="220" w:type="dxa"/>
            </w:tcMar>
            <w:tcBorders>
              <w:top w:val="single" w:sz="4" w:color="D9E0E4"/>
              <w:left w:val="nil"/>
              <w:bottom w:val="single" w:sz="4" w:color="D9E0E4"/>
              <w:right w:val="single" w:sz="4" w:color="D9E0E4"/>
            </w:tcBorders>
          </w:tcPr>
          <w:p>
            <w:pPr>
              <w:keepLines/>
              <w:spacing w:before="0" w:after="60" w:line="288" w:lineRule="auto"/>
            </w:pPr>
            <w:r>
              <w:rPr>
                <w:rFonts w:ascii="Noto Sans CJK SC" w:hAnsi="Noto Sans CJK SC" w:eastAsia="Noto Sans CJK SC"/>
                <w:b/>
                <w:color w:val="18324B"/>
                <w:sz w:val="21"/>
              </w:rPr>
              <w:t>定义公式</w:t>
            </w:r>
          </w:p>
          <w:p>
            <w:pPr>
              <w:keepLines/>
              <w:spacing w:before="0" w:after="0" w:line="324" w:lineRule="auto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20"/>
              </w:rPr>
              <w:t>组织型IP = 统一的品牌核心 × 多角色真实权威 × 多地域在地表达 × 可验证经营事实 × 组织化治理。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00" w:after="100"/>
      </w:pPr>
      <w:r>
        <w:rPr>
          <w:rFonts w:ascii="Noto Serif CJK SC" w:hAnsi="Noto Serif CJK SC" w:eastAsia="Noto Serif CJK SC"/>
          <w:b/>
          <w:color w:val="18324B"/>
          <w:sz w:val="25"/>
        </w:rPr>
        <w:t>1.2 三级渠道体系为何天然适合组织型IP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  <w:cantSplit/>
        </w:trPr>
        <w:tc>
          <w:tcPr>
            <w:tcW w:type="dxa" w:w="1701"/>
            <w:shd w:fill="18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结构条件</w:t>
            </w:r>
          </w:p>
        </w:tc>
        <w:tc>
          <w:tcPr>
            <w:tcW w:type="dxa" w:w="3969"/>
            <w:shd w:fill="18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已有资产</w:t>
            </w:r>
          </w:p>
        </w:tc>
        <w:tc>
          <w:tcPr>
            <w:tcW w:type="dxa" w:w="3402"/>
            <w:shd w:fill="18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战略价值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规模触点</w:t>
            </w:r>
          </w:p>
        </w:tc>
        <w:tc>
          <w:tcPr>
            <w:tcW w:type="dxa" w:w="3969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总部、省代和全国终端拥有大量真实人物、门店、商品与顾客场景，内容供给不依赖单一摄影棚。</w:t>
            </w:r>
          </w:p>
        </w:tc>
        <w:tc>
          <w:tcPr>
            <w:tcW w:type="dxa" w:w="340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形成全国多点内容触达与低边际成本分发。</w:t>
            </w:r>
          </w:p>
        </w:tc>
      </w:tr>
      <w:tr>
        <w:trPr>
          <w:cantSplit/>
        </w:trPr>
        <w:tc>
          <w:tcPr>
            <w:tcW w:type="dxa" w:w="1701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本地信任</w:t>
            </w:r>
          </w:p>
        </w:tc>
        <w:tc>
          <w:tcPr>
            <w:tcW w:type="dxa" w:w="3969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加盟终端与消费者存在持续、线下、可验证的关系。</w:t>
            </w:r>
          </w:p>
        </w:tc>
        <w:tc>
          <w:tcPr>
            <w:tcW w:type="dxa" w:w="3402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门店内容可以把抽象品牌价值转化为本地可信事实。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专业密度</w:t>
            </w:r>
          </w:p>
        </w:tc>
        <w:tc>
          <w:tcPr>
            <w:tcW w:type="dxa" w:w="3969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服装业务包含设计、面料、版型、搭配、陈列、零售服务等多种专业权威。</w:t>
            </w:r>
          </w:p>
        </w:tc>
        <w:tc>
          <w:tcPr>
            <w:tcW w:type="dxa" w:w="340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可形成角色权威矩阵，而非只有老板说话。</w:t>
            </w:r>
          </w:p>
        </w:tc>
      </w:tr>
      <w:tr>
        <w:trPr>
          <w:cantSplit/>
        </w:trPr>
        <w:tc>
          <w:tcPr>
            <w:tcW w:type="dxa" w:w="1701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生活场景</w:t>
            </w:r>
          </w:p>
        </w:tc>
        <w:tc>
          <w:tcPr>
            <w:tcW w:type="dxa" w:w="3969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服装与身体、年龄、职业、身份、社交和地域气候高度相关。</w:t>
            </w:r>
          </w:p>
        </w:tc>
        <w:tc>
          <w:tcPr>
            <w:tcW w:type="dxa" w:w="3402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内容母题天然丰富，且能进入长期生活叙事。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组织学习</w:t>
            </w:r>
          </w:p>
        </w:tc>
        <w:tc>
          <w:tcPr>
            <w:tcW w:type="dxa" w:w="3969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不同地区的问题、试穿反馈、退换原因与热销规律具有知识价值。</w:t>
            </w:r>
          </w:p>
        </w:tc>
        <w:tc>
          <w:tcPr>
            <w:tcW w:type="dxa" w:w="340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终端不只消费总部内容，也可反向贡献市场知识。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00" w:after="100"/>
      </w:pPr>
      <w:r>
        <w:rPr>
          <w:rFonts w:ascii="Noto Serif CJK SC" w:hAnsi="Noto Serif CJK SC" w:eastAsia="Noto Serif CJK SC"/>
          <w:b/>
          <w:color w:val="18324B"/>
          <w:sz w:val="25"/>
        </w:rPr>
        <w:t>1.3 同一结构也是最大风险来源</w:t>
      </w:r>
    </w:p>
    <w:p>
      <w:pPr>
        <w:keepLines/>
        <w:spacing w:before="0" w:after="100" w:line="324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全国多点突破意味着品牌可以同时拥有成百上千个真实表达节点；也意味着任何一个节点都可能造成事实错误、承诺失控、价格冲突、审美稀释、账号归属争议或个人IP反向绑架组织。因此，组织型IP的核心竞争力不是“让更多人发内容”，而是“让更多真实的人在清晰边界内持续创造价值”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tblHeader w:val="true"/>
          <w:cantSplit/>
        </w:trPr>
        <w:tc>
          <w:tcPr>
            <w:tcW w:type="dxa" w:w="2268"/>
            <w:shd w:fill="A13D3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6803"/>
            <w:shd w:fill="A13D3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典型表现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认知分叉</w:t>
            </w:r>
          </w:p>
        </w:tc>
        <w:tc>
          <w:tcPr>
            <w:tcW w:type="dxa" w:w="680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不同区域对品牌定位、目标客群和商品价值各说各话。</w:t>
            </w:r>
          </w:p>
        </w:tc>
      </w:tr>
      <w:tr>
        <w:trPr>
          <w:cantSplit/>
        </w:trPr>
        <w:tc>
          <w:tcPr>
            <w:tcW w:type="dxa" w:w="2268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事实分叉</w:t>
            </w:r>
          </w:p>
        </w:tc>
        <w:tc>
          <w:tcPr>
            <w:tcW w:type="dxa" w:w="6803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商品材质、工艺、功能和适用人群出现互相矛盾的说法。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人格失控</w:t>
            </w:r>
          </w:p>
        </w:tc>
        <w:tc>
          <w:tcPr>
            <w:tcW w:type="dxa" w:w="680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某个个人IP的观点、商业合作或离职行为反噬品牌。</w:t>
            </w:r>
          </w:p>
        </w:tc>
      </w:tr>
      <w:tr>
        <w:trPr>
          <w:cantSplit/>
        </w:trPr>
        <w:tc>
          <w:tcPr>
            <w:tcW w:type="dxa" w:w="2268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资产失控</w:t>
            </w:r>
          </w:p>
        </w:tc>
        <w:tc>
          <w:tcPr>
            <w:tcW w:type="dxa" w:w="6803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账号、粉丝、客户线索、照片视频和内容版权权属不清。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激励错配</w:t>
            </w:r>
          </w:p>
        </w:tc>
        <w:tc>
          <w:tcPr>
            <w:tcW w:type="dxa" w:w="680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总部追求品牌资产，门店只追求即时成交，导致内容退化为促销。</w:t>
            </w:r>
          </w:p>
        </w:tc>
      </w:tr>
      <w:tr>
        <w:trPr>
          <w:cantSplit/>
        </w:trPr>
        <w:tc>
          <w:tcPr>
            <w:tcW w:type="dxa" w:w="2268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能力不均</w:t>
            </w:r>
          </w:p>
        </w:tc>
        <w:tc>
          <w:tcPr>
            <w:tcW w:type="dxa" w:w="6803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少数门店表现突出，大量门店机械模仿，形成低质量内容洪水。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8957"/>
      </w:tblGrid>
      <w:tr>
        <w:trPr>
          <w:cantSplit/>
        </w:trPr>
        <w:tc>
          <w:tcPr>
            <w:tcW w:type="dxa" w:w="4901"/>
            <w:shd w:fill="B58A4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01"/>
            <w:shd w:fill="F7F1E7"/>
            <w:tcMar>
              <w:top w:w="140" w:type="dxa"/>
              <w:start w:w="220" w:type="dxa"/>
              <w:bottom w:w="140" w:type="dxa"/>
              <w:end w:w="220" w:type="dxa"/>
            </w:tcMar>
            <w:tcBorders>
              <w:top w:val="single" w:sz="4" w:color="D9E0E4"/>
              <w:left w:val="nil"/>
              <w:bottom w:val="single" w:sz="4" w:color="D9E0E4"/>
              <w:right w:val="single" w:sz="4" w:color="D9E0E4"/>
            </w:tcBorders>
          </w:tcPr>
          <w:p>
            <w:pPr>
              <w:keepLines/>
              <w:spacing w:before="0" w:after="60" w:line="288" w:lineRule="auto"/>
            </w:pPr>
            <w:r>
              <w:rPr>
                <w:rFonts w:ascii="Noto Sans CJK SC" w:hAnsi="Noto Sans CJK SC" w:eastAsia="Noto Sans CJK SC"/>
                <w:b/>
                <w:color w:val="18324B"/>
                <w:sz w:val="21"/>
              </w:rPr>
              <w:t>战略含义</w:t>
            </w:r>
          </w:p>
          <w:p>
            <w:pPr>
              <w:keepLines/>
              <w:spacing w:before="0" w:after="0" w:line="324" w:lineRule="auto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20"/>
              </w:rPr>
              <w:t>“全国多点突破”必须建立在“全国一套事实核心、一套角色规则、一套资产规则和一套反馈机制”之上。没有知识与治理底座，多点突破会放大噪音；有了底座，它才会转化为组织壁垒。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80" w:after="160"/>
      </w:pPr>
      <w:r>
        <w:rPr>
          <w:rFonts w:ascii="Noto Serif CJK SC" w:hAnsi="Noto Serif CJK SC" w:eastAsia="Noto Serif CJK SC"/>
          <w:b/>
          <w:color w:val="18324B"/>
          <w:sz w:val="31"/>
        </w:rPr>
        <w:t>二、优秀IP案例可迁移的底层机制</w:t>
      </w:r>
    </w:p>
    <w:p>
      <w:pPr>
        <w:keepLines/>
        <w:spacing w:before="0" w:after="100" w:line="324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前述代表性案例的价值，不在于复制其口头禅、镜头风格或主播形态，而在于提炼可迁移的机制。服装品牌应学习“信任如何形成、内容如何持续、组织如何承接”，而不是学习表面人设。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  <w:cantSplit/>
        </w:trPr>
        <w:tc>
          <w:tcPr>
            <w:tcW w:type="dxa" w:w="1757"/>
            <w:shd w:fill="18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案例机制</w:t>
            </w:r>
          </w:p>
        </w:tc>
        <w:tc>
          <w:tcPr>
            <w:tcW w:type="dxa" w:w="3118"/>
            <w:shd w:fill="18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底层亮点</w:t>
            </w:r>
          </w:p>
        </w:tc>
        <w:tc>
          <w:tcPr>
            <w:tcW w:type="dxa" w:w="4195"/>
            <w:shd w:fill="18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服装品牌的迁移方式</w:t>
            </w:r>
          </w:p>
        </w:tc>
      </w:tr>
      <w:tr>
        <w:trPr>
          <w:cantSplit/>
        </w:trPr>
        <w:tc>
          <w:tcPr>
            <w:tcW w:type="dxa" w:w="1757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7"/>
              </w:rPr>
              <w:t>雷军型</w:t>
            </w:r>
          </w:p>
        </w:tc>
        <w:tc>
          <w:tcPr>
            <w:tcW w:type="dxa" w:w="311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7"/>
              </w:rPr>
              <w:t>创始人以真实决策者身份解释产品、选择与取舍。</w:t>
            </w:r>
          </w:p>
        </w:tc>
        <w:tc>
          <w:tcPr>
            <w:tcW w:type="dxa" w:w="419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7"/>
              </w:rPr>
              <w:t>让品牌主理人讲“为什么这样做”，但其表达必须有企业事实和产品决策支撑。</w:t>
            </w:r>
          </w:p>
        </w:tc>
      </w:tr>
      <w:tr>
        <w:trPr>
          <w:cantSplit/>
        </w:trPr>
        <w:tc>
          <w:tcPr>
            <w:tcW w:type="dxa" w:w="1757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7"/>
              </w:rPr>
              <w:t>于东来/海底捞型</w:t>
            </w:r>
          </w:p>
        </w:tc>
        <w:tc>
          <w:tcPr>
            <w:tcW w:type="dxa" w:w="3118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7"/>
              </w:rPr>
              <w:t>IP建立在可被现场验证的组织行为和服务制度上。</w:t>
            </w:r>
          </w:p>
        </w:tc>
        <w:tc>
          <w:tcPr>
            <w:tcW w:type="dxa" w:w="4195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7"/>
              </w:rPr>
              <w:t>把门店服务、员工培养、退换处理、陈列准备等经营行为本身变成内容。</w:t>
            </w:r>
          </w:p>
        </w:tc>
      </w:tr>
      <w:tr>
        <w:trPr>
          <w:cantSplit/>
        </w:trPr>
        <w:tc>
          <w:tcPr>
            <w:tcW w:type="dxa" w:w="1757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7"/>
              </w:rPr>
              <w:t>李子柒型</w:t>
            </w:r>
          </w:p>
        </w:tc>
        <w:tc>
          <w:tcPr>
            <w:tcW w:type="dxa" w:w="311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7"/>
              </w:rPr>
              <w:t>长期稳定的审美世界与内容秩序。</w:t>
            </w:r>
          </w:p>
        </w:tc>
        <w:tc>
          <w:tcPr>
            <w:tcW w:type="dxa" w:w="419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7"/>
              </w:rPr>
              <w:t>形成品牌专属的色彩、人物状态、生活气质、镜头语言和节奏，而非逐热点漂移。</w:t>
            </w:r>
          </w:p>
        </w:tc>
      </w:tr>
      <w:tr>
        <w:trPr>
          <w:cantSplit/>
        </w:trPr>
        <w:tc>
          <w:tcPr>
            <w:tcW w:type="dxa" w:w="1757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7"/>
              </w:rPr>
              <w:t>董宇辉型</w:t>
            </w:r>
          </w:p>
        </w:tc>
        <w:tc>
          <w:tcPr>
            <w:tcW w:type="dxa" w:w="3118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7"/>
              </w:rPr>
              <w:t>内容先提供认知与陪伴价值，商品自然进入。</w:t>
            </w:r>
          </w:p>
        </w:tc>
        <w:tc>
          <w:tcPr>
            <w:tcW w:type="dxa" w:w="4195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7"/>
              </w:rPr>
              <w:t>围绕真实生活、身份处境和穿衣判断组织内容，减少硬性卖点堆砌。</w:t>
            </w:r>
          </w:p>
        </w:tc>
      </w:tr>
      <w:tr>
        <w:trPr>
          <w:cantSplit/>
        </w:trPr>
        <w:tc>
          <w:tcPr>
            <w:tcW w:type="dxa" w:w="1757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7"/>
              </w:rPr>
              <w:t>李佳琦型</w:t>
            </w:r>
          </w:p>
        </w:tc>
        <w:tc>
          <w:tcPr>
            <w:tcW w:type="dxa" w:w="311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7"/>
              </w:rPr>
              <w:t>以专业筛选和消费者代理人身份缩短决策。</w:t>
            </w:r>
          </w:p>
        </w:tc>
        <w:tc>
          <w:tcPr>
            <w:tcW w:type="dxa" w:w="419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7"/>
              </w:rPr>
              <w:t>导购/商品专家帮助用户判断版型、面料、场景和取舍，而不只是喊“显瘦、百搭”。</w:t>
            </w:r>
          </w:p>
        </w:tc>
      </w:tr>
      <w:tr>
        <w:trPr>
          <w:cantSplit/>
        </w:trPr>
        <w:tc>
          <w:tcPr>
            <w:tcW w:type="dxa" w:w="1757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7"/>
              </w:rPr>
              <w:t>雪王/LABUBU型</w:t>
            </w:r>
          </w:p>
        </w:tc>
        <w:tc>
          <w:tcPr>
            <w:tcW w:type="dxa" w:w="3118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7"/>
              </w:rPr>
              <w:t>稳定符号、角色性格和可资产化的系列表达。</w:t>
            </w:r>
          </w:p>
        </w:tc>
        <w:tc>
          <w:tcPr>
            <w:tcW w:type="dxa" w:w="4195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7"/>
              </w:rPr>
              <w:t>为商品系列、品牌栏目、服务动作建立可识别的命名、符号和重复仪式。</w:t>
            </w:r>
          </w:p>
        </w:tc>
      </w:tr>
      <w:tr>
        <w:trPr>
          <w:cantSplit/>
        </w:trPr>
        <w:tc>
          <w:tcPr>
            <w:tcW w:type="dxa" w:w="1757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7"/>
              </w:rPr>
              <w:t>俞敏洪型</w:t>
            </w:r>
          </w:p>
        </w:tc>
        <w:tc>
          <w:tcPr>
            <w:tcW w:type="dxa" w:w="311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7"/>
              </w:rPr>
              <w:t>长期职业身份、人生经历和组织历史共同构成长信任。</w:t>
            </w:r>
          </w:p>
        </w:tc>
        <w:tc>
          <w:tcPr>
            <w:tcW w:type="dxa" w:w="419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7"/>
              </w:rPr>
              <w:t>创始人或高管应围绕真实职业权威与长期母题表达，不以追求即时成交为唯一目的。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00" w:after="100"/>
      </w:pPr>
      <w:r>
        <w:rPr>
          <w:rFonts w:ascii="Noto Serif CJK SC" w:hAnsi="Noto Serif CJK SC" w:eastAsia="Noto Serif CJK SC"/>
          <w:b/>
          <w:color w:val="18324B"/>
          <w:sz w:val="25"/>
        </w:rPr>
        <w:t>2.1 六个不可缺失的IP要素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tblHeader w:val="true"/>
          <w:cantSplit/>
        </w:trPr>
        <w:tc>
          <w:tcPr>
            <w:tcW w:type="dxa" w:w="2268"/>
            <w:shd w:fill="18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要素</w:t>
            </w:r>
          </w:p>
        </w:tc>
        <w:tc>
          <w:tcPr>
            <w:tcW w:type="dxa" w:w="6803"/>
            <w:shd w:fill="18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判断标准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权威来源</w:t>
            </w:r>
          </w:p>
        </w:tc>
        <w:tc>
          <w:tcPr>
            <w:tcW w:type="dxa" w:w="680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为什么受众相信这个角色：职业、经历、经营事实、专业成果或长期关系。</w:t>
            </w:r>
          </w:p>
        </w:tc>
      </w:tr>
      <w:tr>
        <w:trPr>
          <w:cantSplit/>
        </w:trPr>
        <w:tc>
          <w:tcPr>
            <w:tcW w:type="dxa" w:w="2268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稳定角色</w:t>
            </w:r>
          </w:p>
        </w:tc>
        <w:tc>
          <w:tcPr>
            <w:tcW w:type="dxa" w:w="6803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他是谁、服务谁、在哪些问题上有资格判断、哪些问题不应越界。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价值立场</w:t>
            </w:r>
          </w:p>
        </w:tc>
        <w:tc>
          <w:tcPr>
            <w:tcW w:type="dxa" w:w="680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品牌如何看待人、衣服、身体、年龄、审美、消费与服务。</w:t>
            </w:r>
          </w:p>
        </w:tc>
      </w:tr>
      <w:tr>
        <w:trPr>
          <w:cantSplit/>
        </w:trPr>
        <w:tc>
          <w:tcPr>
            <w:tcW w:type="dxa" w:w="2268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重复场景</w:t>
            </w:r>
          </w:p>
        </w:tc>
        <w:tc>
          <w:tcPr>
            <w:tcW w:type="dxa" w:w="6803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发布会、设计室、商品会、仓库、门店、试衣间、陈列、顾客服务等。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长期母题</w:t>
            </w:r>
          </w:p>
        </w:tc>
        <w:tc>
          <w:tcPr>
            <w:tcW w:type="dxa" w:w="680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可以连续讲数年的问题，而不是依赖单次热点。</w:t>
            </w:r>
          </w:p>
        </w:tc>
      </w:tr>
      <w:tr>
        <w:trPr>
          <w:cantSplit/>
        </w:trPr>
        <w:tc>
          <w:tcPr>
            <w:tcW w:type="dxa" w:w="2268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商业承接</w:t>
            </w:r>
          </w:p>
        </w:tc>
        <w:tc>
          <w:tcPr>
            <w:tcW w:type="dxa" w:w="6803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内容如何进入商品理解、到店、私域、复购、招商、招聘和组织信任。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8957"/>
      </w:tblGrid>
      <w:tr>
        <w:trPr>
          <w:cantSplit/>
        </w:trPr>
        <w:tc>
          <w:tcPr>
            <w:tcW w:type="dxa" w:w="4901"/>
            <w:shd w:fill="18324B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01"/>
            <w:shd w:fill="EAF1F5"/>
            <w:tcMar>
              <w:top w:w="140" w:type="dxa"/>
              <w:start w:w="220" w:type="dxa"/>
              <w:bottom w:w="140" w:type="dxa"/>
              <w:end w:w="220" w:type="dxa"/>
            </w:tcMar>
            <w:tcBorders>
              <w:top w:val="single" w:sz="4" w:color="D9E0E4"/>
              <w:left w:val="nil"/>
              <w:bottom w:val="single" w:sz="4" w:color="D9E0E4"/>
              <w:right w:val="single" w:sz="4" w:color="D9E0E4"/>
            </w:tcBorders>
          </w:tcPr>
          <w:p>
            <w:pPr>
              <w:keepLines/>
              <w:spacing w:before="0" w:after="60" w:line="288" w:lineRule="auto"/>
            </w:pPr>
            <w:r>
              <w:rPr>
                <w:rFonts w:ascii="Noto Sans CJK SC" w:hAnsi="Noto Sans CJK SC" w:eastAsia="Noto Sans CJK SC"/>
                <w:b/>
                <w:color w:val="18324B"/>
                <w:sz w:val="21"/>
              </w:rPr>
              <w:t>关键提醒</w:t>
            </w:r>
          </w:p>
          <w:p>
            <w:pPr>
              <w:keepLines/>
              <w:spacing w:before="0" w:after="0" w:line="324" w:lineRule="auto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20"/>
              </w:rPr>
              <w:t>人设不是凭空设计出来的标签，而是对真实权威、真实经历和真实服务对象的结构化提炼。标签可以被模仿，权威来源和经营事实难以复制。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80" w:after="160"/>
      </w:pPr>
      <w:r>
        <w:rPr>
          <w:rFonts w:ascii="Noto Serif CJK SC" w:hAnsi="Noto Serif CJK SC" w:eastAsia="Noto Serif CJK SC"/>
          <w:b/>
          <w:color w:val="18324B"/>
          <w:sz w:val="31"/>
        </w:rPr>
        <w:t>三、目标架构：三级渠道的联邦式IP体系</w:t>
      </w:r>
    </w:p>
    <w:p>
      <w:pPr>
        <w:keepLines/>
        <w:spacing w:before="0" w:after="100" w:line="324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建议采用“一个品牌母IP、三层渠道组织、五类角色资产”的联邦式架构。联邦式的含义是：核心认知、事实与风险边界由总部统一；区域和终端在授权范围内拥有真实表达权；所有新知识以继承和叠加方式进入同一体系。</w:t>
      </w:r>
    </w:p>
    <w:p>
      <w:pPr>
        <w:pStyle w:val="Heading2"/>
        <w:keepNext/>
        <w:spacing w:before="200" w:after="100"/>
      </w:pPr>
      <w:r>
        <w:rPr>
          <w:rFonts w:ascii="Noto Serif CJK SC" w:hAnsi="Noto Serif CJK SC" w:eastAsia="Noto Serif CJK SC"/>
          <w:b/>
          <w:color w:val="18324B"/>
          <w:sz w:val="25"/>
        </w:rPr>
        <w:t>3.1 一核：品牌母IP</w:t>
      </w:r>
    </w:p>
    <w:p>
      <w:pPr>
        <w:keepLines/>
        <w:spacing w:before="0" w:after="100" w:line="324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品牌母IP不是一个账号，也不等于创始人。它是整个组织共同遵循的“看人方式”和“做事方式”，回答品牌相信怎样的生活、理解怎样的人、以何种审美和服务原则解决问题。它应成为商品开发、视觉、内容、门店服务和角色表达的共同上位规则。</w:t>
      </w:r>
    </w:p>
    <w:p>
      <w:pPr>
        <w:pStyle w:val="Heading2"/>
        <w:keepNext/>
        <w:spacing w:before="200" w:after="100"/>
      </w:pPr>
      <w:r>
        <w:rPr>
          <w:rFonts w:ascii="Noto Serif CJK SC" w:hAnsi="Noto Serif CJK SC" w:eastAsia="Noto Serif CJK SC"/>
          <w:b/>
          <w:color w:val="18324B"/>
          <w:sz w:val="25"/>
        </w:rPr>
        <w:t>3.2 三层：总部、区域、终端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rPr>
          <w:tblHeader w:val="true"/>
          <w:cantSplit/>
        </w:trPr>
        <w:tc>
          <w:tcPr>
            <w:tcW w:type="dxa" w:w="1587"/>
            <w:shd w:fill="18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1247"/>
            <w:shd w:fill="18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核心动作</w:t>
            </w:r>
          </w:p>
        </w:tc>
        <w:tc>
          <w:tcPr>
            <w:tcW w:type="dxa" w:w="4082"/>
            <w:shd w:fill="18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主要职责</w:t>
            </w:r>
          </w:p>
        </w:tc>
        <w:tc>
          <w:tcPr>
            <w:tcW w:type="dxa" w:w="2154"/>
            <w:shd w:fill="18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IP价值</w:t>
            </w:r>
          </w:p>
        </w:tc>
      </w:tr>
      <w:tr>
        <w:trPr>
          <w:cantSplit/>
        </w:trPr>
        <w:tc>
          <w:tcPr>
            <w:tcW w:type="dxa" w:w="1587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7"/>
              </w:rPr>
              <w:t>品牌总部</w:t>
            </w:r>
          </w:p>
        </w:tc>
        <w:tc>
          <w:tcPr>
            <w:tcW w:type="dxa" w:w="1247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7"/>
              </w:rPr>
              <w:t>定义</w:t>
            </w:r>
          </w:p>
        </w:tc>
        <w:tc>
          <w:tcPr>
            <w:tcW w:type="dxa" w:w="408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7"/>
              </w:rPr>
              <w:t>品牌核心、商品事实、审美边界、权威角色、全国母题、合规与资产规则。</w:t>
            </w:r>
          </w:p>
        </w:tc>
        <w:tc>
          <w:tcPr>
            <w:tcW w:type="dxa" w:w="215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7"/>
              </w:rPr>
              <w:t>统一方向和单一事实源。</w:t>
            </w:r>
          </w:p>
        </w:tc>
      </w:tr>
      <w:tr>
        <w:trPr>
          <w:cantSplit/>
        </w:trPr>
        <w:tc>
          <w:tcPr>
            <w:tcW w:type="dxa" w:w="1587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7"/>
              </w:rPr>
              <w:t>省级代理商</w:t>
            </w:r>
          </w:p>
        </w:tc>
        <w:tc>
          <w:tcPr>
            <w:tcW w:type="dxa" w:w="1247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7"/>
              </w:rPr>
              <w:t>翻译</w:t>
            </w:r>
          </w:p>
        </w:tc>
        <w:tc>
          <w:tcPr>
            <w:tcW w:type="dxa" w:w="4082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7"/>
              </w:rPr>
              <w:t>把全国核心转化为区域气候、城市结构、消费节奏、商圈与加盟经营语言。</w:t>
            </w:r>
          </w:p>
        </w:tc>
        <w:tc>
          <w:tcPr>
            <w:tcW w:type="dxa" w:w="2154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7"/>
              </w:rPr>
              <w:t>建立区域经营信任与内容组织能力。</w:t>
            </w:r>
          </w:p>
        </w:tc>
      </w:tr>
      <w:tr>
        <w:trPr>
          <w:cantSplit/>
        </w:trPr>
        <w:tc>
          <w:tcPr>
            <w:tcW w:type="dxa" w:w="1587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7"/>
              </w:rPr>
              <w:t>加盟终端</w:t>
            </w:r>
          </w:p>
        </w:tc>
        <w:tc>
          <w:tcPr>
            <w:tcW w:type="dxa" w:w="1247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7"/>
              </w:rPr>
              <w:t>证明</w:t>
            </w:r>
          </w:p>
        </w:tc>
        <w:tc>
          <w:tcPr>
            <w:tcW w:type="dxa" w:w="408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7"/>
              </w:rPr>
              <w:t>用真实人物、真实商品、真实服务和真实顾客问题证明品牌价值。</w:t>
            </w:r>
          </w:p>
        </w:tc>
        <w:tc>
          <w:tcPr>
            <w:tcW w:type="dxa" w:w="215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7"/>
              </w:rPr>
              <w:t>完成本地关系、到店与复购承接。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00" w:after="100"/>
      </w:pPr>
      <w:r>
        <w:rPr>
          <w:rFonts w:ascii="Noto Serif CJK SC" w:hAnsi="Noto Serif CJK SC" w:eastAsia="Noto Serif CJK SC"/>
          <w:b/>
          <w:color w:val="18324B"/>
          <w:sz w:val="25"/>
        </w:rPr>
        <w:t>3.3 五类角色资产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  <w:cantSplit/>
        </w:trPr>
        <w:tc>
          <w:tcPr>
            <w:tcW w:type="dxa" w:w="1871"/>
            <w:shd w:fill="18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角色类别</w:t>
            </w:r>
          </w:p>
        </w:tc>
        <w:tc>
          <w:tcPr>
            <w:tcW w:type="dxa" w:w="2948"/>
            <w:shd w:fill="18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典型载体</w:t>
            </w:r>
          </w:p>
        </w:tc>
        <w:tc>
          <w:tcPr>
            <w:tcW w:type="dxa" w:w="4252"/>
            <w:shd w:fill="18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主要内容权威</w:t>
            </w:r>
          </w:p>
        </w:tc>
      </w:tr>
      <w:tr>
        <w:trPr>
          <w:cantSplit/>
        </w:trPr>
        <w:tc>
          <w:tcPr>
            <w:tcW w:type="dxa" w:w="187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品牌价值角色</w:t>
            </w:r>
          </w:p>
        </w:tc>
        <w:tc>
          <w:tcPr>
            <w:tcW w:type="dxa" w:w="294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创始人、董事长、品牌主理人</w:t>
            </w:r>
          </w:p>
        </w:tc>
        <w:tc>
          <w:tcPr>
            <w:tcW w:type="dxa" w:w="42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企业选择、价值观、长期承诺、关键取舍。</w:t>
            </w:r>
          </w:p>
        </w:tc>
      </w:tr>
      <w:tr>
        <w:trPr>
          <w:cantSplit/>
        </w:trPr>
        <w:tc>
          <w:tcPr>
            <w:tcW w:type="dxa" w:w="1871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专业权威角色</w:t>
            </w:r>
          </w:p>
        </w:tc>
        <w:tc>
          <w:tcPr>
            <w:tcW w:type="dxa" w:w="2948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设计、商品、面料、版型、陈列、零售培训负责人</w:t>
            </w:r>
          </w:p>
        </w:tc>
        <w:tc>
          <w:tcPr>
            <w:tcW w:type="dxa" w:w="4252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解释产品与方法，建立专业可信度。</w:t>
            </w:r>
          </w:p>
        </w:tc>
      </w:tr>
      <w:tr>
        <w:trPr>
          <w:cantSplit/>
        </w:trPr>
        <w:tc>
          <w:tcPr>
            <w:tcW w:type="dxa" w:w="187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区域经营角色</w:t>
            </w:r>
          </w:p>
        </w:tc>
        <w:tc>
          <w:tcPr>
            <w:tcW w:type="dxa" w:w="294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省代负责人、区域零售负责人、区域培训师</w:t>
            </w:r>
          </w:p>
        </w:tc>
        <w:tc>
          <w:tcPr>
            <w:tcW w:type="dxa" w:w="42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解释当地消费者、经营节奏和加盟方法。</w:t>
            </w:r>
          </w:p>
        </w:tc>
      </w:tr>
      <w:tr>
        <w:trPr>
          <w:cantSplit/>
        </w:trPr>
        <w:tc>
          <w:tcPr>
            <w:tcW w:type="dxa" w:w="1871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终端关系角色</w:t>
            </w:r>
          </w:p>
        </w:tc>
        <w:tc>
          <w:tcPr>
            <w:tcW w:type="dxa" w:w="2948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店长、导购、搭配师、门店团队</w:t>
            </w:r>
          </w:p>
        </w:tc>
        <w:tc>
          <w:tcPr>
            <w:tcW w:type="dxa" w:w="4252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服务真实顾客，承接本地信任与交易。</w:t>
            </w:r>
          </w:p>
        </w:tc>
      </w:tr>
      <w:tr>
        <w:trPr>
          <w:cantSplit/>
        </w:trPr>
        <w:tc>
          <w:tcPr>
            <w:tcW w:type="dxa" w:w="187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商品/栏目符号</w:t>
            </w:r>
          </w:p>
        </w:tc>
        <w:tc>
          <w:tcPr>
            <w:tcW w:type="dxa" w:w="294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代表性单品、系列、品牌栏目、服务仪式</w:t>
            </w:r>
          </w:p>
        </w:tc>
        <w:tc>
          <w:tcPr>
            <w:tcW w:type="dxa" w:w="42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形成可重复记忆与非真人资产。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8957"/>
      </w:tblGrid>
      <w:tr>
        <w:trPr>
          <w:cantSplit/>
        </w:trPr>
        <w:tc>
          <w:tcPr>
            <w:tcW w:type="dxa" w:w="4901"/>
            <w:shd w:fill="18324B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01"/>
            <w:shd w:fill="EAF1F5"/>
            <w:tcMar>
              <w:top w:w="140" w:type="dxa"/>
              <w:start w:w="220" w:type="dxa"/>
              <w:bottom w:w="140" w:type="dxa"/>
              <w:end w:w="220" w:type="dxa"/>
            </w:tcMar>
            <w:tcBorders>
              <w:top w:val="single" w:sz="4" w:color="D9E0E4"/>
              <w:left w:val="nil"/>
              <w:bottom w:val="single" w:sz="4" w:color="D9E0E4"/>
              <w:right w:val="single" w:sz="4" w:color="D9E0E4"/>
            </w:tcBorders>
          </w:tcPr>
          <w:p>
            <w:pPr>
              <w:keepLines/>
              <w:spacing w:before="0" w:after="60" w:line="288" w:lineRule="auto"/>
            </w:pPr>
            <w:r>
              <w:rPr>
                <w:rFonts w:ascii="Noto Sans CJK SC" w:hAnsi="Noto Sans CJK SC" w:eastAsia="Noto Sans CJK SC"/>
                <w:b/>
                <w:color w:val="18324B"/>
                <w:sz w:val="21"/>
              </w:rPr>
              <w:t>目标状态</w:t>
            </w:r>
          </w:p>
          <w:p>
            <w:pPr>
              <w:keepLines/>
              <w:spacing w:before="0" w:after="0" w:line="324" w:lineRule="auto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20"/>
              </w:rPr>
              <w:t>全国不同门店说话都像真实的人，但消费者仍然能够识别：他们共享同一品牌立场、同一商品事实和同一服务原则。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80" w:after="160"/>
      </w:pPr>
      <w:r>
        <w:rPr>
          <w:rFonts w:ascii="Noto Serif CJK SC" w:hAnsi="Noto Serif CJK SC" w:eastAsia="Noto Serif CJK SC"/>
          <w:b/>
          <w:color w:val="18324B"/>
          <w:sz w:val="31"/>
        </w:rPr>
        <w:t>四、分阶段实施路线与阶段闸门</w:t>
      </w:r>
    </w:p>
    <w:p>
      <w:pPr>
        <w:keepLines/>
        <w:spacing w:before="0" w:after="100" w:line="324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组织型IP不能以“大爆发”方式全国铺开。正确路径是先在总部建立可信的核心、可用的知识、可重复的流程和可治理的角色，再让少量成熟区域以叠加方式接入，最后复制组织能力。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rPr>
          <w:tblHeader w:val="true"/>
          <w:cantSplit/>
        </w:trPr>
        <w:tc>
          <w:tcPr>
            <w:tcW w:type="dxa" w:w="1814"/>
            <w:shd w:fill="18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1247"/>
            <w:shd w:fill="18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参考周期</w:t>
            </w:r>
          </w:p>
        </w:tc>
        <w:tc>
          <w:tcPr>
            <w:tcW w:type="dxa" w:w="3742"/>
            <w:shd w:fill="18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核心任务</w:t>
            </w:r>
          </w:p>
        </w:tc>
        <w:tc>
          <w:tcPr>
            <w:tcW w:type="dxa" w:w="2268"/>
            <w:shd w:fill="18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阶段产出</w:t>
            </w:r>
          </w:p>
        </w:tc>
      </w:tr>
      <w:tr>
        <w:trPr>
          <w:cantSplit/>
        </w:trPr>
        <w:tc>
          <w:tcPr>
            <w:tcW w:type="dxa" w:w="181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7"/>
              </w:rPr>
              <w:t>阶段0：共识与边界</w:t>
            </w:r>
          </w:p>
        </w:tc>
        <w:tc>
          <w:tcPr>
            <w:tcW w:type="dxa" w:w="1247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7"/>
              </w:rPr>
              <w:t>2—4周</w:t>
            </w:r>
          </w:p>
        </w:tc>
        <w:tc>
          <w:tcPr>
            <w:tcW w:type="dxa" w:w="374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7"/>
              </w:rPr>
              <w:t>确认品牌母IP、目标人群、组织型IP原则、账号与资产规则、项目负责人。</w:t>
            </w:r>
          </w:p>
        </w:tc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7"/>
              </w:rPr>
              <w:t>战略基线、品牌IP章程、角色候选池、治理决议。</w:t>
            </w:r>
          </w:p>
        </w:tc>
      </w:tr>
      <w:tr>
        <w:trPr>
          <w:cantSplit/>
        </w:trPr>
        <w:tc>
          <w:tcPr>
            <w:tcW w:type="dxa" w:w="1814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7"/>
              </w:rPr>
              <w:t>阶段1：总部先行</w:t>
            </w:r>
          </w:p>
        </w:tc>
        <w:tc>
          <w:tcPr>
            <w:tcW w:type="dxa" w:w="1247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7"/>
              </w:rPr>
              <w:t>建议16周</w:t>
            </w:r>
          </w:p>
        </w:tc>
        <w:tc>
          <w:tcPr>
            <w:tcW w:type="dxa" w:w="3742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7"/>
              </w:rPr>
              <w:t>总部IP内容矩阵、知识库最小可行版本、内容流程、指标与数据闭环。</w:t>
            </w:r>
          </w:p>
        </w:tc>
        <w:tc>
          <w:tcPr>
            <w:tcW w:type="dxa" w:w="2268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7"/>
              </w:rPr>
              <w:t>总部可持续输出；知识对象可检索、可复用、可追溯。</w:t>
            </w:r>
          </w:p>
        </w:tc>
      </w:tr>
      <w:tr>
        <w:trPr>
          <w:cantSplit/>
        </w:trPr>
        <w:tc>
          <w:tcPr>
            <w:tcW w:type="dxa" w:w="181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7"/>
              </w:rPr>
              <w:t>阶段2：区域试点</w:t>
            </w:r>
          </w:p>
        </w:tc>
        <w:tc>
          <w:tcPr>
            <w:tcW w:type="dxa" w:w="1247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7"/>
              </w:rPr>
              <w:t>3—6个月</w:t>
            </w:r>
          </w:p>
        </w:tc>
        <w:tc>
          <w:tcPr>
            <w:tcW w:type="dxa" w:w="374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7"/>
              </w:rPr>
              <w:t>选择1—2个成熟省区及少量优质终端，验证区域叠加与门店事实贡献。</w:t>
            </w:r>
          </w:p>
        </w:tc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7"/>
              </w:rPr>
              <w:t>区域模板、门店角色样本、激励与审核模型。</w:t>
            </w:r>
          </w:p>
        </w:tc>
      </w:tr>
      <w:tr>
        <w:trPr>
          <w:cantSplit/>
        </w:trPr>
        <w:tc>
          <w:tcPr>
            <w:tcW w:type="dxa" w:w="1814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7"/>
              </w:rPr>
              <w:t>阶段3：分批复制</w:t>
            </w:r>
          </w:p>
        </w:tc>
        <w:tc>
          <w:tcPr>
            <w:tcW w:type="dxa" w:w="1247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7"/>
              </w:rPr>
              <w:t>6—18个月</w:t>
            </w:r>
          </w:p>
        </w:tc>
        <w:tc>
          <w:tcPr>
            <w:tcW w:type="dxa" w:w="3742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7"/>
              </w:rPr>
              <w:t>按区域成熟度分层复制，建设省代内容运营能力与培训认证。</w:t>
            </w:r>
          </w:p>
        </w:tc>
        <w:tc>
          <w:tcPr>
            <w:tcW w:type="dxa" w:w="2268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7"/>
              </w:rPr>
              <w:t>可复制的组织方法，而非统一成片。</w:t>
            </w:r>
          </w:p>
        </w:tc>
      </w:tr>
      <w:tr>
        <w:trPr>
          <w:cantSplit/>
        </w:trPr>
        <w:tc>
          <w:tcPr>
            <w:tcW w:type="dxa" w:w="181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7"/>
              </w:rPr>
              <w:t>阶段4：网络化运营</w:t>
            </w:r>
          </w:p>
        </w:tc>
        <w:tc>
          <w:tcPr>
            <w:tcW w:type="dxa" w:w="1247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7"/>
              </w:rPr>
              <w:t>长期</w:t>
            </w:r>
          </w:p>
        </w:tc>
        <w:tc>
          <w:tcPr>
            <w:tcW w:type="dxa" w:w="374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7"/>
              </w:rPr>
              <w:t>总部、区域、门店共同贡献知识，形成内容与经营学习网络。</w:t>
            </w:r>
          </w:p>
        </w:tc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7"/>
              </w:rPr>
              <w:t>组织型IP成为渠道能力与品牌壁垒。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00" w:after="100"/>
      </w:pPr>
      <w:r>
        <w:rPr>
          <w:rFonts w:ascii="Noto Serif CJK SC" w:hAnsi="Noto Serif CJK SC" w:eastAsia="Noto Serif CJK SC"/>
          <w:b/>
          <w:color w:val="18324B"/>
          <w:sz w:val="25"/>
        </w:rPr>
        <w:t>4.1 为什么第一阶段必须总部先行</w:t>
      </w:r>
    </w:p>
    <w:p>
      <w:pPr>
        <w:pStyle w:val="ListBullet"/>
        <w:keepLines/>
        <w:spacing w:before="0" w:after="60" w:line="307" w:lineRule="auto"/>
        <w:ind w:left="312" w:hanging="159"/>
      </w:pPr>
      <w:r>
        <w:rPr>
          <w:rFonts w:ascii="Noto Sans CJK SC" w:hAnsi="Noto Sans CJK SC" w:eastAsia="Noto Sans CJK SC"/>
          <w:b w:val="0"/>
          <w:sz w:val="20"/>
        </w:rPr>
        <w:t>总部掌握品牌历史、商品开发、视觉、价格、政策和全国经营数据，是最适合建立单一事实源的组织。</w:t>
      </w:r>
    </w:p>
    <w:p>
      <w:pPr>
        <w:pStyle w:val="ListBullet"/>
        <w:keepLines/>
        <w:spacing w:before="0" w:after="60" w:line="307" w:lineRule="auto"/>
        <w:ind w:left="312" w:hanging="159"/>
      </w:pPr>
      <w:r>
        <w:rPr>
          <w:rFonts w:ascii="Noto Sans CJK SC" w:hAnsi="Noto Sans CJK SC" w:eastAsia="Noto Sans CJK SC"/>
          <w:b w:val="0"/>
          <w:sz w:val="20"/>
        </w:rPr>
        <w:t>总部角色若尚未形成可信表达，直接要求终端“做IP”，终端只能依靠模板、促销和模仿。</w:t>
      </w:r>
    </w:p>
    <w:p>
      <w:pPr>
        <w:pStyle w:val="ListBullet"/>
        <w:keepLines/>
        <w:spacing w:before="0" w:after="60" w:line="307" w:lineRule="auto"/>
        <w:ind w:left="312" w:hanging="159"/>
      </w:pPr>
      <w:r>
        <w:rPr>
          <w:rFonts w:ascii="Noto Sans CJK SC" w:hAnsi="Noto Sans CJK SC" w:eastAsia="Noto Sans CJK SC"/>
          <w:b w:val="0"/>
          <w:sz w:val="20"/>
        </w:rPr>
        <w:t>总部先行可以先暴露品牌定位不清、产品知识分散、素材权属不明和跨部门协作缓慢等基础问题。</w:t>
      </w:r>
    </w:p>
    <w:p>
      <w:pPr>
        <w:pStyle w:val="ListBullet"/>
        <w:keepLines/>
        <w:spacing w:before="0" w:after="60" w:line="307" w:lineRule="auto"/>
        <w:ind w:left="312" w:hanging="159"/>
      </w:pPr>
      <w:r>
        <w:rPr>
          <w:rFonts w:ascii="Noto Sans CJK SC" w:hAnsi="Noto Sans CJK SC" w:eastAsia="Noto Sans CJK SC"/>
          <w:b w:val="0"/>
          <w:sz w:val="20"/>
        </w:rPr>
        <w:t>知识库、审核规则、角色授权和数据字段必须先稳定，区域试点才有可能在同一模型上继承，而非另起一套。</w:t>
      </w:r>
    </w:p>
    <w:p>
      <w:pPr>
        <w:pStyle w:val="Heading2"/>
        <w:keepNext/>
        <w:spacing w:before="200" w:after="100"/>
      </w:pPr>
      <w:r>
        <w:rPr>
          <w:rFonts w:ascii="Noto Serif CJK SC" w:hAnsi="Noto Serif CJK SC" w:eastAsia="Noto Serif CJK SC"/>
          <w:b/>
          <w:color w:val="18324B"/>
          <w:sz w:val="25"/>
        </w:rPr>
        <w:t>4.2 阶段推进的基本原则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tblHeader w:val="true"/>
          <w:cantSplit/>
        </w:trPr>
        <w:tc>
          <w:tcPr>
            <w:tcW w:type="dxa" w:w="2381"/>
            <w:shd w:fill="18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原则</w:t>
            </w:r>
          </w:p>
        </w:tc>
        <w:tc>
          <w:tcPr>
            <w:tcW w:type="dxa" w:w="6690"/>
            <w:shd w:fill="18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先“跑通”再“铺开”</w:t>
            </w:r>
          </w:p>
        </w:tc>
        <w:tc>
          <w:tcPr>
            <w:tcW w:type="dxa" w:w="669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总部至少形成连续稳定的内容机制，再进入区域。</w:t>
            </w:r>
          </w:p>
        </w:tc>
      </w:tr>
      <w:tr>
        <w:trPr>
          <w:cantSplit/>
        </w:trPr>
        <w:tc>
          <w:tcPr>
            <w:tcW w:type="dxa" w:w="2381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先“角色矩阵”再“账号矩阵”</w:t>
            </w:r>
          </w:p>
        </w:tc>
        <w:tc>
          <w:tcPr>
            <w:tcW w:type="dxa" w:w="6690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先确认谁有权威、讲什么，再决定开多少账号。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先“知识模型”再“工具采购”</w:t>
            </w:r>
          </w:p>
        </w:tc>
        <w:tc>
          <w:tcPr>
            <w:tcW w:type="dxa" w:w="669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技术平台服务于字段、权限和流程，不能替代战略设计。</w:t>
            </w:r>
          </w:p>
        </w:tc>
      </w:tr>
      <w:tr>
        <w:trPr>
          <w:cantSplit/>
        </w:trPr>
        <w:tc>
          <w:tcPr>
            <w:tcW w:type="dxa" w:w="2381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先“真实样本”再“标准化”</w:t>
            </w:r>
          </w:p>
        </w:tc>
        <w:tc>
          <w:tcPr>
            <w:tcW w:type="dxa" w:w="6690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标准应从优秀真实实践提炼，而不是由总部凭空编制。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复制方法，不复制表演</w:t>
            </w:r>
          </w:p>
        </w:tc>
        <w:tc>
          <w:tcPr>
            <w:tcW w:type="dxa" w:w="669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区域复制的是选择角色、采集事实、生成内容、审核与复盘的方法。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80" w:after="160"/>
      </w:pPr>
      <w:r>
        <w:rPr>
          <w:rFonts w:ascii="Noto Serif CJK SC" w:hAnsi="Noto Serif CJK SC" w:eastAsia="Noto Serif CJK SC"/>
          <w:b/>
          <w:color w:val="18324B"/>
          <w:sz w:val="31"/>
        </w:rPr>
        <w:t>五、第一阶段：总部IP内容矩阵先行</w:t>
      </w:r>
    </w:p>
    <w:p>
      <w:pPr>
        <w:keepLines/>
        <w:spacing w:before="0" w:after="100" w:line="324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第一阶段的“总部内容矩阵”不建议等同于一次性开设大量账号。总部首先要建立清晰的角色权威与内容主线，再根据生产能力和受众差异决定账号承载方式。矩阵的最小有效形态可以是一个品牌母账号、一个价值角色、一个或两个专业角色，以及若干稳定栏目。</w:t>
      </w:r>
    </w:p>
    <w:p>
      <w:pPr>
        <w:pStyle w:val="Heading2"/>
        <w:keepNext/>
        <w:spacing w:before="200" w:after="100"/>
      </w:pPr>
      <w:r>
        <w:rPr>
          <w:rFonts w:ascii="Noto Serif CJK SC" w:hAnsi="Noto Serif CJK SC" w:eastAsia="Noto Serif CJK SC"/>
          <w:b/>
          <w:color w:val="18324B"/>
          <w:sz w:val="25"/>
        </w:rPr>
        <w:t>5.1 建议的总部角色结构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rPr>
          <w:tblHeader w:val="true"/>
          <w:cantSplit/>
        </w:trPr>
        <w:tc>
          <w:tcPr>
            <w:tcW w:type="dxa" w:w="1814"/>
            <w:shd w:fill="18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载体</w:t>
            </w:r>
          </w:p>
        </w:tc>
        <w:tc>
          <w:tcPr>
            <w:tcW w:type="dxa" w:w="1814"/>
            <w:shd w:fill="18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角色定位</w:t>
            </w:r>
          </w:p>
        </w:tc>
        <w:tc>
          <w:tcPr>
            <w:tcW w:type="dxa" w:w="3515"/>
            <w:shd w:fill="18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主要内容</w:t>
            </w:r>
          </w:p>
        </w:tc>
        <w:tc>
          <w:tcPr>
            <w:tcW w:type="dxa" w:w="1928"/>
            <w:shd w:fill="18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第一阶段边界</w:t>
            </w:r>
          </w:p>
        </w:tc>
      </w:tr>
      <w:tr>
        <w:trPr>
          <w:cantSplit/>
        </w:trPr>
        <w:tc>
          <w:tcPr>
            <w:tcW w:type="dxa" w:w="181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7"/>
              </w:rPr>
              <w:t>品牌母账号</w:t>
            </w:r>
          </w:p>
        </w:tc>
        <w:tc>
          <w:tcPr>
            <w:tcW w:type="dxa" w:w="181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7"/>
              </w:rPr>
              <w:t>品牌机构人格</w:t>
            </w:r>
          </w:p>
        </w:tc>
        <w:tc>
          <w:tcPr>
            <w:tcW w:type="dxa" w:w="351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7"/>
              </w:rPr>
              <w:t>品牌世界观、季节主题、代表性商品、全国组织与消费者故事。</w:t>
            </w:r>
          </w:p>
        </w:tc>
        <w:tc>
          <w:tcPr>
            <w:tcW w:type="dxa" w:w="19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7"/>
              </w:rPr>
              <w:t>必须长期稳定；不承担所有促销。</w:t>
            </w:r>
          </w:p>
        </w:tc>
      </w:tr>
      <w:tr>
        <w:trPr>
          <w:cantSplit/>
        </w:trPr>
        <w:tc>
          <w:tcPr>
            <w:tcW w:type="dxa" w:w="1814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7"/>
              </w:rPr>
              <w:t>创始人/品牌主理人</w:t>
            </w:r>
          </w:p>
        </w:tc>
        <w:tc>
          <w:tcPr>
            <w:tcW w:type="dxa" w:w="1814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7"/>
              </w:rPr>
              <w:t>价值与决策权威</w:t>
            </w:r>
          </w:p>
        </w:tc>
        <w:tc>
          <w:tcPr>
            <w:tcW w:type="dxa" w:w="3515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7"/>
              </w:rPr>
              <w:t>企业为什么这样选择、对行业和用户的判断、关键取舍、长期承诺。</w:t>
            </w:r>
          </w:p>
        </w:tc>
        <w:tc>
          <w:tcPr>
            <w:tcW w:type="dxa" w:w="1928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7"/>
              </w:rPr>
              <w:t>不宜高频硬带货；避免越过专业事实。</w:t>
            </w:r>
          </w:p>
        </w:tc>
      </w:tr>
      <w:tr>
        <w:trPr>
          <w:cantSplit/>
        </w:trPr>
        <w:tc>
          <w:tcPr>
            <w:tcW w:type="dxa" w:w="181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7"/>
              </w:rPr>
              <w:t>设计/商品专家</w:t>
            </w:r>
          </w:p>
        </w:tc>
        <w:tc>
          <w:tcPr>
            <w:tcW w:type="dxa" w:w="181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7"/>
              </w:rPr>
              <w:t>产品专业权威</w:t>
            </w:r>
          </w:p>
        </w:tc>
        <w:tc>
          <w:tcPr>
            <w:tcW w:type="dxa" w:w="351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7"/>
              </w:rPr>
              <w:t>设计逻辑、面料工艺、版型取舍、商品组合和适用边界。</w:t>
            </w:r>
          </w:p>
        </w:tc>
        <w:tc>
          <w:tcPr>
            <w:tcW w:type="dxa" w:w="19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7"/>
              </w:rPr>
              <w:t>必须基于产品事实和证据。</w:t>
            </w:r>
          </w:p>
        </w:tc>
      </w:tr>
      <w:tr>
        <w:trPr>
          <w:cantSplit/>
        </w:trPr>
        <w:tc>
          <w:tcPr>
            <w:tcW w:type="dxa" w:w="1814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7"/>
              </w:rPr>
              <w:t>零售/服务专家</w:t>
            </w:r>
          </w:p>
        </w:tc>
        <w:tc>
          <w:tcPr>
            <w:tcW w:type="dxa" w:w="1814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7"/>
              </w:rPr>
              <w:t>用户与门店权威</w:t>
            </w:r>
          </w:p>
        </w:tc>
        <w:tc>
          <w:tcPr>
            <w:tcW w:type="dxa" w:w="3515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7"/>
              </w:rPr>
              <w:t>顾客问题、试穿判断、门店服务、陈列与零售方法。</w:t>
            </w:r>
          </w:p>
        </w:tc>
        <w:tc>
          <w:tcPr>
            <w:tcW w:type="dxa" w:w="1928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7"/>
              </w:rPr>
              <w:t>为第二阶段店长、导购角色提供母模型。</w:t>
            </w:r>
          </w:p>
        </w:tc>
      </w:tr>
      <w:tr>
        <w:trPr>
          <w:cantSplit/>
        </w:trPr>
        <w:tc>
          <w:tcPr>
            <w:tcW w:type="dxa" w:w="181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7"/>
              </w:rPr>
              <w:t>组织纪录栏目</w:t>
            </w:r>
          </w:p>
        </w:tc>
        <w:tc>
          <w:tcPr>
            <w:tcW w:type="dxa" w:w="181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7"/>
              </w:rPr>
              <w:t>组织事实载体</w:t>
            </w:r>
          </w:p>
        </w:tc>
        <w:tc>
          <w:tcPr>
            <w:tcW w:type="dxa" w:w="351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7"/>
              </w:rPr>
              <w:t>设计、订货、培训、陈列、物流、开店与一线协同。</w:t>
            </w:r>
          </w:p>
        </w:tc>
        <w:tc>
          <w:tcPr>
            <w:tcW w:type="dxa" w:w="19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7"/>
              </w:rPr>
              <w:t>初期可作为栏目，不必立即单独开号。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00" w:after="100"/>
      </w:pPr>
      <w:r>
        <w:rPr>
          <w:rFonts w:ascii="Noto Serif CJK SC" w:hAnsi="Noto Serif CJK SC" w:eastAsia="Noto Serif CJK SC"/>
          <w:b/>
          <w:color w:val="18324B"/>
          <w:sz w:val="25"/>
        </w:rPr>
        <w:t>5.2 四条总部长期内容主线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tblHeader w:val="true"/>
          <w:cantSplit/>
        </w:trPr>
        <w:tc>
          <w:tcPr>
            <w:tcW w:type="dxa" w:w="2551"/>
            <w:shd w:fill="18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长期主线</w:t>
            </w:r>
          </w:p>
        </w:tc>
        <w:tc>
          <w:tcPr>
            <w:tcW w:type="dxa" w:w="6520"/>
            <w:shd w:fill="18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内容范围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品牌为何存在</w:t>
            </w:r>
          </w:p>
        </w:tc>
        <w:tc>
          <w:tcPr>
            <w:tcW w:type="dxa" w:w="652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价值观、创始选择、行业判断、审美边界、长期坚持与放弃。</w:t>
            </w:r>
          </w:p>
        </w:tc>
      </w:tr>
      <w:tr>
        <w:trPr>
          <w:cantSplit/>
        </w:trPr>
        <w:tc>
          <w:tcPr>
            <w:tcW w:type="dxa" w:w="2551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衣服如何服务真实生活</w:t>
            </w:r>
          </w:p>
        </w:tc>
        <w:tc>
          <w:tcPr>
            <w:tcW w:type="dxa" w:w="6520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不同身体、年龄、职业、关系与生活场景中的穿衣问题。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商品为什么这样设计</w:t>
            </w:r>
          </w:p>
        </w:tc>
        <w:tc>
          <w:tcPr>
            <w:tcW w:type="dxa" w:w="652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面料、版型、工艺、色彩、搭配、成本与取舍的专业解释。</w:t>
            </w:r>
          </w:p>
        </w:tc>
      </w:tr>
      <w:tr>
        <w:trPr>
          <w:cantSplit/>
        </w:trPr>
        <w:tc>
          <w:tcPr>
            <w:tcW w:type="dxa" w:w="2551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一群人如何把品牌做好</w:t>
            </w:r>
          </w:p>
        </w:tc>
        <w:tc>
          <w:tcPr>
            <w:tcW w:type="dxa" w:w="6520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设计、商品、培训、陈列、门店、供应与服务的真实协作。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00" w:after="100"/>
      </w:pPr>
      <w:r>
        <w:rPr>
          <w:rFonts w:ascii="Noto Serif CJK SC" w:hAnsi="Noto Serif CJK SC" w:eastAsia="Noto Serif CJK SC"/>
          <w:b/>
          <w:color w:val="18324B"/>
          <w:sz w:val="25"/>
        </w:rPr>
        <w:t>5.3 第一阶段内容组合的建议起点</w:t>
      </w:r>
    </w:p>
    <w:p>
      <w:pPr>
        <w:keepLines/>
        <w:spacing w:before="0" w:after="100" w:line="324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下列比例是启动假设，目的在于防止内容过度促销化。正式比例应依据品牌定位、平台、季节与经营目标动态调整。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  <w:cantSplit/>
        </w:trPr>
        <w:tc>
          <w:tcPr>
            <w:tcW w:type="dxa" w:w="2551"/>
            <w:shd w:fill="18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内容类型</w:t>
            </w:r>
          </w:p>
        </w:tc>
        <w:tc>
          <w:tcPr>
            <w:tcW w:type="dxa" w:w="1701"/>
            <w:shd w:fill="18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建议占比</w:t>
            </w:r>
          </w:p>
        </w:tc>
        <w:tc>
          <w:tcPr>
            <w:tcW w:type="dxa" w:w="4819"/>
            <w:shd w:fill="18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品牌与价值叙事</w:t>
            </w:r>
          </w:p>
        </w:tc>
        <w:tc>
          <w:tcPr>
            <w:tcW w:type="dxa" w:w="170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20%—30%</w:t>
            </w:r>
          </w:p>
        </w:tc>
        <w:tc>
          <w:tcPr>
            <w:tcW w:type="dxa" w:w="4819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建立长期认知，不以当期成交为唯一目标。</w:t>
            </w:r>
          </w:p>
        </w:tc>
      </w:tr>
      <w:tr>
        <w:trPr>
          <w:cantSplit/>
        </w:trPr>
        <w:tc>
          <w:tcPr>
            <w:tcW w:type="dxa" w:w="2551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商品专业解释</w:t>
            </w:r>
          </w:p>
        </w:tc>
        <w:tc>
          <w:tcPr>
            <w:tcW w:type="dxa" w:w="1701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25%—35%</w:t>
            </w:r>
          </w:p>
        </w:tc>
        <w:tc>
          <w:tcPr>
            <w:tcW w:type="dxa" w:w="4819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构成服装品牌最核心的可验证内容资产。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真实组织与幕后</w:t>
            </w:r>
          </w:p>
        </w:tc>
        <w:tc>
          <w:tcPr>
            <w:tcW w:type="dxa" w:w="170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15%—25%</w:t>
            </w:r>
          </w:p>
        </w:tc>
        <w:tc>
          <w:tcPr>
            <w:tcW w:type="dxa" w:w="4819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让企业人格由经营事实而非广告语言支撑。</w:t>
            </w:r>
          </w:p>
        </w:tc>
      </w:tr>
      <w:tr>
        <w:trPr>
          <w:cantSplit/>
        </w:trPr>
        <w:tc>
          <w:tcPr>
            <w:tcW w:type="dxa" w:w="2551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消费者生活与穿搭判断</w:t>
            </w:r>
          </w:p>
        </w:tc>
        <w:tc>
          <w:tcPr>
            <w:tcW w:type="dxa" w:w="1701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15%—25%</w:t>
            </w:r>
          </w:p>
        </w:tc>
        <w:tc>
          <w:tcPr>
            <w:tcW w:type="dxa" w:w="4819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建立与真实处境的关联。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活动与交易转化</w:t>
            </w:r>
          </w:p>
        </w:tc>
        <w:tc>
          <w:tcPr>
            <w:tcW w:type="dxa" w:w="170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5%—15%</w:t>
            </w:r>
          </w:p>
        </w:tc>
        <w:tc>
          <w:tcPr>
            <w:tcW w:type="dxa" w:w="4819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明确承接，但不得吞噬全部内容。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00" w:after="100"/>
      </w:pPr>
      <w:r>
        <w:rPr>
          <w:rFonts w:ascii="Noto Serif CJK SC" w:hAnsi="Noto Serif CJK SC" w:eastAsia="Noto Serif CJK SC"/>
          <w:b/>
          <w:color w:val="18324B"/>
          <w:sz w:val="25"/>
        </w:rPr>
        <w:t>5.4 第一阶段不是追求“爆款数量”，而是验证五项能力</w:t>
      </w:r>
    </w:p>
    <w:p>
      <w:pPr>
        <w:keepLines/>
        <w:tabs>
          <w:tab w:pos="408" w:val="left"/>
        </w:tabs>
        <w:spacing w:before="0" w:after="60" w:line="307" w:lineRule="auto"/>
        <w:ind w:left="408" w:hanging="408"/>
      </w:pPr>
      <w:r>
        <w:rPr>
          <w:rFonts w:ascii="Noto Sans CJK SC" w:hAnsi="Noto Sans CJK SC" w:eastAsia="Noto Sans CJK SC"/>
          <w:b w:val="0"/>
          <w:color w:val="18324B"/>
          <w:sz w:val="20"/>
        </w:rPr>
        <w:t>1.</w:t>
      </w:r>
      <w:r>
        <w:rPr>
          <w:rFonts w:ascii="Noto Sans CJK SC" w:hAnsi="Noto Sans CJK SC" w:eastAsia="Noto Sans CJK SC"/>
          <w:sz w:val="20"/>
        </w:rPr>
        <w:tab/>
        <w:t>品牌能否用一致、具体且非空泛的语言解释自己。</w:t>
      </w:r>
    </w:p>
    <w:p>
      <w:pPr>
        <w:keepLines/>
        <w:tabs>
          <w:tab w:pos="408" w:val="left"/>
        </w:tabs>
        <w:spacing w:before="0" w:after="60" w:line="307" w:lineRule="auto"/>
        <w:ind w:left="408" w:hanging="408"/>
      </w:pPr>
      <w:r>
        <w:rPr>
          <w:rFonts w:ascii="Noto Sans CJK SC" w:hAnsi="Noto Sans CJK SC" w:eastAsia="Noto Sans CJK SC"/>
          <w:b w:val="0"/>
          <w:color w:val="18324B"/>
          <w:sz w:val="20"/>
        </w:rPr>
        <w:t>2.</w:t>
      </w:r>
      <w:r>
        <w:rPr>
          <w:rFonts w:ascii="Noto Sans CJK SC" w:hAnsi="Noto Sans CJK SC" w:eastAsia="Noto Sans CJK SC"/>
          <w:sz w:val="20"/>
        </w:rPr>
        <w:tab/>
        <w:t>总部角色是否拥有真实权威、稳定母题和持续表达能力。</w:t>
      </w:r>
    </w:p>
    <w:p>
      <w:pPr>
        <w:keepLines/>
        <w:tabs>
          <w:tab w:pos="408" w:val="left"/>
        </w:tabs>
        <w:spacing w:before="0" w:after="60" w:line="307" w:lineRule="auto"/>
        <w:ind w:left="408" w:hanging="408"/>
      </w:pPr>
      <w:r>
        <w:rPr>
          <w:rFonts w:ascii="Noto Sans CJK SC" w:hAnsi="Noto Sans CJK SC" w:eastAsia="Noto Sans CJK SC"/>
          <w:b w:val="0"/>
          <w:color w:val="18324B"/>
          <w:sz w:val="20"/>
        </w:rPr>
        <w:t>3.</w:t>
      </w:r>
      <w:r>
        <w:rPr>
          <w:rFonts w:ascii="Noto Sans CJK SC" w:hAnsi="Noto Sans CJK SC" w:eastAsia="Noto Sans CJK SC"/>
          <w:sz w:val="20"/>
        </w:rPr>
        <w:tab/>
        <w:t>商品知识能否被结构化，并被不同角色、平台和内容形式复用。</w:t>
      </w:r>
    </w:p>
    <w:p>
      <w:pPr>
        <w:keepLines/>
        <w:tabs>
          <w:tab w:pos="408" w:val="left"/>
        </w:tabs>
        <w:spacing w:before="0" w:after="60" w:line="307" w:lineRule="auto"/>
        <w:ind w:left="408" w:hanging="408"/>
      </w:pPr>
      <w:r>
        <w:rPr>
          <w:rFonts w:ascii="Noto Sans CJK SC" w:hAnsi="Noto Sans CJK SC" w:eastAsia="Noto Sans CJK SC"/>
          <w:b w:val="0"/>
          <w:color w:val="18324B"/>
          <w:sz w:val="20"/>
        </w:rPr>
        <w:t>4.</w:t>
      </w:r>
      <w:r>
        <w:rPr>
          <w:rFonts w:ascii="Noto Sans CJK SC" w:hAnsi="Noto Sans CJK SC" w:eastAsia="Noto Sans CJK SC"/>
          <w:sz w:val="20"/>
        </w:rPr>
        <w:tab/>
        <w:t>跨部门能否按明确责任及时供给、审核和更新知识。</w:t>
      </w:r>
    </w:p>
    <w:p>
      <w:pPr>
        <w:keepLines/>
        <w:tabs>
          <w:tab w:pos="408" w:val="left"/>
        </w:tabs>
        <w:spacing w:before="0" w:after="60" w:line="307" w:lineRule="auto"/>
        <w:ind w:left="408" w:hanging="408"/>
      </w:pPr>
      <w:r>
        <w:rPr>
          <w:rFonts w:ascii="Noto Sans CJK SC" w:hAnsi="Noto Sans CJK SC" w:eastAsia="Noto Sans CJK SC"/>
          <w:b w:val="0"/>
          <w:color w:val="18324B"/>
          <w:sz w:val="20"/>
        </w:rPr>
        <w:t>5.</w:t>
      </w:r>
      <w:r>
        <w:rPr>
          <w:rFonts w:ascii="Noto Sans CJK SC" w:hAnsi="Noto Sans CJK SC" w:eastAsia="Noto Sans CJK SC"/>
          <w:sz w:val="20"/>
        </w:rPr>
        <w:tab/>
        <w:t>内容数据能否回流并改进知识、选题和经营判断。</w:t>
      </w:r>
    </w:p>
    <w:p>
      <w:pPr>
        <w:pStyle w:val="Heading1"/>
        <w:keepNext/>
        <w:spacing w:before="280" w:after="160"/>
      </w:pPr>
      <w:r>
        <w:rPr>
          <w:rFonts w:ascii="Noto Serif CJK SC" w:hAnsi="Noto Serif CJK SC" w:eastAsia="Noto Serif CJK SC"/>
          <w:b/>
          <w:color w:val="18324B"/>
          <w:sz w:val="31"/>
        </w:rPr>
        <w:t>六、第一阶段知识库：总体设计原则</w:t>
      </w:r>
    </w:p>
    <w:p>
      <w:pPr>
        <w:keepLines/>
        <w:spacing w:before="0" w:after="100" w:line="324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第一阶段知识库的目标不是把现有PPT、培训手册、商品表和视频集中到一个网盘，而是建立一套“可以被内容生产、审核、AI辅助、区域继承和终端反馈共同调用”的知识模型。其本质是企业内容操作系统中的单一事实源、权限系统和记忆系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8957"/>
      </w:tblGrid>
      <w:tr>
        <w:trPr>
          <w:cantSplit/>
        </w:trPr>
        <w:tc>
          <w:tcPr>
            <w:tcW w:type="dxa" w:w="4901"/>
            <w:shd w:fill="18324B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01"/>
            <w:shd w:fill="EAF1F5"/>
            <w:tcMar>
              <w:top w:w="140" w:type="dxa"/>
              <w:start w:w="220" w:type="dxa"/>
              <w:bottom w:w="140" w:type="dxa"/>
              <w:end w:w="220" w:type="dxa"/>
            </w:tcMar>
            <w:tcBorders>
              <w:top w:val="single" w:sz="4" w:color="D9E0E4"/>
              <w:left w:val="nil"/>
              <w:bottom w:val="single" w:sz="4" w:color="D9E0E4"/>
              <w:right w:val="single" w:sz="4" w:color="D9E0E4"/>
            </w:tcBorders>
          </w:tcPr>
          <w:p>
            <w:pPr>
              <w:keepLines/>
              <w:spacing w:before="0" w:after="60" w:line="288" w:lineRule="auto"/>
            </w:pPr>
            <w:r>
              <w:rPr>
                <w:rFonts w:ascii="Noto Sans CJK SC" w:hAnsi="Noto Sans CJK SC" w:eastAsia="Noto Sans CJK SC"/>
                <w:b/>
                <w:color w:val="18324B"/>
                <w:sz w:val="21"/>
              </w:rPr>
              <w:t>知识库的正确定义</w:t>
            </w:r>
          </w:p>
          <w:p>
            <w:pPr>
              <w:keepLines/>
              <w:spacing w:before="0" w:after="0" w:line="324" w:lineRule="auto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20"/>
              </w:rPr>
              <w:t>知识库 = 可信事实 + 专业判断 + 角色权限 + 适用范围 + 表达边界 + 版本有效期 + 对象关系 + 反馈数据。素材文件只是知识对象的证据或表现形式之一。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00" w:after="100"/>
      </w:pPr>
      <w:r>
        <w:rPr>
          <w:rFonts w:ascii="Noto Serif CJK SC" w:hAnsi="Noto Serif CJK SC" w:eastAsia="Noto Serif CJK SC"/>
          <w:b/>
          <w:color w:val="18324B"/>
          <w:sz w:val="25"/>
        </w:rPr>
        <w:t>6.1 八项设计原则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tblHeader w:val="true"/>
          <w:cantSplit/>
        </w:trPr>
        <w:tc>
          <w:tcPr>
            <w:tcW w:type="dxa" w:w="2268"/>
            <w:shd w:fill="18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原则</w:t>
            </w:r>
          </w:p>
        </w:tc>
        <w:tc>
          <w:tcPr>
            <w:tcW w:type="dxa" w:w="6803"/>
            <w:shd w:fill="18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落实要求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单一事实源</w:t>
            </w:r>
          </w:p>
        </w:tc>
        <w:tc>
          <w:tcPr>
            <w:tcW w:type="dxa" w:w="680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品牌历史、商品参数、工艺、功能、政策等不可在多个版本中并存。</w:t>
            </w:r>
          </w:p>
        </w:tc>
      </w:tr>
      <w:tr>
        <w:trPr>
          <w:cantSplit/>
        </w:trPr>
        <w:tc>
          <w:tcPr>
            <w:tcW w:type="dxa" w:w="2268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事实/判断/表达分离</w:t>
            </w:r>
          </w:p>
        </w:tc>
        <w:tc>
          <w:tcPr>
            <w:tcW w:type="dxa" w:w="6803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把可验证事实、专业意见和创意演绎分开管理，降低“为了好看而改事实”的风险。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继承而非复制</w:t>
            </w:r>
          </w:p>
        </w:tc>
        <w:tc>
          <w:tcPr>
            <w:tcW w:type="dxa" w:w="680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总部核心对象不被区域复制修改；区域只增加叠加字段，终端只贡献事实证据。</w:t>
            </w:r>
          </w:p>
        </w:tc>
      </w:tr>
      <w:tr>
        <w:trPr>
          <w:cantSplit/>
        </w:trPr>
        <w:tc>
          <w:tcPr>
            <w:tcW w:type="dxa" w:w="2268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角色有权威边界</w:t>
            </w:r>
          </w:p>
        </w:tc>
        <w:tc>
          <w:tcPr>
            <w:tcW w:type="dxa" w:w="6803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每个角色明确可讲、需引用、需审批和禁止表达的范围。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对象化与组件化</w:t>
            </w:r>
          </w:p>
        </w:tc>
        <w:tc>
          <w:tcPr>
            <w:tcW w:type="dxa" w:w="680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知识以可复用的小单元管理，可组合为脚本、直播、图文、培训或门店话术。</w:t>
            </w:r>
          </w:p>
        </w:tc>
      </w:tr>
      <w:tr>
        <w:trPr>
          <w:cantSplit/>
        </w:trPr>
        <w:tc>
          <w:tcPr>
            <w:tcW w:type="dxa" w:w="2268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版本与有效期</w:t>
            </w:r>
          </w:p>
        </w:tc>
        <w:tc>
          <w:tcPr>
            <w:tcW w:type="dxa" w:w="6803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季节、SKU、价格、政策、活动、人员身份均必须有生效和失效机制。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证据可追溯</w:t>
            </w:r>
          </w:p>
        </w:tc>
        <w:tc>
          <w:tcPr>
            <w:tcW w:type="dxa" w:w="680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重要陈述必须能追溯到责任部门、源文件、样品测试、合同或公开材料。</w:t>
            </w:r>
          </w:p>
        </w:tc>
      </w:tr>
      <w:tr>
        <w:trPr>
          <w:cantSplit/>
        </w:trPr>
        <w:tc>
          <w:tcPr>
            <w:tcW w:type="dxa" w:w="2268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反馈可回写</w:t>
            </w:r>
          </w:p>
        </w:tc>
        <w:tc>
          <w:tcPr>
            <w:tcW w:type="dxa" w:w="6803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评论、搜索、试穿、退换、投诉和销售反馈应转化为新的问题、案例或风险规则。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00" w:after="100"/>
      </w:pPr>
      <w:r>
        <w:rPr>
          <w:rFonts w:ascii="Noto Serif CJK SC" w:hAnsi="Noto Serif CJK SC" w:eastAsia="Noto Serif CJK SC"/>
          <w:b/>
          <w:color w:val="18324B"/>
          <w:sz w:val="25"/>
        </w:rPr>
        <w:t>6.2 三条必须严格分离的边界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tblHeader w:val="true"/>
          <w:cantSplit/>
        </w:trPr>
        <w:tc>
          <w:tcPr>
            <w:tcW w:type="dxa" w:w="2381"/>
            <w:shd w:fill="18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边界</w:t>
            </w:r>
          </w:p>
        </w:tc>
        <w:tc>
          <w:tcPr>
            <w:tcW w:type="dxa" w:w="6690"/>
            <w:shd w:fill="18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治理要求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事实 vs. 表达</w:t>
            </w:r>
          </w:p>
        </w:tc>
        <w:tc>
          <w:tcPr>
            <w:tcW w:type="dxa" w:w="669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事实不可被创作；表达可以被场景化、故事化和角色化。</w:t>
            </w:r>
          </w:p>
        </w:tc>
      </w:tr>
      <w:tr>
        <w:trPr>
          <w:cantSplit/>
        </w:trPr>
        <w:tc>
          <w:tcPr>
            <w:tcW w:type="dxa" w:w="2381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组织资产 vs. 个人资产</w:t>
            </w:r>
          </w:p>
        </w:tc>
        <w:tc>
          <w:tcPr>
            <w:tcW w:type="dxa" w:w="6690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账号、内容、肖像、客户线索、商业合作和离职处置必须合同化。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全国核心 vs. 地方叠加</w:t>
            </w:r>
          </w:p>
        </w:tc>
        <w:tc>
          <w:tcPr>
            <w:tcW w:type="dxa" w:w="669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全国品牌与商品真相不可被地方改写；地方可以补充气候、城市、商圈、库存和真实案例。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00" w:after="100"/>
      </w:pPr>
      <w:r>
        <w:rPr>
          <w:rFonts w:ascii="Noto Serif CJK SC" w:hAnsi="Noto Serif CJK SC" w:eastAsia="Noto Serif CJK SC"/>
          <w:b/>
          <w:color w:val="18324B"/>
          <w:sz w:val="25"/>
        </w:rPr>
        <w:t>6.3 先建模型，再选系统</w:t>
      </w:r>
    </w:p>
    <w:p>
      <w:pPr>
        <w:keepLines/>
        <w:spacing w:before="0" w:after="100" w:line="324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第一阶段不应以“采购哪个知识库或AI平台”为起点。应先完成分类体系、字段、对象关系、责任人、权限、更新节奏和审核流程，再决定用现有协作工具、轻量数据库、数字资产管理系统或专用平台承载。否则企业只会得到一个更昂贵的文件夹。</w:t>
      </w:r>
    </w:p>
    <w:p>
      <w:pPr>
        <w:pStyle w:val="Heading1"/>
        <w:keepNext/>
        <w:spacing w:before="280" w:after="160"/>
      </w:pPr>
      <w:r>
        <w:rPr>
          <w:rFonts w:ascii="Noto Serif CJK SC" w:hAnsi="Noto Serif CJK SC" w:eastAsia="Noto Serif CJK SC"/>
          <w:b/>
          <w:color w:val="18324B"/>
          <w:sz w:val="31"/>
        </w:rPr>
        <w:t>七、知识库的领域架构与内容对象</w:t>
      </w:r>
    </w:p>
    <w:p>
      <w:pPr>
        <w:keepLines/>
        <w:spacing w:before="0" w:after="100" w:line="324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建议第一阶段建立“一个上位章程、九个核心知识域、两个预留扩展域”。每个知识域均指定业务责任人，并以标准知识卡管理，而不是仅保存原始文件。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rPr>
          <w:tblHeader w:val="true"/>
          <w:cantSplit/>
        </w:trPr>
        <w:tc>
          <w:tcPr>
            <w:tcW w:type="dxa" w:w="1701"/>
            <w:shd w:fill="18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知识域</w:t>
            </w:r>
          </w:p>
        </w:tc>
        <w:tc>
          <w:tcPr>
            <w:tcW w:type="dxa" w:w="3515"/>
            <w:shd w:fill="18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主要内容对象</w:t>
            </w:r>
          </w:p>
        </w:tc>
        <w:tc>
          <w:tcPr>
            <w:tcW w:type="dxa" w:w="1871"/>
            <w:shd w:fill="18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建议责任人</w:t>
            </w:r>
          </w:p>
        </w:tc>
        <w:tc>
          <w:tcPr>
            <w:tcW w:type="dxa" w:w="1984"/>
            <w:shd w:fill="18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对第二阶段的作用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5"/>
              </w:rPr>
              <w:t>K0 品牌IP章程</w:t>
            </w:r>
          </w:p>
        </w:tc>
        <w:tc>
          <w:tcPr>
            <w:tcW w:type="dxa" w:w="351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5"/>
              </w:rPr>
              <w:t>品牌母IP、目标人群、价值立场、审美边界、角色原则、内容红线。</w:t>
            </w:r>
          </w:p>
        </w:tc>
        <w:tc>
          <w:tcPr>
            <w:tcW w:type="dxa" w:w="187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5"/>
              </w:rPr>
              <w:t>董事长/总经理、品牌负责人</w:t>
            </w:r>
          </w:p>
        </w:tc>
        <w:tc>
          <w:tcPr>
            <w:tcW w:type="dxa" w:w="198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5"/>
              </w:rPr>
              <w:t>区域与门店必须继承。</w:t>
            </w:r>
          </w:p>
        </w:tc>
      </w:tr>
      <w:tr>
        <w:trPr>
          <w:cantSplit/>
        </w:trPr>
        <w:tc>
          <w:tcPr>
            <w:tcW w:type="dxa" w:w="1701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5"/>
              </w:rPr>
              <w:t>K1 品牌事实库</w:t>
            </w:r>
          </w:p>
        </w:tc>
        <w:tc>
          <w:tcPr>
            <w:tcW w:type="dxa" w:w="3515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5"/>
              </w:rPr>
              <w:t>历史、里程碑、组织、资质、门店网络、公益、公开数据、可对外表述。</w:t>
            </w:r>
          </w:p>
        </w:tc>
        <w:tc>
          <w:tcPr>
            <w:tcW w:type="dxa" w:w="1871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5"/>
              </w:rPr>
              <w:t>品牌/公关/法务</w:t>
            </w:r>
          </w:p>
        </w:tc>
        <w:tc>
          <w:tcPr>
            <w:tcW w:type="dxa" w:w="1984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5"/>
              </w:rPr>
              <w:t>为所有角色提供可验证企业事实。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5"/>
              </w:rPr>
              <w:t>K2 商品真相库</w:t>
            </w:r>
          </w:p>
        </w:tc>
        <w:tc>
          <w:tcPr>
            <w:tcW w:type="dxa" w:w="351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5"/>
              </w:rPr>
              <w:t>SKU、系列、面料、工艺、版型、颜色、功能、适用与不适用、洗护、证据。</w:t>
            </w:r>
          </w:p>
        </w:tc>
        <w:tc>
          <w:tcPr>
            <w:tcW w:type="dxa" w:w="187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5"/>
              </w:rPr>
              <w:t>商品/设计/质检</w:t>
            </w:r>
          </w:p>
        </w:tc>
        <w:tc>
          <w:tcPr>
            <w:tcW w:type="dxa" w:w="198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5"/>
              </w:rPr>
              <w:t>第二阶段关联区域库存与门店试穿。</w:t>
            </w:r>
          </w:p>
        </w:tc>
      </w:tr>
      <w:tr>
        <w:trPr>
          <w:cantSplit/>
        </w:trPr>
        <w:tc>
          <w:tcPr>
            <w:tcW w:type="dxa" w:w="1701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5"/>
              </w:rPr>
              <w:t>K3 用户与场景库</w:t>
            </w:r>
          </w:p>
        </w:tc>
        <w:tc>
          <w:tcPr>
            <w:tcW w:type="dxa" w:w="3515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5"/>
              </w:rPr>
              <w:t>人群、身体特征、年龄阶段、职业、生活场景、问题、顾虑、决策因素。</w:t>
            </w:r>
          </w:p>
        </w:tc>
        <w:tc>
          <w:tcPr>
            <w:tcW w:type="dxa" w:w="1871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5"/>
              </w:rPr>
              <w:t>消费者研究/零售/CRM</w:t>
            </w:r>
          </w:p>
        </w:tc>
        <w:tc>
          <w:tcPr>
            <w:tcW w:type="dxa" w:w="1984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5"/>
              </w:rPr>
              <w:t>区域可增加城市与气候差异。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5"/>
              </w:rPr>
              <w:t>K4 专业方法库</w:t>
            </w:r>
          </w:p>
        </w:tc>
        <w:tc>
          <w:tcPr>
            <w:tcW w:type="dxa" w:w="351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5"/>
              </w:rPr>
              <w:t>穿搭、版型判断、面料知识、陈列、试穿服务、零售沟通方法。</w:t>
            </w:r>
          </w:p>
        </w:tc>
        <w:tc>
          <w:tcPr>
            <w:tcW w:type="dxa" w:w="187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5"/>
              </w:rPr>
              <w:t>设计/商品/培训</w:t>
            </w:r>
          </w:p>
        </w:tc>
        <w:tc>
          <w:tcPr>
            <w:tcW w:type="dxa" w:w="198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5"/>
              </w:rPr>
              <w:t>为总部专家、店长和导购提供权威依据。</w:t>
            </w:r>
          </w:p>
        </w:tc>
      </w:tr>
      <w:tr>
        <w:trPr>
          <w:cantSplit/>
        </w:trPr>
        <w:tc>
          <w:tcPr>
            <w:tcW w:type="dxa" w:w="1701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5"/>
              </w:rPr>
              <w:t>K5 角色IP库</w:t>
            </w:r>
          </w:p>
        </w:tc>
        <w:tc>
          <w:tcPr>
            <w:tcW w:type="dxa" w:w="3515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5"/>
              </w:rPr>
              <w:t>人物履历、权威来源、服务对象、内容母题、语气、禁区、授权和账号归属。</w:t>
            </w:r>
          </w:p>
        </w:tc>
        <w:tc>
          <w:tcPr>
            <w:tcW w:type="dxa" w:w="1871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5"/>
              </w:rPr>
              <w:t>品牌/人力/法务</w:t>
            </w:r>
          </w:p>
        </w:tc>
        <w:tc>
          <w:tcPr>
            <w:tcW w:type="dxa" w:w="1984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5"/>
              </w:rPr>
              <w:t>区域和门店角色按同一模板新增。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5"/>
              </w:rPr>
              <w:t>K6 内容母题与叙事库</w:t>
            </w:r>
          </w:p>
        </w:tc>
        <w:tc>
          <w:tcPr>
            <w:tcW w:type="dxa" w:w="351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5"/>
              </w:rPr>
              <w:t>长期母题、观点、故事结构、栏目、内容模块、CTA与内容任务书。</w:t>
            </w:r>
          </w:p>
        </w:tc>
        <w:tc>
          <w:tcPr>
            <w:tcW w:type="dxa" w:w="187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5"/>
              </w:rPr>
              <w:t>内容策略/品牌</w:t>
            </w:r>
          </w:p>
        </w:tc>
        <w:tc>
          <w:tcPr>
            <w:tcW w:type="dxa" w:w="198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5"/>
              </w:rPr>
              <w:t>区域与终端按授权组合，不直接复制成片。</w:t>
            </w:r>
          </w:p>
        </w:tc>
      </w:tr>
      <w:tr>
        <w:trPr>
          <w:cantSplit/>
        </w:trPr>
        <w:tc>
          <w:tcPr>
            <w:tcW w:type="dxa" w:w="1701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5"/>
              </w:rPr>
              <w:t>K7 渠道与平台规则库</w:t>
            </w:r>
          </w:p>
        </w:tc>
        <w:tc>
          <w:tcPr>
            <w:tcW w:type="dxa" w:w="3515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5"/>
              </w:rPr>
              <w:t>平台受众、格式、时长、封面、直播、私域、线下物料、发布与互动规则。</w:t>
            </w:r>
          </w:p>
        </w:tc>
        <w:tc>
          <w:tcPr>
            <w:tcW w:type="dxa" w:w="1871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5"/>
              </w:rPr>
              <w:t>内容运营/电商/零售</w:t>
            </w:r>
          </w:p>
        </w:tc>
        <w:tc>
          <w:tcPr>
            <w:tcW w:type="dxa" w:w="1984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5"/>
              </w:rPr>
              <w:t>区域可增加本地平台和商圈规则。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5"/>
              </w:rPr>
              <w:t>K8 合规与风险库</w:t>
            </w:r>
          </w:p>
        </w:tc>
        <w:tc>
          <w:tcPr>
            <w:tcW w:type="dxa" w:w="351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5"/>
              </w:rPr>
              <w:t>广告法、功能宣称、价格、肖像、隐私、未成年人、竞品、危机话术。</w:t>
            </w:r>
          </w:p>
        </w:tc>
        <w:tc>
          <w:tcPr>
            <w:tcW w:type="dxa" w:w="187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5"/>
              </w:rPr>
              <w:t>法务/合规/公关</w:t>
            </w:r>
          </w:p>
        </w:tc>
        <w:tc>
          <w:tcPr>
            <w:tcW w:type="dxa" w:w="198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5"/>
              </w:rPr>
              <w:t>强制继承，按风险等级审批。</w:t>
            </w:r>
          </w:p>
        </w:tc>
      </w:tr>
      <w:tr>
        <w:trPr>
          <w:cantSplit/>
        </w:trPr>
        <w:tc>
          <w:tcPr>
            <w:tcW w:type="dxa" w:w="1701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5"/>
              </w:rPr>
              <w:t>K9 资产与案例库</w:t>
            </w:r>
          </w:p>
        </w:tc>
        <w:tc>
          <w:tcPr>
            <w:tcW w:type="dxa" w:w="3515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5"/>
              </w:rPr>
              <w:t>照片、视频、设计稿、样品、证书、优秀内容、失败案例、用户问题与数据。</w:t>
            </w:r>
          </w:p>
        </w:tc>
        <w:tc>
          <w:tcPr>
            <w:tcW w:type="dxa" w:w="1871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5"/>
              </w:rPr>
              <w:t>内容运营/DAM管理员</w:t>
            </w:r>
          </w:p>
        </w:tc>
        <w:tc>
          <w:tcPr>
            <w:tcW w:type="dxa" w:w="1984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5"/>
              </w:rPr>
              <w:t>门店可按授权贡献事实资产。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5"/>
              </w:rPr>
              <w:t>R1 区域叠加域（预留）</w:t>
            </w:r>
          </w:p>
        </w:tc>
        <w:tc>
          <w:tcPr>
            <w:tcW w:type="dxa" w:w="351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5"/>
              </w:rPr>
              <w:t>气候、城市、节庆、商圈、消费节奏、区域库存、地方语言、区域经营案例。</w:t>
            </w:r>
          </w:p>
        </w:tc>
        <w:tc>
          <w:tcPr>
            <w:tcW w:type="dxa" w:w="187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5"/>
              </w:rPr>
              <w:t>省代负责人（第二阶段）</w:t>
            </w:r>
          </w:p>
        </w:tc>
        <w:tc>
          <w:tcPr>
            <w:tcW w:type="dxa" w:w="198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5"/>
              </w:rPr>
              <w:t>只叠加，不覆盖总部核心。</w:t>
            </w:r>
          </w:p>
        </w:tc>
      </w:tr>
      <w:tr>
        <w:trPr>
          <w:cantSplit/>
        </w:trPr>
        <w:tc>
          <w:tcPr>
            <w:tcW w:type="dxa" w:w="1701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5"/>
              </w:rPr>
              <w:t>R2 门店事实域（预留）</w:t>
            </w:r>
          </w:p>
        </w:tc>
        <w:tc>
          <w:tcPr>
            <w:tcW w:type="dxa" w:w="3515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5"/>
              </w:rPr>
              <w:t>门店、人员、服务动作、顾客问题、试穿记录、活动、陈列与本地内容证据。</w:t>
            </w:r>
          </w:p>
        </w:tc>
        <w:tc>
          <w:tcPr>
            <w:tcW w:type="dxa" w:w="1871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5"/>
              </w:rPr>
              <w:t>店长/区域审核人（第二阶段）</w:t>
            </w:r>
          </w:p>
        </w:tc>
        <w:tc>
          <w:tcPr>
            <w:tcW w:type="dxa" w:w="1984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5"/>
              </w:rPr>
              <w:t>经授权、脱敏与审核后进入。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00" w:after="100"/>
      </w:pPr>
      <w:r>
        <w:rPr>
          <w:rFonts w:ascii="Noto Serif CJK SC" w:hAnsi="Noto Serif CJK SC" w:eastAsia="Noto Serif CJK SC"/>
          <w:b/>
          <w:color w:val="18324B"/>
          <w:sz w:val="25"/>
        </w:rPr>
        <w:t>7.1 知识对象的三种性质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  <w:cantSplit/>
        </w:trPr>
        <w:tc>
          <w:tcPr>
            <w:tcW w:type="dxa" w:w="1587"/>
            <w:shd w:fill="18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性质</w:t>
            </w:r>
          </w:p>
        </w:tc>
        <w:tc>
          <w:tcPr>
            <w:tcW w:type="dxa" w:w="3969"/>
            <w:shd w:fill="18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管理规则</w:t>
            </w:r>
          </w:p>
        </w:tc>
        <w:tc>
          <w:tcPr>
            <w:tcW w:type="dxa" w:w="3515"/>
            <w:shd w:fill="18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示例</w:t>
            </w:r>
          </w:p>
        </w:tc>
      </w:tr>
      <w:tr>
        <w:trPr>
          <w:cantSplit/>
        </w:trPr>
        <w:tc>
          <w:tcPr>
            <w:tcW w:type="dxa" w:w="1587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F：事实型</w:t>
            </w:r>
          </w:p>
        </w:tc>
        <w:tc>
          <w:tcPr>
            <w:tcW w:type="dxa" w:w="3969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可验证、必须准确，不允许角色随意改写。</w:t>
            </w:r>
          </w:p>
        </w:tc>
        <w:tc>
          <w:tcPr>
            <w:tcW w:type="dxa" w:w="351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面料成分、工艺、价格政策、门店数量、人物履历。</w:t>
            </w:r>
          </w:p>
        </w:tc>
      </w:tr>
      <w:tr>
        <w:trPr>
          <w:cantSplit/>
        </w:trPr>
        <w:tc>
          <w:tcPr>
            <w:tcW w:type="dxa" w:w="1587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J：判断型</w:t>
            </w:r>
          </w:p>
        </w:tc>
        <w:tc>
          <w:tcPr>
            <w:tcW w:type="dxa" w:w="3969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基于专业经验，可存在条件和边界，需标注责任专家。</w:t>
            </w:r>
          </w:p>
        </w:tc>
        <w:tc>
          <w:tcPr>
            <w:tcW w:type="dxa" w:w="3515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某版型更适合何种身体、某场合的搭配建议。</w:t>
            </w:r>
          </w:p>
        </w:tc>
      </w:tr>
      <w:tr>
        <w:trPr>
          <w:cantSplit/>
        </w:trPr>
        <w:tc>
          <w:tcPr>
            <w:tcW w:type="dxa" w:w="1587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E：表达型</w:t>
            </w:r>
          </w:p>
        </w:tc>
        <w:tc>
          <w:tcPr>
            <w:tcW w:type="dxa" w:w="3969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为传播而创作，可按角色和平台变化，但不得改变事实。</w:t>
            </w:r>
          </w:p>
        </w:tc>
        <w:tc>
          <w:tcPr>
            <w:tcW w:type="dxa" w:w="351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标题、比喻、故事结构、镜头、开场、轻喜剧情境。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8957"/>
      </w:tblGrid>
      <w:tr>
        <w:trPr>
          <w:cantSplit/>
        </w:trPr>
        <w:tc>
          <w:tcPr>
            <w:tcW w:type="dxa" w:w="4901"/>
            <w:shd w:fill="18324B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01"/>
            <w:shd w:fill="EAF1F5"/>
            <w:tcMar>
              <w:top w:w="140" w:type="dxa"/>
              <w:start w:w="220" w:type="dxa"/>
              <w:bottom w:w="140" w:type="dxa"/>
              <w:end w:w="220" w:type="dxa"/>
            </w:tcMar>
            <w:tcBorders>
              <w:top w:val="single" w:sz="4" w:color="D9E0E4"/>
              <w:left w:val="nil"/>
              <w:bottom w:val="single" w:sz="4" w:color="D9E0E4"/>
              <w:right w:val="single" w:sz="4" w:color="D9E0E4"/>
            </w:tcBorders>
          </w:tcPr>
          <w:p>
            <w:pPr>
              <w:keepLines/>
              <w:spacing w:before="0" w:after="60" w:line="288" w:lineRule="auto"/>
            </w:pPr>
            <w:r>
              <w:rPr>
                <w:rFonts w:ascii="Noto Sans CJK SC" w:hAnsi="Noto Sans CJK SC" w:eastAsia="Noto Sans CJK SC"/>
                <w:b/>
                <w:color w:val="18324B"/>
                <w:sz w:val="21"/>
              </w:rPr>
              <w:t>核心规则</w:t>
            </w:r>
          </w:p>
          <w:p>
            <w:pPr>
              <w:keepLines/>
              <w:spacing w:before="0" w:after="0" w:line="324" w:lineRule="auto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20"/>
              </w:rPr>
              <w:t>任何一条发布内容，都应能被拆回“引用了哪些事实、采用了谁的判断、使用了何种表达”。只有表达层可以自由变化。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00" w:after="100"/>
      </w:pPr>
      <w:r>
        <w:rPr>
          <w:rFonts w:ascii="Noto Serif CJK SC" w:hAnsi="Noto Serif CJK SC" w:eastAsia="Noto Serif CJK SC"/>
          <w:b/>
          <w:color w:val="18324B"/>
          <w:sz w:val="25"/>
        </w:rPr>
        <w:t>7.2 第一阶段建议优先结构化的知识</w:t>
      </w:r>
    </w:p>
    <w:p>
      <w:pPr>
        <w:pStyle w:val="ListBullet"/>
        <w:keepLines/>
        <w:spacing w:before="0" w:after="60" w:line="307" w:lineRule="auto"/>
        <w:ind w:left="312" w:hanging="159"/>
      </w:pPr>
      <w:r>
        <w:rPr>
          <w:rFonts w:ascii="Noto Sans CJK SC" w:hAnsi="Noto Sans CJK SC" w:eastAsia="Noto Sans CJK SC"/>
          <w:b w:val="0"/>
          <w:sz w:val="20"/>
        </w:rPr>
        <w:t>本季/核心系列的商品真相与适用边界；</w:t>
      </w:r>
    </w:p>
    <w:p>
      <w:pPr>
        <w:pStyle w:val="ListBullet"/>
        <w:keepLines/>
        <w:spacing w:before="0" w:after="60" w:line="307" w:lineRule="auto"/>
        <w:ind w:left="312" w:hanging="159"/>
      </w:pPr>
      <w:r>
        <w:rPr>
          <w:rFonts w:ascii="Noto Sans CJK SC" w:hAnsi="Noto Sans CJK SC" w:eastAsia="Noto Sans CJK SC"/>
          <w:b w:val="0"/>
          <w:sz w:val="20"/>
        </w:rPr>
        <w:t>品牌最常被问到的50—100个问题；</w:t>
      </w:r>
    </w:p>
    <w:p>
      <w:pPr>
        <w:pStyle w:val="ListBullet"/>
        <w:keepLines/>
        <w:spacing w:before="0" w:after="60" w:line="307" w:lineRule="auto"/>
        <w:ind w:left="312" w:hanging="159"/>
      </w:pPr>
      <w:r>
        <w:rPr>
          <w:rFonts w:ascii="Noto Sans CJK SC" w:hAnsi="Noto Sans CJK SC" w:eastAsia="Noto Sans CJK SC"/>
          <w:b w:val="0"/>
          <w:sz w:val="20"/>
        </w:rPr>
        <w:t>目标用户最常见的身体、年龄、职业与生活场景；</w:t>
      </w:r>
    </w:p>
    <w:p>
      <w:pPr>
        <w:pStyle w:val="ListBullet"/>
        <w:keepLines/>
        <w:spacing w:before="0" w:after="60" w:line="307" w:lineRule="auto"/>
        <w:ind w:left="312" w:hanging="159"/>
      </w:pPr>
      <w:r>
        <w:rPr>
          <w:rFonts w:ascii="Noto Sans CJK SC" w:hAnsi="Noto Sans CJK SC" w:eastAsia="Noto Sans CJK SC"/>
          <w:b w:val="0"/>
          <w:sz w:val="20"/>
        </w:rPr>
        <w:t>总部3—5个重点角色的完整角色卡；</w:t>
      </w:r>
    </w:p>
    <w:p>
      <w:pPr>
        <w:pStyle w:val="ListBullet"/>
        <w:keepLines/>
        <w:spacing w:before="0" w:after="60" w:line="307" w:lineRule="auto"/>
        <w:ind w:left="312" w:hanging="159"/>
      </w:pPr>
      <w:r>
        <w:rPr>
          <w:rFonts w:ascii="Noto Sans CJK SC" w:hAnsi="Noto Sans CJK SC" w:eastAsia="Noto Sans CJK SC"/>
          <w:b w:val="0"/>
          <w:sz w:val="20"/>
        </w:rPr>
        <w:t>可持续一年以上的30—50个内容母题；</w:t>
      </w:r>
    </w:p>
    <w:p>
      <w:pPr>
        <w:pStyle w:val="ListBullet"/>
        <w:keepLines/>
        <w:spacing w:before="0" w:after="60" w:line="307" w:lineRule="auto"/>
        <w:ind w:left="312" w:hanging="159"/>
      </w:pPr>
      <w:r>
        <w:rPr>
          <w:rFonts w:ascii="Noto Sans CJK SC" w:hAnsi="Noto Sans CJK SC" w:eastAsia="Noto Sans CJK SC"/>
          <w:b w:val="0"/>
          <w:sz w:val="20"/>
        </w:rPr>
        <w:t>所有高风险商品宣称、价格、肖像、隐私与账号资产规则；</w:t>
      </w:r>
    </w:p>
    <w:p>
      <w:pPr>
        <w:pStyle w:val="ListBullet"/>
        <w:keepLines/>
        <w:spacing w:before="0" w:after="60" w:line="307" w:lineRule="auto"/>
        <w:ind w:left="312" w:hanging="159"/>
      </w:pPr>
      <w:r>
        <w:rPr>
          <w:rFonts w:ascii="Noto Sans CJK SC" w:hAnsi="Noto Sans CJK SC" w:eastAsia="Noto Sans CJK SC"/>
          <w:b w:val="0"/>
          <w:sz w:val="20"/>
        </w:rPr>
        <w:t>一套可用于短视频、图文、直播、培训和门店话术的内容任务书模板。</w:t>
      </w:r>
    </w:p>
    <w:p>
      <w:pPr>
        <w:pStyle w:val="Heading1"/>
        <w:keepNext/>
        <w:spacing w:before="280" w:after="160"/>
      </w:pPr>
      <w:r>
        <w:rPr>
          <w:rFonts w:ascii="Noto Serif CJK SC" w:hAnsi="Noto Serif CJK SC" w:eastAsia="Noto Serif CJK SC"/>
          <w:b/>
          <w:color w:val="18324B"/>
          <w:sz w:val="31"/>
        </w:rPr>
        <w:t>八、继承式数据模型：为第二阶段预留接口</w:t>
      </w:r>
    </w:p>
    <w:p>
      <w:pPr>
        <w:keepLines/>
        <w:spacing w:before="0" w:after="100" w:line="324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第一阶段知识库最关键的设计，不是“现在装多少资料”，而是从第一天就区分全国核心、区域叠加、门店事实和反馈数据。这样进入第二阶段时，省代和门店只需在既有对象上增加新层，不需要复制总部资料、重新定义字段或建立另一套知识库。</w:t>
      </w:r>
    </w:p>
    <w:p>
      <w:pPr>
        <w:pStyle w:val="Heading2"/>
        <w:keepNext/>
        <w:spacing w:before="200" w:after="100"/>
      </w:pPr>
      <w:r>
        <w:rPr>
          <w:rFonts w:ascii="Noto Serif CJK SC" w:hAnsi="Noto Serif CJK SC" w:eastAsia="Noto Serif CJK SC"/>
          <w:b/>
          <w:color w:val="18324B"/>
          <w:sz w:val="25"/>
        </w:rPr>
        <w:t>8.1 四层继承模型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8957"/>
      </w:tblGrid>
      <w:tr>
        <w:trPr>
          <w:cantSplit/>
        </w:trPr>
        <w:tc>
          <w:tcPr>
            <w:tcW w:type="dxa" w:w="4901"/>
            <w:shd w:fill="18324B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01"/>
            <w:shd w:fill="EAF1F5"/>
            <w:tcMar>
              <w:top w:w="140" w:type="dxa"/>
              <w:start w:w="220" w:type="dxa"/>
              <w:bottom w:w="140" w:type="dxa"/>
              <w:end w:w="220" w:type="dxa"/>
            </w:tcMar>
            <w:tcBorders>
              <w:top w:val="single" w:sz="4" w:color="D9E0E4"/>
              <w:left w:val="nil"/>
              <w:bottom w:val="single" w:sz="4" w:color="D9E0E4"/>
              <w:right w:val="single" w:sz="4" w:color="D9E0E4"/>
            </w:tcBorders>
          </w:tcPr>
          <w:p>
            <w:pPr>
              <w:keepLines/>
              <w:spacing w:before="0" w:after="60" w:line="288" w:lineRule="auto"/>
            </w:pPr>
            <w:r>
              <w:rPr>
                <w:rFonts w:ascii="Noto Sans CJK SC" w:hAnsi="Noto Sans CJK SC" w:eastAsia="Noto Sans CJK SC"/>
                <w:b/>
                <w:color w:val="18324B"/>
                <w:sz w:val="21"/>
              </w:rPr>
              <w:t>L1 全国核心层｜Global Core</w:t>
            </w:r>
          </w:p>
          <w:p>
            <w:pPr>
              <w:keepLines/>
              <w:spacing w:before="0" w:after="0" w:line="324" w:lineRule="auto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20"/>
              </w:rPr>
              <w:t>品牌立场、商品真相、强制话术、禁用话术、全国角色与栏目。由总部唯一维护，区域不得覆盖。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8957"/>
      </w:tblGrid>
      <w:tr>
        <w:trPr>
          <w:cantSplit/>
        </w:trPr>
        <w:tc>
          <w:tcPr>
            <w:tcW w:type="dxa" w:w="4901"/>
            <w:shd w:fill="2C6E73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01"/>
            <w:shd w:fill="E8F2F1"/>
            <w:tcMar>
              <w:top w:w="140" w:type="dxa"/>
              <w:start w:w="220" w:type="dxa"/>
              <w:bottom w:w="140" w:type="dxa"/>
              <w:end w:w="220" w:type="dxa"/>
            </w:tcMar>
            <w:tcBorders>
              <w:top w:val="single" w:sz="4" w:color="D9E0E4"/>
              <w:left w:val="nil"/>
              <w:bottom w:val="single" w:sz="4" w:color="D9E0E4"/>
              <w:right w:val="single" w:sz="4" w:color="D9E0E4"/>
            </w:tcBorders>
          </w:tcPr>
          <w:p>
            <w:pPr>
              <w:keepLines/>
              <w:spacing w:before="0" w:after="60" w:line="288" w:lineRule="auto"/>
            </w:pPr>
            <w:r>
              <w:rPr>
                <w:rFonts w:ascii="Noto Sans CJK SC" w:hAnsi="Noto Sans CJK SC" w:eastAsia="Noto Sans CJK SC"/>
                <w:b/>
                <w:color w:val="18324B"/>
                <w:sz w:val="21"/>
              </w:rPr>
              <w:t>L2 区域叠加层｜Regional Overlay</w:t>
            </w:r>
          </w:p>
          <w:p>
            <w:pPr>
              <w:keepLines/>
              <w:spacing w:before="0" w:after="0" w:line="324" w:lineRule="auto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20"/>
              </w:rPr>
              <w:t>气候、城市、节庆、方言语感、消费节奏、区域库存、商圈与区域经营案例。仅在L1之上补充。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8957"/>
      </w:tblGrid>
      <w:tr>
        <w:trPr>
          <w:cantSplit/>
        </w:trPr>
        <w:tc>
          <w:tcPr>
            <w:tcW w:type="dxa" w:w="4901"/>
            <w:shd w:fill="B58A4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01"/>
            <w:shd w:fill="F7F1E7"/>
            <w:tcMar>
              <w:top w:w="140" w:type="dxa"/>
              <w:start w:w="220" w:type="dxa"/>
              <w:bottom w:w="140" w:type="dxa"/>
              <w:end w:w="220" w:type="dxa"/>
            </w:tcMar>
            <w:tcBorders>
              <w:top w:val="single" w:sz="4" w:color="D9E0E4"/>
              <w:left w:val="nil"/>
              <w:bottom w:val="single" w:sz="4" w:color="D9E0E4"/>
              <w:right w:val="single" w:sz="4" w:color="D9E0E4"/>
            </w:tcBorders>
          </w:tcPr>
          <w:p>
            <w:pPr>
              <w:keepLines/>
              <w:spacing w:before="0" w:after="60" w:line="288" w:lineRule="auto"/>
            </w:pPr>
            <w:r>
              <w:rPr>
                <w:rFonts w:ascii="Noto Sans CJK SC" w:hAnsi="Noto Sans CJK SC" w:eastAsia="Noto Sans CJK SC"/>
                <w:b/>
                <w:color w:val="18324B"/>
                <w:sz w:val="21"/>
              </w:rPr>
              <w:t>L3 门店事实层｜Store Evidence</w:t>
            </w:r>
          </w:p>
          <w:p>
            <w:pPr>
              <w:keepLines/>
              <w:spacing w:before="0" w:after="0" w:line="324" w:lineRule="auto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20"/>
              </w:rPr>
              <w:t>门店人员、真实服务、试穿、顾客问题、陈列、活动和本地案例。必须可验证、经授权、可脱敏。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8957"/>
      </w:tblGrid>
      <w:tr>
        <w:trPr>
          <w:cantSplit/>
        </w:trPr>
        <w:tc>
          <w:tcPr>
            <w:tcW w:type="dxa" w:w="4901"/>
            <w:shd w:fill="3E6C5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01"/>
            <w:shd w:fill="EDF5EF"/>
            <w:tcMar>
              <w:top w:w="140" w:type="dxa"/>
              <w:start w:w="220" w:type="dxa"/>
              <w:bottom w:w="140" w:type="dxa"/>
              <w:end w:w="220" w:type="dxa"/>
            </w:tcMar>
            <w:tcBorders>
              <w:top w:val="single" w:sz="4" w:color="D9E0E4"/>
              <w:left w:val="nil"/>
              <w:bottom w:val="single" w:sz="4" w:color="D9E0E4"/>
              <w:right w:val="single" w:sz="4" w:color="D9E0E4"/>
            </w:tcBorders>
          </w:tcPr>
          <w:p>
            <w:pPr>
              <w:keepLines/>
              <w:spacing w:before="0" w:after="60" w:line="288" w:lineRule="auto"/>
            </w:pPr>
            <w:r>
              <w:rPr>
                <w:rFonts w:ascii="Noto Sans CJK SC" w:hAnsi="Noto Sans CJK SC" w:eastAsia="Noto Sans CJK SC"/>
                <w:b/>
                <w:color w:val="18324B"/>
                <w:sz w:val="21"/>
              </w:rPr>
              <w:t>L4 数据反馈层｜Learning Loop</w:t>
            </w:r>
          </w:p>
          <w:p>
            <w:pPr>
              <w:keepLines/>
              <w:spacing w:before="0" w:after="0" w:line="324" w:lineRule="auto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20"/>
              </w:rPr>
              <w:t>内容表现、搜索、评论、咨询、到店、退换、投诉、销售和运营反馈，反向更新问题库与知识。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00" w:after="100"/>
      </w:pPr>
      <w:r>
        <w:rPr>
          <w:rFonts w:ascii="Noto Serif CJK SC" w:hAnsi="Noto Serif CJK SC" w:eastAsia="Noto Serif CJK SC"/>
          <w:b/>
          <w:color w:val="18324B"/>
          <w:sz w:val="25"/>
        </w:rPr>
        <w:t>8.2 “不分叉”的技术与治理规则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tblHeader w:val="true"/>
          <w:cantSplit/>
        </w:trPr>
        <w:tc>
          <w:tcPr>
            <w:tcW w:type="dxa" w:w="2268"/>
            <w:shd w:fill="18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规则</w:t>
            </w:r>
          </w:p>
        </w:tc>
        <w:tc>
          <w:tcPr>
            <w:tcW w:type="dxa" w:w="6803"/>
            <w:shd w:fill="18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要求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对象唯一ID</w:t>
            </w:r>
          </w:p>
        </w:tc>
        <w:tc>
          <w:tcPr>
            <w:tcW w:type="dxa" w:w="680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同一品牌事实、商品、角色、场景和母题在全国只有一个主ID。</w:t>
            </w:r>
          </w:p>
        </w:tc>
      </w:tr>
      <w:tr>
        <w:trPr>
          <w:cantSplit/>
        </w:trPr>
        <w:tc>
          <w:tcPr>
            <w:tcW w:type="dxa" w:w="2268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范围字段</w:t>
            </w:r>
          </w:p>
        </w:tc>
        <w:tc>
          <w:tcPr>
            <w:tcW w:type="dxa" w:w="6803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每条知识必须标注“全国/区域/门店/内部/公开”的适用范围。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继承方式</w:t>
            </w:r>
          </w:p>
        </w:tc>
        <w:tc>
          <w:tcPr>
            <w:tcW w:type="dxa" w:w="680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区域和门店通过关联主ID增加叠加字段，不复制并改写核心记录。</w:t>
            </w:r>
          </w:p>
        </w:tc>
      </w:tr>
      <w:tr>
        <w:trPr>
          <w:cantSplit/>
        </w:trPr>
        <w:tc>
          <w:tcPr>
            <w:tcW w:type="dxa" w:w="2268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强制与可变字段</w:t>
            </w:r>
          </w:p>
        </w:tc>
        <w:tc>
          <w:tcPr>
            <w:tcW w:type="dxa" w:w="6803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明确哪些句子必须保持一致，哪些内容可以本地化，哪些需二次审批。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版本与生效期</w:t>
            </w:r>
          </w:p>
        </w:tc>
        <w:tc>
          <w:tcPr>
            <w:tcW w:type="dxa" w:w="680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换季、下架、价格、政策、人员变动自动触发失效或复核。</w:t>
            </w:r>
          </w:p>
        </w:tc>
      </w:tr>
      <w:tr>
        <w:trPr>
          <w:cantSplit/>
        </w:trPr>
        <w:tc>
          <w:tcPr>
            <w:tcW w:type="dxa" w:w="2268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责任与证据</w:t>
            </w:r>
          </w:p>
        </w:tc>
        <w:tc>
          <w:tcPr>
            <w:tcW w:type="dxa" w:w="6803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每条重要知识有业务责任人、证据位置、最后复核日和风险等级。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反馈回写</w:t>
            </w:r>
          </w:p>
        </w:tc>
        <w:tc>
          <w:tcPr>
            <w:tcW w:type="dxa" w:w="680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区域和门店提交的新问题先进入候选区，经审核后升级为全国、区域或门店知识。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00" w:after="100"/>
      </w:pPr>
      <w:r>
        <w:rPr>
          <w:rFonts w:ascii="Noto Serif CJK SC" w:hAnsi="Noto Serif CJK SC" w:eastAsia="Noto Serif CJK SC"/>
          <w:b/>
          <w:color w:val="18324B"/>
          <w:sz w:val="25"/>
        </w:rPr>
        <w:t>8.3 每个知识对象的标准元数据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tblHeader w:val="true"/>
          <w:cantSplit/>
        </w:trPr>
        <w:tc>
          <w:tcPr>
            <w:tcW w:type="dxa" w:w="2268"/>
            <w:shd w:fill="18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字段组</w:t>
            </w:r>
          </w:p>
        </w:tc>
        <w:tc>
          <w:tcPr>
            <w:tcW w:type="dxa" w:w="6803"/>
            <w:shd w:fill="18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核心字段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身份字段</w:t>
            </w:r>
          </w:p>
        </w:tc>
        <w:tc>
          <w:tcPr>
            <w:tcW w:type="dxa" w:w="680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对象ID、对象类型、标题、摘要、关键词、关联对象。</w:t>
            </w:r>
          </w:p>
        </w:tc>
      </w:tr>
      <w:tr>
        <w:trPr>
          <w:cantSplit/>
        </w:trPr>
        <w:tc>
          <w:tcPr>
            <w:tcW w:type="dxa" w:w="2268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真实性字段</w:t>
            </w:r>
          </w:p>
        </w:tc>
        <w:tc>
          <w:tcPr>
            <w:tcW w:type="dxa" w:w="6803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事实/判断/表达性质、来源、证据、责任专家、可信等级。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范围字段</w:t>
            </w:r>
          </w:p>
        </w:tc>
        <w:tc>
          <w:tcPr>
            <w:tcW w:type="dxa" w:w="680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全国/区域/门店、公开/内部、适用人群、适用渠道。</w:t>
            </w:r>
          </w:p>
        </w:tc>
      </w:tr>
      <w:tr>
        <w:trPr>
          <w:cantSplit/>
        </w:trPr>
        <w:tc>
          <w:tcPr>
            <w:tcW w:type="dxa" w:w="2268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继承字段</w:t>
            </w:r>
          </w:p>
        </w:tc>
        <w:tc>
          <w:tcPr>
            <w:tcW w:type="dxa" w:w="6803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强制保留、允许改写、允许叠加、禁止使用的内容。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生命周期字段</w:t>
            </w:r>
          </w:p>
        </w:tc>
        <w:tc>
          <w:tcPr>
            <w:tcW w:type="dxa" w:w="680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版本、生效日、失效日、状态、复核周期、最后更新人。</w:t>
            </w:r>
          </w:p>
        </w:tc>
      </w:tr>
      <w:tr>
        <w:trPr>
          <w:cantSplit/>
        </w:trPr>
        <w:tc>
          <w:tcPr>
            <w:tcW w:type="dxa" w:w="2268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风险字段</w:t>
            </w:r>
          </w:p>
        </w:tc>
        <w:tc>
          <w:tcPr>
            <w:tcW w:type="dxa" w:w="6803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风险等级、法务要求、隐私标记、肖像授权、敏感词。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运营字段</w:t>
            </w:r>
          </w:p>
        </w:tc>
        <w:tc>
          <w:tcPr>
            <w:tcW w:type="dxa" w:w="680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可用角色、可用平台、内容目标、关联CTA、资产链接。</w:t>
            </w:r>
          </w:p>
        </w:tc>
      </w:tr>
      <w:tr>
        <w:trPr>
          <w:cantSplit/>
        </w:trPr>
        <w:tc>
          <w:tcPr>
            <w:tcW w:type="dxa" w:w="2268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学习字段</w:t>
            </w:r>
          </w:p>
        </w:tc>
        <w:tc>
          <w:tcPr>
            <w:tcW w:type="dxa" w:w="6803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使用次数、表现数据、问题反馈、争议记录、改进建议。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00" w:after="100"/>
      </w:pPr>
      <w:r>
        <w:rPr>
          <w:rFonts w:ascii="Noto Serif CJK SC" w:hAnsi="Noto Serif CJK SC" w:eastAsia="Noto Serif CJK SC"/>
          <w:b/>
          <w:color w:val="18324B"/>
          <w:sz w:val="25"/>
        </w:rPr>
        <w:t>8.4 一个知识对象如何跨三级渠道复用：示例</w:t>
      </w:r>
    </w:p>
    <w:p>
      <w:pPr>
        <w:keepLines/>
        <w:spacing w:before="0" w:after="100" w:line="324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以下以“核心单品X的版型取舍”为示意，不包含具体商品事实。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  <w:cantSplit/>
        </w:trPr>
        <w:tc>
          <w:tcPr>
            <w:tcW w:type="dxa" w:w="1757"/>
            <w:shd w:fill="18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4649"/>
            <w:shd w:fill="18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新增内容</w:t>
            </w:r>
          </w:p>
        </w:tc>
        <w:tc>
          <w:tcPr>
            <w:tcW w:type="dxa" w:w="2665"/>
            <w:shd w:fill="18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责任边界</w:t>
            </w:r>
          </w:p>
        </w:tc>
      </w:tr>
      <w:tr>
        <w:trPr>
          <w:cantSplit/>
        </w:trPr>
        <w:tc>
          <w:tcPr>
            <w:tcW w:type="dxa" w:w="1757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总部核心事实</w:t>
            </w:r>
          </w:p>
        </w:tc>
        <w:tc>
          <w:tcPr>
            <w:tcW w:type="dxa" w:w="4649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版型结构、设计目的、适用与不适用、样衣与测试证据。</w:t>
            </w:r>
          </w:p>
        </w:tc>
        <w:tc>
          <w:tcPr>
            <w:tcW w:type="dxa" w:w="266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商品/设计负责人维护。</w:t>
            </w:r>
          </w:p>
        </w:tc>
      </w:tr>
      <w:tr>
        <w:trPr>
          <w:cantSplit/>
        </w:trPr>
        <w:tc>
          <w:tcPr>
            <w:tcW w:type="dxa" w:w="1757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总部品牌表达</w:t>
            </w:r>
          </w:p>
        </w:tc>
        <w:tc>
          <w:tcPr>
            <w:tcW w:type="dxa" w:w="4649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为什么品牌选择这种轮廓，以及它服务何种生活状态。</w:t>
            </w:r>
          </w:p>
        </w:tc>
        <w:tc>
          <w:tcPr>
            <w:tcW w:type="dxa" w:w="2665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品牌母账号/主理人。</w:t>
            </w:r>
          </w:p>
        </w:tc>
      </w:tr>
      <w:tr>
        <w:trPr>
          <w:cantSplit/>
        </w:trPr>
        <w:tc>
          <w:tcPr>
            <w:tcW w:type="dxa" w:w="1757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总部专家表达</w:t>
            </w:r>
          </w:p>
        </w:tc>
        <w:tc>
          <w:tcPr>
            <w:tcW w:type="dxa" w:w="4649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肩、腰、长度等结构如何影响穿着感受，提供条件化建议。</w:t>
            </w:r>
          </w:p>
        </w:tc>
        <w:tc>
          <w:tcPr>
            <w:tcW w:type="dxa" w:w="266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设计/商品专家。</w:t>
            </w:r>
          </w:p>
        </w:tc>
      </w:tr>
      <w:tr>
        <w:trPr>
          <w:cantSplit/>
        </w:trPr>
        <w:tc>
          <w:tcPr>
            <w:tcW w:type="dxa" w:w="1757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区域叠加</w:t>
            </w:r>
          </w:p>
        </w:tc>
        <w:tc>
          <w:tcPr>
            <w:tcW w:type="dxa" w:w="4649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当地温度、通勤方式、季节时长与搭配需求。</w:t>
            </w:r>
          </w:p>
        </w:tc>
        <w:tc>
          <w:tcPr>
            <w:tcW w:type="dxa" w:w="2665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省代仅补充本地条件。</w:t>
            </w:r>
          </w:p>
        </w:tc>
      </w:tr>
      <w:tr>
        <w:trPr>
          <w:cantSplit/>
        </w:trPr>
        <w:tc>
          <w:tcPr>
            <w:tcW w:type="dxa" w:w="1757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门店事实</w:t>
            </w:r>
          </w:p>
        </w:tc>
        <w:tc>
          <w:tcPr>
            <w:tcW w:type="dxa" w:w="4649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真实顾客最常问的问题、试穿观察、搭配组合与服务过程。</w:t>
            </w:r>
          </w:p>
        </w:tc>
        <w:tc>
          <w:tcPr>
            <w:tcW w:type="dxa" w:w="266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门店记录并授权。</w:t>
            </w:r>
          </w:p>
        </w:tc>
      </w:tr>
      <w:tr>
        <w:trPr>
          <w:cantSplit/>
        </w:trPr>
        <w:tc>
          <w:tcPr>
            <w:tcW w:type="dxa" w:w="1757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数据反馈</w:t>
            </w:r>
          </w:p>
        </w:tc>
        <w:tc>
          <w:tcPr>
            <w:tcW w:type="dxa" w:w="4649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评论中出现的新问题、退换原因、不同城市的差异。</w:t>
            </w:r>
          </w:p>
        </w:tc>
        <w:tc>
          <w:tcPr>
            <w:tcW w:type="dxa" w:w="2665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回写问题库和商品知识。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8957"/>
      </w:tblGrid>
      <w:tr>
        <w:trPr>
          <w:cantSplit/>
        </w:trPr>
        <w:tc>
          <w:tcPr>
            <w:tcW w:type="dxa" w:w="4901"/>
            <w:shd w:fill="18324B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01"/>
            <w:shd w:fill="EAF1F5"/>
            <w:tcMar>
              <w:top w:w="140" w:type="dxa"/>
              <w:start w:w="220" w:type="dxa"/>
              <w:bottom w:w="140" w:type="dxa"/>
              <w:end w:w="220" w:type="dxa"/>
            </w:tcMar>
            <w:tcBorders>
              <w:top w:val="single" w:sz="4" w:color="D9E0E4"/>
              <w:left w:val="nil"/>
              <w:bottom w:val="single" w:sz="4" w:color="D9E0E4"/>
              <w:right w:val="single" w:sz="4" w:color="D9E0E4"/>
            </w:tcBorders>
          </w:tcPr>
          <w:p>
            <w:pPr>
              <w:keepLines/>
              <w:spacing w:before="0" w:after="60" w:line="288" w:lineRule="auto"/>
            </w:pPr>
            <w:r>
              <w:rPr>
                <w:rFonts w:ascii="Noto Sans CJK SC" w:hAnsi="Noto Sans CJK SC" w:eastAsia="Noto Sans CJK SC"/>
                <w:b/>
                <w:color w:val="18324B"/>
                <w:sz w:val="21"/>
              </w:rPr>
              <w:t>向后兼容的本质</w:t>
            </w:r>
          </w:p>
          <w:p>
            <w:pPr>
              <w:keepLines/>
              <w:spacing w:before="0" w:after="0" w:line="324" w:lineRule="auto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20"/>
              </w:rPr>
              <w:t>第二阶段不是把总部内容“下发”到区域，而是让区域在总部知识对象上增加合法、真实、可回收的本地知识。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80" w:after="160"/>
      </w:pPr>
      <w:r>
        <w:rPr>
          <w:rFonts w:ascii="Noto Serif CJK SC" w:hAnsi="Noto Serif CJK SC" w:eastAsia="Noto Serif CJK SC"/>
          <w:b/>
          <w:color w:val="18324B"/>
          <w:sz w:val="31"/>
        </w:rPr>
        <w:t>九、内容生产、审核与反馈闭环</w:t>
      </w:r>
    </w:p>
    <w:p>
      <w:pPr>
        <w:keepLines/>
        <w:spacing w:before="0" w:after="100" w:line="324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知识库只有进入稳定工作流，才会成为生产力。建议建立“事实入库—内容任务—角色适配—渠道适配—审核发布—数据回流”的闭环，并让每条发布内容与知识对象建立关联。</w:t>
      </w:r>
    </w:p>
    <w:p>
      <w:pPr>
        <w:pStyle w:val="Heading2"/>
        <w:keepNext/>
        <w:spacing w:before="200" w:after="100"/>
      </w:pPr>
      <w:r>
        <w:rPr>
          <w:rFonts w:ascii="Noto Serif CJK SC" w:hAnsi="Noto Serif CJK SC" w:eastAsia="Noto Serif CJK SC"/>
          <w:b/>
          <w:color w:val="18324B"/>
          <w:sz w:val="25"/>
        </w:rPr>
        <w:t>9.1 标准内容链路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tblHeader w:val="true"/>
          <w:cantSplit/>
        </w:trPr>
        <w:tc>
          <w:tcPr>
            <w:tcW w:type="dxa" w:w="2268"/>
            <w:shd w:fill="18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6803"/>
            <w:shd w:fill="18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关键动作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1. 业务命题</w:t>
            </w:r>
          </w:p>
        </w:tc>
        <w:tc>
          <w:tcPr>
            <w:tcW w:type="dxa" w:w="680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从品牌、商品、用户、门店或经营目标提出要解决的问题。</w:t>
            </w:r>
          </w:p>
        </w:tc>
      </w:tr>
      <w:tr>
        <w:trPr>
          <w:cantSplit/>
        </w:trPr>
        <w:tc>
          <w:tcPr>
            <w:tcW w:type="dxa" w:w="2268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2. 知识检索</w:t>
            </w:r>
          </w:p>
        </w:tc>
        <w:tc>
          <w:tcPr>
            <w:tcW w:type="dxa" w:w="6803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调取事实、专业判断、用户场景、角色卡、合规和既有案例。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3. 内容任务书</w:t>
            </w:r>
          </w:p>
        </w:tc>
        <w:tc>
          <w:tcPr>
            <w:tcW w:type="dxa" w:w="680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明确目标、受众、核心观点、证据、角色、渠道、CTA和限制。</w:t>
            </w:r>
          </w:p>
        </w:tc>
      </w:tr>
      <w:tr>
        <w:trPr>
          <w:cantSplit/>
        </w:trPr>
        <w:tc>
          <w:tcPr>
            <w:tcW w:type="dxa" w:w="2268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4. 角色化创作</w:t>
            </w:r>
          </w:p>
        </w:tc>
        <w:tc>
          <w:tcPr>
            <w:tcW w:type="dxa" w:w="6803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按人物的权威、语气、经验与禁区组织表达。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5. 渠道化制作</w:t>
            </w:r>
          </w:p>
        </w:tc>
        <w:tc>
          <w:tcPr>
            <w:tcW w:type="dxa" w:w="680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适配短视频、图文、直播、私域、线下物料或培训。</w:t>
            </w:r>
          </w:p>
        </w:tc>
      </w:tr>
      <w:tr>
        <w:trPr>
          <w:cantSplit/>
        </w:trPr>
        <w:tc>
          <w:tcPr>
            <w:tcW w:type="dxa" w:w="2268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6. 分级审核</w:t>
            </w:r>
          </w:p>
        </w:tc>
        <w:tc>
          <w:tcPr>
            <w:tcW w:type="dxa" w:w="6803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事实、品牌、合规和商业信息按风险等级进入不同审核路径。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7. 发布互动</w:t>
            </w:r>
          </w:p>
        </w:tc>
        <w:tc>
          <w:tcPr>
            <w:tcW w:type="dxa" w:w="680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按账号职责发布，并对评论、咨询和争议进行结构化记录。</w:t>
            </w:r>
          </w:p>
        </w:tc>
      </w:tr>
      <w:tr>
        <w:trPr>
          <w:cantSplit/>
        </w:trPr>
        <w:tc>
          <w:tcPr>
            <w:tcW w:type="dxa" w:w="2268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8. 数据回流</w:t>
            </w:r>
          </w:p>
        </w:tc>
        <w:tc>
          <w:tcPr>
            <w:tcW w:type="dxa" w:w="6803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把新问题、优秀表达、失败原因和经营结果回写知识库。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00" w:after="100"/>
      </w:pPr>
      <w:r>
        <w:rPr>
          <w:rFonts w:ascii="Noto Serif CJK SC" w:hAnsi="Noto Serif CJK SC" w:eastAsia="Noto Serif CJK SC"/>
          <w:b/>
          <w:color w:val="18324B"/>
          <w:sz w:val="25"/>
        </w:rPr>
        <w:t>9.2 内容任务书应成为最小生产单元</w:t>
      </w:r>
    </w:p>
    <w:p>
      <w:pPr>
        <w:keepLines/>
        <w:spacing w:before="0" w:after="100" w:line="324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不建议总部直接向各角色下发完整统一脚本。更可复制的方式是下发“内容任务书”：其中固定事实、目标与边界，保留角色自己的语言、场景和经历。第一阶段总部内部也应按这一方式工作，以验证未来区域和门店能否使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tblHeader w:val="true"/>
          <w:cantSplit/>
        </w:trPr>
        <w:tc>
          <w:tcPr>
            <w:tcW w:type="dxa" w:w="2381"/>
            <w:shd w:fill="18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6690"/>
            <w:shd w:fill="18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商业/认知目标</w:t>
            </w:r>
          </w:p>
        </w:tc>
        <w:tc>
          <w:tcPr>
            <w:tcW w:type="dxa" w:w="669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品牌认知、商品理解、信任、咨询、到店、复购、招商或招聘。</w:t>
            </w:r>
          </w:p>
        </w:tc>
      </w:tr>
      <w:tr>
        <w:trPr>
          <w:cantSplit/>
        </w:trPr>
        <w:tc>
          <w:tcPr>
            <w:tcW w:type="dxa" w:w="2381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目标受众与场景</w:t>
            </w:r>
          </w:p>
        </w:tc>
        <w:tc>
          <w:tcPr>
            <w:tcW w:type="dxa" w:w="6690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具体人群、问题、生活节点和观看情境。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必须引用的知识</w:t>
            </w:r>
          </w:p>
        </w:tc>
        <w:tc>
          <w:tcPr>
            <w:tcW w:type="dxa" w:w="669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事实ID、判断ID、证据和强制表述。</w:t>
            </w:r>
          </w:p>
        </w:tc>
      </w:tr>
      <w:tr>
        <w:trPr>
          <w:cantSplit/>
        </w:trPr>
        <w:tc>
          <w:tcPr>
            <w:tcW w:type="dxa" w:w="2381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主讲角色</w:t>
            </w:r>
          </w:p>
        </w:tc>
        <w:tc>
          <w:tcPr>
            <w:tcW w:type="dxa" w:w="6690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角色ID、权威来源、语言风格和不可越界领域。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表达策略</w:t>
            </w:r>
          </w:p>
        </w:tc>
        <w:tc>
          <w:tcPr>
            <w:tcW w:type="dxa" w:w="669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故事、问答、对比、观察、幕后、演示或纪实。</w:t>
            </w:r>
          </w:p>
        </w:tc>
      </w:tr>
      <w:tr>
        <w:trPr>
          <w:cantSplit/>
        </w:trPr>
        <w:tc>
          <w:tcPr>
            <w:tcW w:type="dxa" w:w="2381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渠道规格</w:t>
            </w:r>
          </w:p>
        </w:tc>
        <w:tc>
          <w:tcPr>
            <w:tcW w:type="dxa" w:w="6690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时长、画幅、标题、封面、互动和CTA。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本地化权限</w:t>
            </w:r>
          </w:p>
        </w:tc>
        <w:tc>
          <w:tcPr>
            <w:tcW w:type="dxa" w:w="669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不可改、可改、可增加和必须审批的部分。</w:t>
            </w:r>
          </w:p>
        </w:tc>
      </w:tr>
      <w:tr>
        <w:trPr>
          <w:cantSplit/>
        </w:trPr>
        <w:tc>
          <w:tcPr>
            <w:tcW w:type="dxa" w:w="2381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风险检查</w:t>
            </w:r>
          </w:p>
        </w:tc>
        <w:tc>
          <w:tcPr>
            <w:tcW w:type="dxa" w:w="6690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商品、价格、肖像、隐私、竞品、承诺和舆情。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回流要求</w:t>
            </w:r>
          </w:p>
        </w:tc>
        <w:tc>
          <w:tcPr>
            <w:tcW w:type="dxa" w:w="669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需记录的问题、线索、到店、评论和复盘标签。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00" w:after="100"/>
      </w:pPr>
      <w:r>
        <w:rPr>
          <w:rFonts w:ascii="Noto Serif CJK SC" w:hAnsi="Noto Serif CJK SC" w:eastAsia="Noto Serif CJK SC"/>
          <w:b/>
          <w:color w:val="18324B"/>
          <w:sz w:val="25"/>
        </w:rPr>
        <w:t>9.3 AI的合理位置</w:t>
      </w:r>
    </w:p>
    <w:p>
      <w:pPr>
        <w:keepLines/>
        <w:spacing w:before="0" w:after="100" w:line="324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AI可以显著提高检索、改写、角色适配、多平台转换、选题组合、标签和初审效率，但只能在受控知识库和明确权限之上使用。AI不能自行创造商品事实、人物经历、顾客案例或品牌承诺，也不能代替业务责任人审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tblHeader w:val="true"/>
          <w:cantSplit/>
        </w:trPr>
        <w:tc>
          <w:tcPr>
            <w:tcW w:type="dxa" w:w="2268"/>
            <w:shd w:fill="18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6803"/>
            <w:shd w:fill="18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边界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适合AI辅助</w:t>
            </w:r>
          </w:p>
        </w:tc>
        <w:tc>
          <w:tcPr>
            <w:tcW w:type="dxa" w:w="680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知识检索、内容任务书初稿、同一知识的角色化/平台化改写、标题候选、字幕、摘要、标签、合规预警、数据归类。</w:t>
            </w:r>
          </w:p>
        </w:tc>
      </w:tr>
      <w:tr>
        <w:trPr>
          <w:cantSplit/>
        </w:trPr>
        <w:tc>
          <w:tcPr>
            <w:tcW w:type="dxa" w:w="2268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必须人工负责</w:t>
            </w:r>
          </w:p>
        </w:tc>
        <w:tc>
          <w:tcPr>
            <w:tcW w:type="dxa" w:w="6803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品牌立场、商品事实确认、专业判断、人物真实性、顾客授权、价格政策、危机回应、最终发布。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禁止自动化</w:t>
            </w:r>
          </w:p>
        </w:tc>
        <w:tc>
          <w:tcPr>
            <w:tcW w:type="dxa" w:w="680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虚构顾客故事、伪造使用效果、补写不存在的资质或参数、自动使用未授权人像和客户数据。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80" w:after="160"/>
      </w:pPr>
      <w:r>
        <w:rPr>
          <w:rFonts w:ascii="Noto Serif CJK SC" w:hAnsi="Noto Serif CJK SC" w:eastAsia="Noto Serif CJK SC"/>
          <w:b/>
          <w:color w:val="18324B"/>
          <w:sz w:val="31"/>
        </w:rPr>
        <w:t>十、组织、职责与治理机制</w:t>
      </w:r>
    </w:p>
    <w:p>
      <w:pPr>
        <w:keepLines/>
        <w:spacing w:before="0" w:after="100" w:line="324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知识库建设失败的主要原因通常不是技术，而是没有业务责任人。每个知识域必须由真正掌握事实的部门负责，内容团队负责结构化和转化，不能替业务部门“猜”品牌历史或商品真相。</w:t>
      </w:r>
    </w:p>
    <w:p>
      <w:pPr>
        <w:pStyle w:val="Heading2"/>
        <w:keepNext/>
        <w:spacing w:before="200" w:after="100"/>
      </w:pPr>
      <w:r>
        <w:rPr>
          <w:rFonts w:ascii="Noto Serif CJK SC" w:hAnsi="Noto Serif CJK SC" w:eastAsia="Noto Serif CJK SC"/>
          <w:b/>
          <w:color w:val="18324B"/>
          <w:sz w:val="25"/>
        </w:rPr>
        <w:t>10.1 建议的第一阶段项目组织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  <w:cantSplit/>
        </w:trPr>
        <w:tc>
          <w:tcPr>
            <w:tcW w:type="dxa" w:w="1928"/>
            <w:shd w:fill="18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948"/>
            <w:shd w:fill="18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建议成员</w:t>
            </w:r>
          </w:p>
        </w:tc>
        <w:tc>
          <w:tcPr>
            <w:tcW w:type="dxa" w:w="4195"/>
            <w:shd w:fill="18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主要责任</w:t>
            </w:r>
          </w:p>
        </w:tc>
      </w:tr>
      <w:tr>
        <w:trPr>
          <w:cantSplit/>
        </w:trPr>
        <w:tc>
          <w:tcPr>
            <w:tcW w:type="dxa" w:w="19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7"/>
              </w:rPr>
              <w:t>项目指导委员会</w:t>
            </w:r>
          </w:p>
        </w:tc>
        <w:tc>
          <w:tcPr>
            <w:tcW w:type="dxa" w:w="294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7"/>
              </w:rPr>
              <w:t>董事长/总经理、品牌、商品、零售、法务、人力</w:t>
            </w:r>
          </w:p>
        </w:tc>
        <w:tc>
          <w:tcPr>
            <w:tcW w:type="dxa" w:w="419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7"/>
              </w:rPr>
              <w:t>确认战略、资源、角色、资产边界与阶段闸门。</w:t>
            </w:r>
          </w:p>
        </w:tc>
      </w:tr>
      <w:tr>
        <w:trPr>
          <w:cantSplit/>
        </w:trPr>
        <w:tc>
          <w:tcPr>
            <w:tcW w:type="dxa" w:w="1928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7"/>
              </w:rPr>
              <w:t>项目负责人</w:t>
            </w:r>
          </w:p>
        </w:tc>
        <w:tc>
          <w:tcPr>
            <w:tcW w:type="dxa" w:w="2948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7"/>
              </w:rPr>
              <w:t>建议由品牌/市场一号位或跨部门授权负责人担任</w:t>
            </w:r>
          </w:p>
        </w:tc>
        <w:tc>
          <w:tcPr>
            <w:tcW w:type="dxa" w:w="4195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7"/>
              </w:rPr>
              <w:t>对目标、进度、协同、预算和最终结果负责。</w:t>
            </w:r>
          </w:p>
        </w:tc>
      </w:tr>
      <w:tr>
        <w:trPr>
          <w:cantSplit/>
        </w:trPr>
        <w:tc>
          <w:tcPr>
            <w:tcW w:type="dxa" w:w="19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7"/>
              </w:rPr>
              <w:t>知识架构负责人</w:t>
            </w:r>
          </w:p>
        </w:tc>
        <w:tc>
          <w:tcPr>
            <w:tcW w:type="dxa" w:w="294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7"/>
              </w:rPr>
              <w:t>内容策略/知识管理/数字化复合角色</w:t>
            </w:r>
          </w:p>
        </w:tc>
        <w:tc>
          <w:tcPr>
            <w:tcW w:type="dxa" w:w="419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7"/>
              </w:rPr>
              <w:t>定义知识域、字段、关系、版本、权限和接入规则。</w:t>
            </w:r>
          </w:p>
        </w:tc>
      </w:tr>
      <w:tr>
        <w:trPr>
          <w:cantSplit/>
        </w:trPr>
        <w:tc>
          <w:tcPr>
            <w:tcW w:type="dxa" w:w="1928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7"/>
              </w:rPr>
              <w:t>品牌事实责任人</w:t>
            </w:r>
          </w:p>
        </w:tc>
        <w:tc>
          <w:tcPr>
            <w:tcW w:type="dxa" w:w="2948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7"/>
              </w:rPr>
              <w:t>品牌、公关、董事办</w:t>
            </w:r>
          </w:p>
        </w:tc>
        <w:tc>
          <w:tcPr>
            <w:tcW w:type="dxa" w:w="4195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7"/>
              </w:rPr>
              <w:t>品牌历史、公开数据、里程碑和价值表述。</w:t>
            </w:r>
          </w:p>
        </w:tc>
      </w:tr>
      <w:tr>
        <w:trPr>
          <w:cantSplit/>
        </w:trPr>
        <w:tc>
          <w:tcPr>
            <w:tcW w:type="dxa" w:w="19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7"/>
              </w:rPr>
              <w:t>商品知识责任人</w:t>
            </w:r>
          </w:p>
        </w:tc>
        <w:tc>
          <w:tcPr>
            <w:tcW w:type="dxa" w:w="294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7"/>
              </w:rPr>
              <w:t>设计、商品、研发、质检</w:t>
            </w:r>
          </w:p>
        </w:tc>
        <w:tc>
          <w:tcPr>
            <w:tcW w:type="dxa" w:w="419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7"/>
              </w:rPr>
              <w:t>SKU、面料、工艺、版型、功能、证据与失效。</w:t>
            </w:r>
          </w:p>
        </w:tc>
      </w:tr>
      <w:tr>
        <w:trPr>
          <w:cantSplit/>
        </w:trPr>
        <w:tc>
          <w:tcPr>
            <w:tcW w:type="dxa" w:w="1928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7"/>
              </w:rPr>
              <w:t>用户/零售责任人</w:t>
            </w:r>
          </w:p>
        </w:tc>
        <w:tc>
          <w:tcPr>
            <w:tcW w:type="dxa" w:w="2948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7"/>
              </w:rPr>
              <w:t>零售运营、培训、CRM</w:t>
            </w:r>
          </w:p>
        </w:tc>
        <w:tc>
          <w:tcPr>
            <w:tcW w:type="dxa" w:w="4195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7"/>
              </w:rPr>
              <w:t>用户问题、门店场景、服务方法与反馈。</w:t>
            </w:r>
          </w:p>
        </w:tc>
      </w:tr>
      <w:tr>
        <w:trPr>
          <w:cantSplit/>
        </w:trPr>
        <w:tc>
          <w:tcPr>
            <w:tcW w:type="dxa" w:w="19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7"/>
              </w:rPr>
              <w:t>角色与内容负责人</w:t>
            </w:r>
          </w:p>
        </w:tc>
        <w:tc>
          <w:tcPr>
            <w:tcW w:type="dxa" w:w="294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7"/>
              </w:rPr>
              <w:t>品牌内容团队</w:t>
            </w:r>
          </w:p>
        </w:tc>
        <w:tc>
          <w:tcPr>
            <w:tcW w:type="dxa" w:w="419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7"/>
              </w:rPr>
              <w:t>角色卡、母题、任务书、制作、发布与复盘。</w:t>
            </w:r>
          </w:p>
        </w:tc>
      </w:tr>
      <w:tr>
        <w:trPr>
          <w:cantSplit/>
        </w:trPr>
        <w:tc>
          <w:tcPr>
            <w:tcW w:type="dxa" w:w="1928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7"/>
              </w:rPr>
              <w:t>合规与资产负责人</w:t>
            </w:r>
          </w:p>
        </w:tc>
        <w:tc>
          <w:tcPr>
            <w:tcW w:type="dxa" w:w="2948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7"/>
              </w:rPr>
              <w:t>法务、HR、信息安全</w:t>
            </w:r>
          </w:p>
        </w:tc>
        <w:tc>
          <w:tcPr>
            <w:tcW w:type="dxa" w:w="4195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7"/>
              </w:rPr>
              <w:t>广告、肖像、隐私、账号、版权、离职与危机规则。</w:t>
            </w:r>
          </w:p>
        </w:tc>
      </w:tr>
      <w:tr>
        <w:trPr>
          <w:cantSplit/>
        </w:trPr>
        <w:tc>
          <w:tcPr>
            <w:tcW w:type="dxa" w:w="19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7"/>
              </w:rPr>
              <w:t>数据运营</w:t>
            </w:r>
          </w:p>
        </w:tc>
        <w:tc>
          <w:tcPr>
            <w:tcW w:type="dxa" w:w="294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7"/>
              </w:rPr>
              <w:t>内容运营/数据团队</w:t>
            </w:r>
          </w:p>
        </w:tc>
        <w:tc>
          <w:tcPr>
            <w:tcW w:type="dxa" w:w="419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7"/>
              </w:rPr>
              <w:t>指标口径、内容关联、反馈归类与阶段评估。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00" w:after="100"/>
      </w:pPr>
      <w:r>
        <w:rPr>
          <w:rFonts w:ascii="Noto Serif CJK SC" w:hAnsi="Noto Serif CJK SC" w:eastAsia="Noto Serif CJK SC"/>
          <w:b/>
          <w:color w:val="18324B"/>
          <w:sz w:val="25"/>
        </w:rPr>
        <w:t>10.2 RACI式责任原则</w:t>
      </w:r>
    </w:p>
    <w:p>
      <w:pPr>
        <w:keepLines/>
        <w:spacing w:before="0" w:after="100" w:line="324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每一类知识应明确：谁对准确性最终负责（Accountable）、谁实际维护（Responsible）、谁必须会签（Consulted）、谁需要知悉（Informed）。内容团队通常是结构化和应用的责任者，但不应成为商品事实或法律结论的最终责任者。</w:t>
      </w:r>
    </w:p>
    <w:p>
      <w:pPr>
        <w:pStyle w:val="Heading2"/>
        <w:keepNext/>
        <w:spacing w:before="200" w:after="100"/>
      </w:pPr>
      <w:r>
        <w:rPr>
          <w:rFonts w:ascii="Noto Serif CJK SC" w:hAnsi="Noto Serif CJK SC" w:eastAsia="Noto Serif CJK SC"/>
          <w:b/>
          <w:color w:val="18324B"/>
          <w:sz w:val="25"/>
        </w:rPr>
        <w:t>10.3 知识生命周期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tblHeader w:val="true"/>
          <w:cantSplit/>
        </w:trPr>
        <w:tc>
          <w:tcPr>
            <w:tcW w:type="dxa" w:w="2268"/>
            <w:shd w:fill="18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6803"/>
            <w:shd w:fill="18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候选</w:t>
            </w:r>
          </w:p>
        </w:tc>
        <w:tc>
          <w:tcPr>
            <w:tcW w:type="dxa" w:w="680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由业务、内容或一线提出，尚未可发布。</w:t>
            </w:r>
          </w:p>
        </w:tc>
      </w:tr>
      <w:tr>
        <w:trPr>
          <w:cantSplit/>
        </w:trPr>
        <w:tc>
          <w:tcPr>
            <w:tcW w:type="dxa" w:w="2268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验证中</w:t>
            </w:r>
          </w:p>
        </w:tc>
        <w:tc>
          <w:tcPr>
            <w:tcW w:type="dxa" w:w="6803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补充来源、证据、责任人、适用范围和风险。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已批准</w:t>
            </w:r>
          </w:p>
        </w:tc>
        <w:tc>
          <w:tcPr>
            <w:tcW w:type="dxa" w:w="680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可按权限被内容生产调用。</w:t>
            </w:r>
          </w:p>
        </w:tc>
      </w:tr>
      <w:tr>
        <w:trPr>
          <w:cantSplit/>
        </w:trPr>
        <w:tc>
          <w:tcPr>
            <w:tcW w:type="dxa" w:w="2268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限用</w:t>
            </w:r>
          </w:p>
        </w:tc>
        <w:tc>
          <w:tcPr>
            <w:tcW w:type="dxa" w:w="6803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仅限特定角色、渠道、地区或期限。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待复核</w:t>
            </w:r>
          </w:p>
        </w:tc>
        <w:tc>
          <w:tcPr>
            <w:tcW w:type="dxa" w:w="680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因季节、人员、产品、政策或争议触发复核。</w:t>
            </w:r>
          </w:p>
        </w:tc>
      </w:tr>
      <w:tr>
        <w:trPr>
          <w:cantSplit/>
        </w:trPr>
        <w:tc>
          <w:tcPr>
            <w:tcW w:type="dxa" w:w="2268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已失效</w:t>
            </w:r>
          </w:p>
        </w:tc>
        <w:tc>
          <w:tcPr>
            <w:tcW w:type="dxa" w:w="6803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不得继续调用，但保留审计与历史记录。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00" w:after="100"/>
      </w:pPr>
      <w:r>
        <w:rPr>
          <w:rFonts w:ascii="Noto Serif CJK SC" w:hAnsi="Noto Serif CJK SC" w:eastAsia="Noto Serif CJK SC"/>
          <w:b/>
          <w:color w:val="18324B"/>
          <w:sz w:val="25"/>
        </w:rPr>
        <w:t>10.4 审核分级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  <w:cantSplit/>
        </w:trPr>
        <w:tc>
          <w:tcPr>
            <w:tcW w:type="dxa" w:w="1587"/>
            <w:shd w:fill="18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4082"/>
            <w:shd w:fill="18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内容特征</w:t>
            </w:r>
          </w:p>
        </w:tc>
        <w:tc>
          <w:tcPr>
            <w:tcW w:type="dxa" w:w="3402"/>
            <w:shd w:fill="18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建议流程</w:t>
            </w:r>
          </w:p>
        </w:tc>
      </w:tr>
      <w:tr>
        <w:trPr>
          <w:cantSplit/>
        </w:trPr>
        <w:tc>
          <w:tcPr>
            <w:tcW w:type="dxa" w:w="1587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绿色</w:t>
            </w:r>
          </w:p>
        </w:tc>
        <w:tc>
          <w:tcPr>
            <w:tcW w:type="dxa" w:w="408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已批准事实、低风险常规表达</w:t>
            </w:r>
          </w:p>
        </w:tc>
        <w:tc>
          <w:tcPr>
            <w:tcW w:type="dxa" w:w="340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内容编辑自检或抽检。</w:t>
            </w:r>
          </w:p>
        </w:tc>
      </w:tr>
      <w:tr>
        <w:trPr>
          <w:cantSplit/>
        </w:trPr>
        <w:tc>
          <w:tcPr>
            <w:tcW w:type="dxa" w:w="1587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黄色</w:t>
            </w:r>
          </w:p>
        </w:tc>
        <w:tc>
          <w:tcPr>
            <w:tcW w:type="dxa" w:w="4082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新观点、人物经历、普通用户案例、区域化表达</w:t>
            </w:r>
          </w:p>
        </w:tc>
        <w:tc>
          <w:tcPr>
            <w:tcW w:type="dxa" w:w="3402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业务责任人或品牌负责人审核。</w:t>
            </w:r>
          </w:p>
        </w:tc>
      </w:tr>
      <w:tr>
        <w:trPr>
          <w:cantSplit/>
        </w:trPr>
        <w:tc>
          <w:tcPr>
            <w:tcW w:type="dxa" w:w="1587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橙色</w:t>
            </w:r>
          </w:p>
        </w:tc>
        <w:tc>
          <w:tcPr>
            <w:tcW w:type="dxa" w:w="408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功能效果、价格、竞品、敏感人群、重要高管观点</w:t>
            </w:r>
          </w:p>
        </w:tc>
        <w:tc>
          <w:tcPr>
            <w:tcW w:type="dxa" w:w="340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业务+品牌+法务会签。</w:t>
            </w:r>
          </w:p>
        </w:tc>
      </w:tr>
      <w:tr>
        <w:trPr>
          <w:cantSplit/>
        </w:trPr>
        <w:tc>
          <w:tcPr>
            <w:tcW w:type="dxa" w:w="1587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红色</w:t>
            </w:r>
          </w:p>
        </w:tc>
        <w:tc>
          <w:tcPr>
            <w:tcW w:type="dxa" w:w="4082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危机、争议、重大承诺、未经证实事件、隐私风险</w:t>
            </w:r>
          </w:p>
        </w:tc>
        <w:tc>
          <w:tcPr>
            <w:tcW w:type="dxa" w:w="3402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禁止常规发布，进入专项决策。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80" w:after="160"/>
      </w:pPr>
      <w:r>
        <w:rPr>
          <w:rFonts w:ascii="Noto Serif CJK SC" w:hAnsi="Noto Serif CJK SC" w:eastAsia="Noto Serif CJK SC"/>
          <w:b/>
          <w:color w:val="18324B"/>
          <w:sz w:val="31"/>
        </w:rPr>
        <w:t>十一、第二阶段区域与终端试点的接入方式</w:t>
      </w:r>
    </w:p>
    <w:p>
      <w:pPr>
        <w:keepLines/>
        <w:spacing w:before="0" w:after="100" w:line="324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第二阶段选择1—2个成熟省级市场及少量优质终端的目标，不是简单增加发布量，而是验证总部知识能否被区域正确翻译、门店能否贡献高质量事实、激励与审核能否落地，以及内容是否能产生本地关系与经营价值。</w:t>
      </w:r>
    </w:p>
    <w:p>
      <w:pPr>
        <w:pStyle w:val="Heading2"/>
        <w:keepNext/>
        <w:spacing w:before="200" w:after="100"/>
      </w:pPr>
      <w:r>
        <w:rPr>
          <w:rFonts w:ascii="Noto Serif CJK SC" w:hAnsi="Noto Serif CJK SC" w:eastAsia="Noto Serif CJK SC"/>
          <w:b/>
          <w:color w:val="18324B"/>
          <w:sz w:val="25"/>
        </w:rPr>
        <w:t>11.1 区域试点接入的四个步骤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tblHeader w:val="true"/>
          <w:cantSplit/>
        </w:trPr>
        <w:tc>
          <w:tcPr>
            <w:tcW w:type="dxa" w:w="2268"/>
            <w:shd w:fill="18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6803"/>
            <w:shd w:fill="18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要求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继承总部核心</w:t>
            </w:r>
          </w:p>
        </w:tc>
        <w:tc>
          <w:tcPr>
            <w:tcW w:type="dxa" w:w="680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省代和门店首先学习并调用K0—K9知识域，不复制修改总部记录。</w:t>
            </w:r>
          </w:p>
        </w:tc>
      </w:tr>
      <w:tr>
        <w:trPr>
          <w:cantSplit/>
        </w:trPr>
        <w:tc>
          <w:tcPr>
            <w:tcW w:type="dxa" w:w="2268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建立区域叠加</w:t>
            </w:r>
          </w:p>
        </w:tc>
        <w:tc>
          <w:tcPr>
            <w:tcW w:type="dxa" w:w="6803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补充气候、城市、商圈、节庆、消费节奏、区域库存与典型问题。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建立门店事实</w:t>
            </w:r>
          </w:p>
        </w:tc>
        <w:tc>
          <w:tcPr>
            <w:tcW w:type="dxa" w:w="680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采集真实人物、服务、试穿、陈列、活动和顾客问题，处理授权与脱敏。</w:t>
            </w:r>
          </w:p>
        </w:tc>
      </w:tr>
      <w:tr>
        <w:trPr>
          <w:cantSplit/>
        </w:trPr>
        <w:tc>
          <w:tcPr>
            <w:tcW w:type="dxa" w:w="2268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形成反馈回路</w:t>
            </w:r>
          </w:p>
        </w:tc>
        <w:tc>
          <w:tcPr>
            <w:tcW w:type="dxa" w:w="6803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把新问题、转化、退换、争议和优秀内容回写总部，由总部判断是否全国升级。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00" w:after="100"/>
      </w:pPr>
      <w:r>
        <w:rPr>
          <w:rFonts w:ascii="Noto Serif CJK SC" w:hAnsi="Noto Serif CJK SC" w:eastAsia="Noto Serif CJK SC"/>
          <w:b/>
          <w:color w:val="18324B"/>
          <w:sz w:val="25"/>
        </w:rPr>
        <w:t>11.2 试点不是“所有门店一起上”</w:t>
      </w:r>
    </w:p>
    <w:p>
      <w:pPr>
        <w:keepLines/>
        <w:spacing w:before="0" w:after="100" w:line="324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建议每个试点省区先选择少量具备真实优势的门店和人物，形成不同类型样本，例如：成熟店长、专业搭配导购、服务型团队、年轻成长型员工、区域经营者。样本之间应有差异，避免全部复制同一人设。</w:t>
      </w:r>
    </w:p>
    <w:p>
      <w:pPr>
        <w:pStyle w:val="Heading2"/>
        <w:keepNext/>
        <w:spacing w:before="200" w:after="100"/>
      </w:pPr>
      <w:r>
        <w:rPr>
          <w:rFonts w:ascii="Noto Serif CJK SC" w:hAnsi="Noto Serif CJK SC" w:eastAsia="Noto Serif CJK SC"/>
          <w:b/>
          <w:color w:val="18324B"/>
          <w:sz w:val="25"/>
        </w:rPr>
        <w:t>11.3 省级代理商的新增能力</w:t>
      </w:r>
    </w:p>
    <w:p>
      <w:pPr>
        <w:pStyle w:val="ListBullet"/>
        <w:keepLines/>
        <w:spacing w:before="0" w:after="60" w:line="307" w:lineRule="auto"/>
        <w:ind w:left="312" w:hanging="159"/>
      </w:pPr>
      <w:r>
        <w:rPr>
          <w:rFonts w:ascii="Noto Sans CJK SC" w:hAnsi="Noto Sans CJK SC" w:eastAsia="Noto Sans CJK SC"/>
          <w:b w:val="0"/>
          <w:sz w:val="20"/>
        </w:rPr>
        <w:t>区域内容负责人或小组，负责翻译总部母题而非机械转发。</w:t>
      </w:r>
    </w:p>
    <w:p>
      <w:pPr>
        <w:pStyle w:val="ListBullet"/>
        <w:keepLines/>
        <w:spacing w:before="0" w:after="60" w:line="307" w:lineRule="auto"/>
        <w:ind w:left="312" w:hanging="159"/>
      </w:pPr>
      <w:r>
        <w:rPr>
          <w:rFonts w:ascii="Noto Sans CJK SC" w:hAnsi="Noto Sans CJK SC" w:eastAsia="Noto Sans CJK SC"/>
          <w:b w:val="0"/>
          <w:sz w:val="20"/>
        </w:rPr>
        <w:t>区域人物发现与培养机制，识别真实权威和可持续表达者。</w:t>
      </w:r>
    </w:p>
    <w:p>
      <w:pPr>
        <w:pStyle w:val="ListBullet"/>
        <w:keepLines/>
        <w:spacing w:before="0" w:after="60" w:line="307" w:lineRule="auto"/>
        <w:ind w:left="312" w:hanging="159"/>
      </w:pPr>
      <w:r>
        <w:rPr>
          <w:rFonts w:ascii="Noto Sans CJK SC" w:hAnsi="Noto Sans CJK SC" w:eastAsia="Noto Sans CJK SC"/>
          <w:b w:val="0"/>
          <w:sz w:val="20"/>
        </w:rPr>
        <w:t>门店事实采集、授权、脱敏、审核与上传能力。</w:t>
      </w:r>
    </w:p>
    <w:p>
      <w:pPr>
        <w:pStyle w:val="ListBullet"/>
        <w:keepLines/>
        <w:spacing w:before="0" w:after="60" w:line="307" w:lineRule="auto"/>
        <w:ind w:left="312" w:hanging="159"/>
      </w:pPr>
      <w:r>
        <w:rPr>
          <w:rFonts w:ascii="Noto Sans CJK SC" w:hAnsi="Noto Sans CJK SC" w:eastAsia="Noto Sans CJK SC"/>
          <w:b w:val="0"/>
          <w:sz w:val="20"/>
        </w:rPr>
        <w:t>区域内容复盘与优秀案例提炼能力。</w:t>
      </w:r>
    </w:p>
    <w:p>
      <w:pPr>
        <w:pStyle w:val="ListBullet"/>
        <w:keepLines/>
        <w:spacing w:before="0" w:after="60" w:line="307" w:lineRule="auto"/>
        <w:ind w:left="312" w:hanging="159"/>
      </w:pPr>
      <w:r>
        <w:rPr>
          <w:rFonts w:ascii="Noto Sans CJK SC" w:hAnsi="Noto Sans CJK SC" w:eastAsia="Noto Sans CJK SC"/>
          <w:b w:val="0"/>
          <w:sz w:val="20"/>
        </w:rPr>
        <w:t>把内容线索与门店到店、私域、活动、加盟和招聘连接的运营能力。</w:t>
      </w:r>
    </w:p>
    <w:p>
      <w:pPr>
        <w:pStyle w:val="Heading2"/>
        <w:keepNext/>
        <w:spacing w:before="200" w:after="100"/>
      </w:pPr>
      <w:r>
        <w:rPr>
          <w:rFonts w:ascii="Noto Serif CJK SC" w:hAnsi="Noto Serif CJK SC" w:eastAsia="Noto Serif CJK SC"/>
          <w:b/>
          <w:color w:val="18324B"/>
          <w:sz w:val="25"/>
        </w:rPr>
        <w:t>11.4 第一阶段必须提前预留的第二阶段字段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tblHeader w:val="true"/>
          <w:cantSplit/>
        </w:trPr>
        <w:tc>
          <w:tcPr>
            <w:tcW w:type="dxa" w:w="2268"/>
            <w:shd w:fill="18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6803"/>
            <w:shd w:fill="18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预留字段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区域</w:t>
            </w:r>
          </w:p>
        </w:tc>
        <w:tc>
          <w:tcPr>
            <w:tcW w:type="dxa" w:w="680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省区、城市、城市级别、气候带、节庆、商圈、语言风格。</w:t>
            </w:r>
          </w:p>
        </w:tc>
      </w:tr>
      <w:tr>
        <w:trPr>
          <w:cantSplit/>
        </w:trPr>
        <w:tc>
          <w:tcPr>
            <w:tcW w:type="dxa" w:w="2268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门店</w:t>
            </w:r>
          </w:p>
        </w:tc>
        <w:tc>
          <w:tcPr>
            <w:tcW w:type="dxa" w:w="6803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门店ID、渠道类型、位置、面积、客群、团队、库存与活动。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人物</w:t>
            </w:r>
          </w:p>
        </w:tc>
        <w:tc>
          <w:tcPr>
            <w:tcW w:type="dxa" w:w="680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所属组织、岗位、授权范围、账号归属、离职处置、可讲领域。</w:t>
            </w:r>
          </w:p>
        </w:tc>
      </w:tr>
      <w:tr>
        <w:trPr>
          <w:cantSplit/>
        </w:trPr>
        <w:tc>
          <w:tcPr>
            <w:tcW w:type="dxa" w:w="2268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事实</w:t>
            </w:r>
          </w:p>
        </w:tc>
        <w:tc>
          <w:tcPr>
            <w:tcW w:type="dxa" w:w="6803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发生时间、地点、参与人、证据、授权、隐私、可公开范围。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经营</w:t>
            </w:r>
          </w:p>
        </w:tc>
        <w:tc>
          <w:tcPr>
            <w:tcW w:type="dxa" w:w="680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咨询、预约、到店、成交、复购、退换、投诉、线索归属。</w:t>
            </w:r>
          </w:p>
        </w:tc>
      </w:tr>
      <w:tr>
        <w:trPr>
          <w:cantSplit/>
        </w:trPr>
        <w:tc>
          <w:tcPr>
            <w:tcW w:type="dxa" w:w="2268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内容</w:t>
            </w:r>
          </w:p>
        </w:tc>
        <w:tc>
          <w:tcPr>
            <w:tcW w:type="dxa" w:w="6803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总部母题ID、引用知识ID、本地叠加ID、发布账号与版本。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80" w:after="160"/>
      </w:pPr>
      <w:r>
        <w:rPr>
          <w:rFonts w:ascii="Noto Serif CJK SC" w:hAnsi="Noto Serif CJK SC" w:eastAsia="Noto Serif CJK SC"/>
          <w:b/>
          <w:color w:val="18324B"/>
          <w:sz w:val="31"/>
        </w:rPr>
        <w:t>十二、风险控制与资产边界</w:t>
      </w:r>
    </w:p>
    <w:p>
      <w:pPr>
        <w:keepLines/>
        <w:spacing w:before="0" w:after="100" w:line="324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组织型IP的长期价值取决于能否把个人活力与组织控制同时保留。控制过强会产生千人一面；控制过弱会产生品牌分叉。治理的目标不是消灭个性，而是明确哪些是共同底线、哪些可以自由发挥、哪些属于个人和组织的共同资产。</w:t>
      </w:r>
    </w:p>
    <w:p>
      <w:pPr>
        <w:pStyle w:val="Heading2"/>
        <w:keepNext/>
        <w:spacing w:before="200" w:after="100"/>
      </w:pPr>
      <w:r>
        <w:rPr>
          <w:rFonts w:ascii="Noto Serif CJK SC" w:hAnsi="Noto Serif CJK SC" w:eastAsia="Noto Serif CJK SC"/>
          <w:b/>
          <w:color w:val="18324B"/>
          <w:sz w:val="25"/>
        </w:rPr>
        <w:t>12.1 重点风险与控制机制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tblHeader w:val="true"/>
          <w:cantSplit/>
        </w:trPr>
        <w:tc>
          <w:tcPr>
            <w:tcW w:type="dxa" w:w="2551"/>
            <w:shd w:fill="A13D3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6520"/>
            <w:shd w:fill="A13D3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主要控制机制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7"/>
              </w:rPr>
              <w:t>品牌认知不一致</w:t>
            </w:r>
          </w:p>
        </w:tc>
        <w:tc>
          <w:tcPr>
            <w:tcW w:type="dxa" w:w="652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7"/>
              </w:rPr>
              <w:t>IP章程、强制核心表达、角色培训、内容抽检。</w:t>
            </w:r>
          </w:p>
        </w:tc>
      </w:tr>
      <w:tr>
        <w:trPr>
          <w:cantSplit/>
        </w:trPr>
        <w:tc>
          <w:tcPr>
            <w:tcW w:type="dxa" w:w="2551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7"/>
              </w:rPr>
              <w:t>商品事实错误</w:t>
            </w:r>
          </w:p>
        </w:tc>
        <w:tc>
          <w:tcPr>
            <w:tcW w:type="dxa" w:w="6520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7"/>
              </w:rPr>
              <w:t>商品真相库、责任专家、证据、版本失效、红黄橙绿审核。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7"/>
              </w:rPr>
              <w:t>个人IP绑架组织</w:t>
            </w:r>
          </w:p>
        </w:tc>
        <w:tc>
          <w:tcPr>
            <w:tcW w:type="dxa" w:w="652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7"/>
              </w:rPr>
              <w:t>角色组合、账号权属、内容版权、客户数据归属、离职条款、备份机制。</w:t>
            </w:r>
          </w:p>
        </w:tc>
      </w:tr>
      <w:tr>
        <w:trPr>
          <w:cantSplit/>
        </w:trPr>
        <w:tc>
          <w:tcPr>
            <w:tcW w:type="dxa" w:w="2551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7"/>
              </w:rPr>
              <w:t>门店虚构故事</w:t>
            </w:r>
          </w:p>
        </w:tc>
        <w:tc>
          <w:tcPr>
            <w:tcW w:type="dxa" w:w="6520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7"/>
              </w:rPr>
              <w:t>事实与演绎标识、证据留存、顾客授权、禁止伪造案例。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7"/>
              </w:rPr>
              <w:t>价格与促销冲突</w:t>
            </w:r>
          </w:p>
        </w:tc>
        <w:tc>
          <w:tcPr>
            <w:tcW w:type="dxa" w:w="652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7"/>
              </w:rPr>
              <w:t>价格政策知识对象、区域/门店适用范围、活动有效期。</w:t>
            </w:r>
          </w:p>
        </w:tc>
      </w:tr>
      <w:tr>
        <w:trPr>
          <w:cantSplit/>
        </w:trPr>
        <w:tc>
          <w:tcPr>
            <w:tcW w:type="dxa" w:w="2551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7"/>
              </w:rPr>
              <w:t>肖像与隐私</w:t>
            </w:r>
          </w:p>
        </w:tc>
        <w:tc>
          <w:tcPr>
            <w:tcW w:type="dxa" w:w="6520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7"/>
              </w:rPr>
              <w:t>授权模板、最小化采集、脱敏、未成年人和敏感信息限制。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7"/>
              </w:rPr>
              <w:t>低质量内容泛滥</w:t>
            </w:r>
          </w:p>
        </w:tc>
        <w:tc>
          <w:tcPr>
            <w:tcW w:type="dxa" w:w="652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7"/>
              </w:rPr>
              <w:t>角色准入、试点制、认证、模板不是成片、停更与退出机制。</w:t>
            </w:r>
          </w:p>
        </w:tc>
      </w:tr>
      <w:tr>
        <w:trPr>
          <w:cantSplit/>
        </w:trPr>
        <w:tc>
          <w:tcPr>
            <w:tcW w:type="dxa" w:w="2551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7"/>
              </w:rPr>
              <w:t>数据口径失真</w:t>
            </w:r>
          </w:p>
        </w:tc>
        <w:tc>
          <w:tcPr>
            <w:tcW w:type="dxa" w:w="6520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7"/>
              </w:rPr>
              <w:t>统一指标、内容ID与知识ID关联、禁止用单一播放量评估。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7"/>
              </w:rPr>
              <w:t>知识库陈旧</w:t>
            </w:r>
          </w:p>
        </w:tc>
        <w:tc>
          <w:tcPr>
            <w:tcW w:type="dxa" w:w="652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7"/>
              </w:rPr>
              <w:t>责任人、复核周期、自动到期、业务变更触发机制。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00" w:after="100"/>
      </w:pPr>
      <w:r>
        <w:rPr>
          <w:rFonts w:ascii="Noto Serif CJK SC" w:hAnsi="Noto Serif CJK SC" w:eastAsia="Noto Serif CJK SC"/>
          <w:b/>
          <w:color w:val="18324B"/>
          <w:sz w:val="25"/>
        </w:rPr>
        <w:t>12.2 账号与个人IP资产的最低合同条款</w:t>
      </w:r>
    </w:p>
    <w:p>
      <w:pPr>
        <w:pStyle w:val="ListBullet"/>
        <w:keepLines/>
        <w:spacing w:before="0" w:after="60" w:line="307" w:lineRule="auto"/>
        <w:ind w:left="312" w:hanging="159"/>
      </w:pPr>
      <w:r>
        <w:rPr>
          <w:rFonts w:ascii="Noto Sans CJK SC" w:hAnsi="Noto Sans CJK SC" w:eastAsia="Noto Sans CJK SC"/>
          <w:b w:val="0"/>
          <w:sz w:val="20"/>
        </w:rPr>
        <w:t>账号注册主体、管理员、密码与双重验证控制；</w:t>
      </w:r>
    </w:p>
    <w:p>
      <w:pPr>
        <w:pStyle w:val="ListBullet"/>
        <w:keepLines/>
        <w:spacing w:before="0" w:after="60" w:line="307" w:lineRule="auto"/>
        <w:ind w:left="312" w:hanging="159"/>
      </w:pPr>
      <w:r>
        <w:rPr>
          <w:rFonts w:ascii="Noto Sans CJK SC" w:hAnsi="Noto Sans CJK SC" w:eastAsia="Noto Sans CJK SC"/>
          <w:b w:val="0"/>
          <w:sz w:val="20"/>
        </w:rPr>
        <w:t>账号名称、头像、品牌标识、粉丝和历史内容的权属；</w:t>
      </w:r>
    </w:p>
    <w:p>
      <w:pPr>
        <w:pStyle w:val="ListBullet"/>
        <w:keepLines/>
        <w:spacing w:before="0" w:after="60" w:line="307" w:lineRule="auto"/>
        <w:ind w:left="312" w:hanging="159"/>
      </w:pPr>
      <w:r>
        <w:rPr>
          <w:rFonts w:ascii="Noto Sans CJK SC" w:hAnsi="Noto Sans CJK SC" w:eastAsia="Noto Sans CJK SC"/>
          <w:b w:val="0"/>
          <w:sz w:val="20"/>
        </w:rPr>
        <w:t>个人姓名、肖像、声音、履历和工作场景的授权范围与期限；</w:t>
      </w:r>
    </w:p>
    <w:p>
      <w:pPr>
        <w:pStyle w:val="ListBullet"/>
        <w:keepLines/>
        <w:spacing w:before="0" w:after="60" w:line="307" w:lineRule="auto"/>
        <w:ind w:left="312" w:hanging="159"/>
      </w:pPr>
      <w:r>
        <w:rPr>
          <w:rFonts w:ascii="Noto Sans CJK SC" w:hAnsi="Noto Sans CJK SC" w:eastAsia="Noto Sans CJK SC"/>
          <w:b w:val="0"/>
          <w:sz w:val="20"/>
        </w:rPr>
        <w:t>内容脚本、成片、直播切片、照片和衍生素材的版权；</w:t>
      </w:r>
    </w:p>
    <w:p>
      <w:pPr>
        <w:pStyle w:val="ListBullet"/>
        <w:keepLines/>
        <w:spacing w:before="0" w:after="60" w:line="307" w:lineRule="auto"/>
        <w:ind w:left="312" w:hanging="159"/>
      </w:pPr>
      <w:r>
        <w:rPr>
          <w:rFonts w:ascii="Noto Sans CJK SC" w:hAnsi="Noto Sans CJK SC" w:eastAsia="Noto Sans CJK SC"/>
          <w:b w:val="0"/>
          <w:sz w:val="20"/>
        </w:rPr>
        <w:t>顾客信息、私域好友、咨询线索和交易数据的组织归属；</w:t>
      </w:r>
    </w:p>
    <w:p>
      <w:pPr>
        <w:pStyle w:val="ListBullet"/>
        <w:keepLines/>
        <w:spacing w:before="0" w:after="60" w:line="307" w:lineRule="auto"/>
        <w:ind w:left="312" w:hanging="159"/>
      </w:pPr>
      <w:r>
        <w:rPr>
          <w:rFonts w:ascii="Noto Sans CJK SC" w:hAnsi="Noto Sans CJK SC" w:eastAsia="Noto Sans CJK SC"/>
          <w:b w:val="0"/>
          <w:sz w:val="20"/>
        </w:rPr>
        <w:t>个人商业合作、竞品合作和对外发言边界；</w:t>
      </w:r>
    </w:p>
    <w:p>
      <w:pPr>
        <w:pStyle w:val="ListBullet"/>
        <w:keepLines/>
        <w:spacing w:before="0" w:after="60" w:line="307" w:lineRule="auto"/>
        <w:ind w:left="312" w:hanging="159"/>
      </w:pPr>
      <w:r>
        <w:rPr>
          <w:rFonts w:ascii="Noto Sans CJK SC" w:hAnsi="Noto Sans CJK SC" w:eastAsia="Noto Sans CJK SC"/>
          <w:b w:val="0"/>
          <w:sz w:val="20"/>
        </w:rPr>
        <w:t>调岗、离职、加盟关系终止后的账号、内容、客户与名称处置；</w:t>
      </w:r>
    </w:p>
    <w:p>
      <w:pPr>
        <w:pStyle w:val="ListBullet"/>
        <w:keepLines/>
        <w:spacing w:before="0" w:after="60" w:line="307" w:lineRule="auto"/>
        <w:ind w:left="312" w:hanging="159"/>
      </w:pPr>
      <w:r>
        <w:rPr>
          <w:rFonts w:ascii="Noto Sans CJK SC" w:hAnsi="Noto Sans CJK SC" w:eastAsia="Noto Sans CJK SC"/>
          <w:b w:val="0"/>
          <w:sz w:val="20"/>
        </w:rPr>
        <w:t>违规、危机、删改、封禁和应急接管机制。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8957"/>
      </w:tblGrid>
      <w:tr>
        <w:trPr>
          <w:cantSplit/>
        </w:trPr>
        <w:tc>
          <w:tcPr>
            <w:tcW w:type="dxa" w:w="4901"/>
            <w:shd w:fill="A13D3D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01"/>
            <w:shd w:fill="F9ECEC"/>
            <w:tcMar>
              <w:top w:w="140" w:type="dxa"/>
              <w:start w:w="220" w:type="dxa"/>
              <w:bottom w:w="140" w:type="dxa"/>
              <w:end w:w="220" w:type="dxa"/>
            </w:tcMar>
            <w:tcBorders>
              <w:top w:val="single" w:sz="4" w:color="D9E0E4"/>
              <w:left w:val="nil"/>
              <w:bottom w:val="single" w:sz="4" w:color="D9E0E4"/>
              <w:right w:val="single" w:sz="4" w:color="D9E0E4"/>
            </w:tcBorders>
          </w:tcPr>
          <w:p>
            <w:pPr>
              <w:keepLines/>
              <w:spacing w:before="0" w:after="60" w:line="288" w:lineRule="auto"/>
            </w:pPr>
            <w:r>
              <w:rPr>
                <w:rFonts w:ascii="Noto Sans CJK SC" w:hAnsi="Noto Sans CJK SC" w:eastAsia="Noto Sans CJK SC"/>
                <w:b/>
                <w:color w:val="A13D3D"/>
                <w:sz w:val="21"/>
              </w:rPr>
              <w:t>原则</w:t>
            </w:r>
          </w:p>
          <w:p>
            <w:pPr>
              <w:keepLines/>
              <w:spacing w:before="0" w:after="0" w:line="324" w:lineRule="auto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20"/>
              </w:rPr>
              <w:t>个人可以拥有独特人格与长期声誉，但在企业资源、品牌标识、工作场景、客户数据和组织投入上形成的商业资产，必须事先明确权属和使用边界。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80" w:after="160"/>
      </w:pPr>
      <w:r>
        <w:rPr>
          <w:rFonts w:ascii="Noto Serif CJK SC" w:hAnsi="Noto Serif CJK SC" w:eastAsia="Noto Serif CJK SC"/>
          <w:b/>
          <w:color w:val="18324B"/>
          <w:sz w:val="31"/>
        </w:rPr>
        <w:t>十三、指标体系与进入第二阶段的条件</w:t>
      </w:r>
    </w:p>
    <w:p>
      <w:pPr>
        <w:keepLines/>
        <w:spacing w:before="0" w:after="100" w:line="324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第一阶段的评价重点应从“单条内容表现”转向“总部是否形成可复制的组织能力”。播放量和GMV仍然重要，但它们不能替代认知、信任、知识复用、生产效率与风险控制。</w:t>
      </w:r>
    </w:p>
    <w:p>
      <w:pPr>
        <w:pStyle w:val="Heading2"/>
        <w:keepNext/>
        <w:spacing w:before="200" w:after="100"/>
      </w:pPr>
      <w:r>
        <w:rPr>
          <w:rFonts w:ascii="Noto Serif CJK SC" w:hAnsi="Noto Serif CJK SC" w:eastAsia="Noto Serif CJK SC"/>
          <w:b/>
          <w:color w:val="18324B"/>
          <w:sz w:val="25"/>
        </w:rPr>
        <w:t>13.1 第一阶段指标树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tblHeader w:val="true"/>
          <w:cantSplit/>
        </w:trPr>
        <w:tc>
          <w:tcPr>
            <w:tcW w:type="dxa" w:w="2268"/>
            <w:shd w:fill="18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6803"/>
            <w:shd w:fill="18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建议观察指标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品牌认知</w:t>
            </w:r>
          </w:p>
        </w:tc>
        <w:tc>
          <w:tcPr>
            <w:tcW w:type="dxa" w:w="680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品牌搜索、核心观点复述、评论关键词、主动提及、内容记忆点。</w:t>
            </w:r>
          </w:p>
        </w:tc>
      </w:tr>
      <w:tr>
        <w:trPr>
          <w:cantSplit/>
        </w:trPr>
        <w:tc>
          <w:tcPr>
            <w:tcW w:type="dxa" w:w="2268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角色信任</w:t>
            </w:r>
          </w:p>
        </w:tc>
        <w:tc>
          <w:tcPr>
            <w:tcW w:type="dxa" w:w="6803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用户点名、专业问题咨询、有效评论、连续观看、直播停留与私信质量。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商品理解</w:t>
            </w:r>
          </w:p>
        </w:tc>
        <w:tc>
          <w:tcPr>
            <w:tcW w:type="dxa" w:w="680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收藏、问答、试穿预约、核心知识触达、错误认知减少。</w:t>
            </w:r>
          </w:p>
        </w:tc>
      </w:tr>
      <w:tr>
        <w:trPr>
          <w:cantSplit/>
        </w:trPr>
        <w:tc>
          <w:tcPr>
            <w:tcW w:type="dxa" w:w="2268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商业承接</w:t>
            </w:r>
          </w:p>
        </w:tc>
        <w:tc>
          <w:tcPr>
            <w:tcW w:type="dxa" w:w="6803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咨询、到店、私域新增、活动报名、成交、复购与招商/招聘线索。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知识能力</w:t>
            </w:r>
          </w:p>
        </w:tc>
        <w:tc>
          <w:tcPr>
            <w:tcW w:type="dxa" w:w="680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结构化知识覆盖率、复用率、检索成功率、更新及时率、过期率。</w:t>
            </w:r>
          </w:p>
        </w:tc>
      </w:tr>
      <w:tr>
        <w:trPr>
          <w:cantSplit/>
        </w:trPr>
        <w:tc>
          <w:tcPr>
            <w:tcW w:type="dxa" w:w="2268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生产能力</w:t>
            </w:r>
          </w:p>
        </w:tc>
        <w:tc>
          <w:tcPr>
            <w:tcW w:type="dxa" w:w="6803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从命题到发布周期、一次通过率、角色稳定输出率、跨部门响应。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治理能力</w:t>
            </w:r>
          </w:p>
        </w:tc>
        <w:tc>
          <w:tcPr>
            <w:tcW w:type="dxa" w:w="680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事实错误、合规事件、授权完整率、账号安全、危机响应。</w:t>
            </w:r>
          </w:p>
        </w:tc>
      </w:tr>
      <w:tr>
        <w:trPr>
          <w:cantSplit/>
        </w:trPr>
        <w:tc>
          <w:tcPr>
            <w:tcW w:type="dxa" w:w="2268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学习能力</w:t>
            </w:r>
          </w:p>
        </w:tc>
        <w:tc>
          <w:tcPr>
            <w:tcW w:type="dxa" w:w="6803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新增问题入库、反馈闭环率、优秀案例升级、失败案例复盘。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00" w:after="100"/>
      </w:pPr>
      <w:r>
        <w:rPr>
          <w:rFonts w:ascii="Noto Serif CJK SC" w:hAnsi="Noto Serif CJK SC" w:eastAsia="Noto Serif CJK SC"/>
          <w:b/>
          <w:color w:val="18324B"/>
          <w:sz w:val="25"/>
        </w:rPr>
        <w:t>13.2 建议的第二阶段进入闸门</w:t>
      </w:r>
    </w:p>
    <w:p>
      <w:pPr>
        <w:keepLines/>
        <w:spacing w:before="0" w:after="100" w:line="324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以下为建议性条件，企业可根据规模调整阈值；原则是“核心认知、知识、角色、流程、治理”五项均达标，而不是仅凭某个账号出现爆款。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tblHeader w:val="true"/>
          <w:cantSplit/>
        </w:trPr>
        <w:tc>
          <w:tcPr>
            <w:tcW w:type="dxa" w:w="2268"/>
            <w:shd w:fill="3E6C5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闸门</w:t>
            </w:r>
          </w:p>
        </w:tc>
        <w:tc>
          <w:tcPr>
            <w:tcW w:type="dxa" w:w="6803"/>
            <w:shd w:fill="3E6C5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达标判断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战略与治理</w:t>
            </w:r>
          </w:p>
        </w:tc>
        <w:tc>
          <w:tcPr>
            <w:tcW w:type="dxa" w:w="680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品牌IP章程经管理层批准；账号、肖像、版权、数据和离职规则落地。</w:t>
            </w:r>
          </w:p>
        </w:tc>
      </w:tr>
      <w:tr>
        <w:trPr>
          <w:cantSplit/>
        </w:trPr>
        <w:tc>
          <w:tcPr>
            <w:tcW w:type="dxa" w:w="2268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知识底座</w:t>
            </w:r>
          </w:p>
        </w:tc>
        <w:tc>
          <w:tcPr>
            <w:tcW w:type="dxa" w:w="6803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核心品牌事实、本季重点商品、用户场景、角色卡、合规知识已结构化，并有明确责任人和有效期。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角色验证</w:t>
            </w:r>
          </w:p>
        </w:tc>
        <w:tc>
          <w:tcPr>
            <w:tcW w:type="dxa" w:w="680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至少1个价值角色、1—2个专业角色和品牌母账号形成连续稳定输出，角色认知基本清晰。</w:t>
            </w:r>
          </w:p>
        </w:tc>
      </w:tr>
      <w:tr>
        <w:trPr>
          <w:cantSplit/>
        </w:trPr>
        <w:tc>
          <w:tcPr>
            <w:tcW w:type="dxa" w:w="2268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工作流验证</w:t>
            </w:r>
          </w:p>
        </w:tc>
        <w:tc>
          <w:tcPr>
            <w:tcW w:type="dxa" w:w="6803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内容任务书、检索、创作、审核、发布、反馈流程可重复运行，重大事实错误为零。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数据验证</w:t>
            </w:r>
          </w:p>
        </w:tc>
        <w:tc>
          <w:tcPr>
            <w:tcW w:type="dxa" w:w="680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内容ID与知识ID可关联，能够区分认知、信任、线索和商业结果。</w:t>
            </w:r>
          </w:p>
        </w:tc>
      </w:tr>
      <w:tr>
        <w:trPr>
          <w:cantSplit/>
        </w:trPr>
        <w:tc>
          <w:tcPr>
            <w:tcW w:type="dxa" w:w="2268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扩展准备</w:t>
            </w:r>
          </w:p>
        </w:tc>
        <w:tc>
          <w:tcPr>
            <w:tcW w:type="dxa" w:w="6803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区域与门店字段、叠加规则、授权模板、培训材料和试点评分标准准备完成。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组织意愿</w:t>
            </w:r>
          </w:p>
        </w:tc>
        <w:tc>
          <w:tcPr>
            <w:tcW w:type="dxa" w:w="680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拟试点省代有明确负责人、资源、合规意识和门店协同能力。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80" w:after="160"/>
      </w:pPr>
      <w:r>
        <w:rPr>
          <w:rFonts w:ascii="Noto Serif CJK SC" w:hAnsi="Noto Serif CJK SC" w:eastAsia="Noto Serif CJK SC"/>
          <w:b/>
          <w:color w:val="18324B"/>
          <w:sz w:val="31"/>
        </w:rPr>
        <w:t>十四、建议的16周第一阶段实施计划</w:t>
      </w:r>
    </w:p>
    <w:p>
      <w:pPr>
        <w:keepLines/>
        <w:spacing w:before="0" w:after="100" w:line="324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以下计划以“总部IP内容矩阵和最小可行知识库同时跑通”为目标。具体周期可按企业已有资料完整度、部门协同和拍摄能力调整。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rPr>
          <w:tblHeader w:val="true"/>
          <w:cantSplit/>
        </w:trPr>
        <w:tc>
          <w:tcPr>
            <w:tcW w:type="dxa" w:w="1361"/>
            <w:shd w:fill="18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周期</w:t>
            </w:r>
          </w:p>
        </w:tc>
        <w:tc>
          <w:tcPr>
            <w:tcW w:type="dxa" w:w="1701"/>
            <w:shd w:fill="18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工作包</w:t>
            </w:r>
          </w:p>
        </w:tc>
        <w:tc>
          <w:tcPr>
            <w:tcW w:type="dxa" w:w="3969"/>
            <w:shd w:fill="18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关键任务</w:t>
            </w:r>
          </w:p>
        </w:tc>
        <w:tc>
          <w:tcPr>
            <w:tcW w:type="dxa" w:w="2041"/>
            <w:shd w:fill="18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主要产出</w:t>
            </w:r>
          </w:p>
        </w:tc>
      </w:tr>
      <w:tr>
        <w:trPr>
          <w:cantSplit/>
        </w:trPr>
        <w:tc>
          <w:tcPr>
            <w:tcW w:type="dxa" w:w="136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6"/>
              </w:rPr>
              <w:t>第1—2周</w:t>
            </w:r>
          </w:p>
        </w:tc>
        <w:tc>
          <w:tcPr>
            <w:tcW w:type="dxa" w:w="170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6"/>
              </w:rPr>
              <w:t>战略定标</w:t>
            </w:r>
          </w:p>
        </w:tc>
        <w:tc>
          <w:tcPr>
            <w:tcW w:type="dxa" w:w="3969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6"/>
              </w:rPr>
              <w:t>管理层访谈；品牌IP章程；目标人群与核心命题；角色候选；治理与资产边界。</w:t>
            </w:r>
          </w:p>
        </w:tc>
        <w:tc>
          <w:tcPr>
            <w:tcW w:type="dxa" w:w="204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6"/>
              </w:rPr>
              <w:t>基线批准、项目组与RACI。</w:t>
            </w:r>
          </w:p>
        </w:tc>
      </w:tr>
      <w:tr>
        <w:trPr>
          <w:cantSplit/>
        </w:trPr>
        <w:tc>
          <w:tcPr>
            <w:tcW w:type="dxa" w:w="1361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6"/>
              </w:rPr>
              <w:t>第3—4周</w:t>
            </w:r>
          </w:p>
        </w:tc>
        <w:tc>
          <w:tcPr>
            <w:tcW w:type="dxa" w:w="1701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6"/>
              </w:rPr>
              <w:t>知识盘点与架构</w:t>
            </w:r>
          </w:p>
        </w:tc>
        <w:tc>
          <w:tcPr>
            <w:tcW w:type="dxa" w:w="3969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6"/>
              </w:rPr>
              <w:t>盘点品牌、商品、培训、法务、素材与数据；设计知识域、字段、ID、版本和权限。</w:t>
            </w:r>
          </w:p>
        </w:tc>
        <w:tc>
          <w:tcPr>
            <w:tcW w:type="dxa" w:w="2041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6"/>
              </w:rPr>
              <w:t>知识模型V1、缺口清单。</w:t>
            </w:r>
          </w:p>
        </w:tc>
      </w:tr>
      <w:tr>
        <w:trPr>
          <w:cantSplit/>
        </w:trPr>
        <w:tc>
          <w:tcPr>
            <w:tcW w:type="dxa" w:w="136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6"/>
              </w:rPr>
              <w:t>第5—7周</w:t>
            </w:r>
          </w:p>
        </w:tc>
        <w:tc>
          <w:tcPr>
            <w:tcW w:type="dxa" w:w="170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6"/>
              </w:rPr>
              <w:t>核心知识结构化</w:t>
            </w:r>
          </w:p>
        </w:tc>
        <w:tc>
          <w:tcPr>
            <w:tcW w:type="dxa" w:w="3969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6"/>
              </w:rPr>
              <w:t>建立品牌事实、重点商品、用户场景、专业方法、角色卡和合规知识。</w:t>
            </w:r>
          </w:p>
        </w:tc>
        <w:tc>
          <w:tcPr>
            <w:tcW w:type="dxa" w:w="204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6"/>
              </w:rPr>
              <w:t>最小可行知识库V1。</w:t>
            </w:r>
          </w:p>
        </w:tc>
      </w:tr>
      <w:tr>
        <w:trPr>
          <w:cantSplit/>
        </w:trPr>
        <w:tc>
          <w:tcPr>
            <w:tcW w:type="dxa" w:w="1361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6"/>
              </w:rPr>
              <w:t>第8—10周</w:t>
            </w:r>
          </w:p>
        </w:tc>
        <w:tc>
          <w:tcPr>
            <w:tcW w:type="dxa" w:w="1701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6"/>
              </w:rPr>
              <w:t>总部角色与栏目试制</w:t>
            </w:r>
          </w:p>
        </w:tc>
        <w:tc>
          <w:tcPr>
            <w:tcW w:type="dxa" w:w="3969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6"/>
              </w:rPr>
              <w:t>内容任务书；角色训练；小批量拍摄与发布；审核路径验证。</w:t>
            </w:r>
          </w:p>
        </w:tc>
        <w:tc>
          <w:tcPr>
            <w:tcW w:type="dxa" w:w="2041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6"/>
              </w:rPr>
              <w:t>3—5类栏目、角色样片与流程。</w:t>
            </w:r>
          </w:p>
        </w:tc>
      </w:tr>
      <w:tr>
        <w:trPr>
          <w:cantSplit/>
        </w:trPr>
        <w:tc>
          <w:tcPr>
            <w:tcW w:type="dxa" w:w="136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6"/>
              </w:rPr>
              <w:t>第11—13周</w:t>
            </w:r>
          </w:p>
        </w:tc>
        <w:tc>
          <w:tcPr>
            <w:tcW w:type="dxa" w:w="170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6"/>
              </w:rPr>
              <w:t>连续运营与数据回流</w:t>
            </w:r>
          </w:p>
        </w:tc>
        <w:tc>
          <w:tcPr>
            <w:tcW w:type="dxa" w:w="3969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6"/>
              </w:rPr>
              <w:t>稳定发布；问题归类；知识更新；AI辅助检索与改写试用；指标基线。</w:t>
            </w:r>
          </w:p>
        </w:tc>
        <w:tc>
          <w:tcPr>
            <w:tcW w:type="dxa" w:w="204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6"/>
              </w:rPr>
              <w:t>知识库V2、数据看板、复盘。</w:t>
            </w:r>
          </w:p>
        </w:tc>
      </w:tr>
      <w:tr>
        <w:trPr>
          <w:cantSplit/>
        </w:trPr>
        <w:tc>
          <w:tcPr>
            <w:tcW w:type="dxa" w:w="1361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6"/>
              </w:rPr>
              <w:t>第14—15周</w:t>
            </w:r>
          </w:p>
        </w:tc>
        <w:tc>
          <w:tcPr>
            <w:tcW w:type="dxa" w:w="1701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6"/>
              </w:rPr>
              <w:t>区域扩展准备</w:t>
            </w:r>
          </w:p>
        </w:tc>
        <w:tc>
          <w:tcPr>
            <w:tcW w:type="dxa" w:w="3969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6"/>
              </w:rPr>
              <w:t>设计区域叠加、门店事实、授权、培训、试点选择和接入模板。</w:t>
            </w:r>
          </w:p>
        </w:tc>
        <w:tc>
          <w:tcPr>
            <w:tcW w:type="dxa" w:w="2041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6"/>
              </w:rPr>
              <w:t>第二阶段工具包。</w:t>
            </w:r>
          </w:p>
        </w:tc>
      </w:tr>
      <w:tr>
        <w:trPr>
          <w:cantSplit/>
        </w:trPr>
        <w:tc>
          <w:tcPr>
            <w:tcW w:type="dxa" w:w="136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6"/>
              </w:rPr>
              <w:t>第16周</w:t>
            </w:r>
          </w:p>
        </w:tc>
        <w:tc>
          <w:tcPr>
            <w:tcW w:type="dxa" w:w="170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6"/>
              </w:rPr>
              <w:t>阶段评审</w:t>
            </w:r>
          </w:p>
        </w:tc>
        <w:tc>
          <w:tcPr>
            <w:tcW w:type="dxa" w:w="3969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6"/>
              </w:rPr>
              <w:t>按闸门评估；确认1—2个省区及少量门店；明确第二阶段目标。</w:t>
            </w:r>
          </w:p>
        </w:tc>
        <w:tc>
          <w:tcPr>
            <w:tcW w:type="dxa" w:w="204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6"/>
              </w:rPr>
              <w:t>Go / Conditional Go / No-Go决策。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00" w:after="100"/>
      </w:pPr>
      <w:r>
        <w:rPr>
          <w:rFonts w:ascii="Noto Serif CJK SC" w:hAnsi="Noto Serif CJK SC" w:eastAsia="Noto Serif CJK SC"/>
          <w:b/>
          <w:color w:val="18324B"/>
          <w:sz w:val="25"/>
        </w:rPr>
        <w:t>14.1 第一阶段建议形成的十项交付物</w:t>
      </w:r>
    </w:p>
    <w:p>
      <w:pPr>
        <w:keepLines/>
        <w:tabs>
          <w:tab w:pos="408" w:val="left"/>
        </w:tabs>
        <w:spacing w:before="0" w:after="60" w:line="307" w:lineRule="auto"/>
        <w:ind w:left="408" w:hanging="408"/>
      </w:pPr>
      <w:r>
        <w:rPr>
          <w:rFonts w:ascii="Noto Sans CJK SC" w:hAnsi="Noto Sans CJK SC" w:eastAsia="Noto Sans CJK SC"/>
          <w:b w:val="0"/>
          <w:color w:val="18324B"/>
          <w:sz w:val="20"/>
        </w:rPr>
        <w:t>1.</w:t>
      </w:r>
      <w:r>
        <w:rPr>
          <w:rFonts w:ascii="Noto Sans CJK SC" w:hAnsi="Noto Sans CJK SC" w:eastAsia="Noto Sans CJK SC"/>
          <w:sz w:val="20"/>
        </w:rPr>
        <w:tab/>
        <w:t>《品牌IP章程》；</w:t>
      </w:r>
    </w:p>
    <w:p>
      <w:pPr>
        <w:keepLines/>
        <w:tabs>
          <w:tab w:pos="408" w:val="left"/>
        </w:tabs>
        <w:spacing w:before="0" w:after="60" w:line="307" w:lineRule="auto"/>
        <w:ind w:left="408" w:hanging="408"/>
      </w:pPr>
      <w:r>
        <w:rPr>
          <w:rFonts w:ascii="Noto Sans CJK SC" w:hAnsi="Noto Sans CJK SC" w:eastAsia="Noto Sans CJK SC"/>
          <w:b w:val="0"/>
          <w:color w:val="18324B"/>
          <w:sz w:val="20"/>
        </w:rPr>
        <w:t>2.</w:t>
      </w:r>
      <w:r>
        <w:rPr>
          <w:rFonts w:ascii="Noto Sans CJK SC" w:hAnsi="Noto Sans CJK SC" w:eastAsia="Noto Sans CJK SC"/>
          <w:sz w:val="20"/>
        </w:rPr>
        <w:tab/>
        <w:t>《总部角色IP地图与角色卡》；</w:t>
      </w:r>
    </w:p>
    <w:p>
      <w:pPr>
        <w:keepLines/>
        <w:tabs>
          <w:tab w:pos="408" w:val="left"/>
        </w:tabs>
        <w:spacing w:before="0" w:after="60" w:line="307" w:lineRule="auto"/>
        <w:ind w:left="408" w:hanging="408"/>
      </w:pPr>
      <w:r>
        <w:rPr>
          <w:rFonts w:ascii="Noto Sans CJK SC" w:hAnsi="Noto Sans CJK SC" w:eastAsia="Noto Sans CJK SC"/>
          <w:b w:val="0"/>
          <w:color w:val="18324B"/>
          <w:sz w:val="20"/>
        </w:rPr>
        <w:t>3.</w:t>
      </w:r>
      <w:r>
        <w:rPr>
          <w:rFonts w:ascii="Noto Sans CJK SC" w:hAnsi="Noto Sans CJK SC" w:eastAsia="Noto Sans CJK SC"/>
          <w:sz w:val="20"/>
        </w:rPr>
        <w:tab/>
        <w:t>《企业内容知识分类与数据字典》；</w:t>
      </w:r>
    </w:p>
    <w:p>
      <w:pPr>
        <w:keepLines/>
        <w:tabs>
          <w:tab w:pos="408" w:val="left"/>
        </w:tabs>
        <w:spacing w:before="0" w:after="60" w:line="307" w:lineRule="auto"/>
        <w:ind w:left="408" w:hanging="408"/>
      </w:pPr>
      <w:r>
        <w:rPr>
          <w:rFonts w:ascii="Noto Sans CJK SC" w:hAnsi="Noto Sans CJK SC" w:eastAsia="Noto Sans CJK SC"/>
          <w:b w:val="0"/>
          <w:color w:val="18324B"/>
          <w:sz w:val="20"/>
        </w:rPr>
        <w:t>4.</w:t>
      </w:r>
      <w:r>
        <w:rPr>
          <w:rFonts w:ascii="Noto Sans CJK SC" w:hAnsi="Noto Sans CJK SC" w:eastAsia="Noto Sans CJK SC"/>
          <w:sz w:val="20"/>
        </w:rPr>
        <w:tab/>
        <w:t>品牌事实库与重点商品真相库；</w:t>
      </w:r>
    </w:p>
    <w:p>
      <w:pPr>
        <w:keepLines/>
        <w:tabs>
          <w:tab w:pos="408" w:val="left"/>
        </w:tabs>
        <w:spacing w:before="0" w:after="60" w:line="307" w:lineRule="auto"/>
        <w:ind w:left="408" w:hanging="408"/>
      </w:pPr>
      <w:r>
        <w:rPr>
          <w:rFonts w:ascii="Noto Sans CJK SC" w:hAnsi="Noto Sans CJK SC" w:eastAsia="Noto Sans CJK SC"/>
          <w:b w:val="0"/>
          <w:color w:val="18324B"/>
          <w:sz w:val="20"/>
        </w:rPr>
        <w:t>5.</w:t>
      </w:r>
      <w:r>
        <w:rPr>
          <w:rFonts w:ascii="Noto Sans CJK SC" w:hAnsi="Noto Sans CJK SC" w:eastAsia="Noto Sans CJK SC"/>
          <w:sz w:val="20"/>
        </w:rPr>
        <w:tab/>
        <w:t>用户—场景—问题库；</w:t>
      </w:r>
    </w:p>
    <w:p>
      <w:pPr>
        <w:keepLines/>
        <w:tabs>
          <w:tab w:pos="408" w:val="left"/>
        </w:tabs>
        <w:spacing w:before="0" w:after="60" w:line="307" w:lineRule="auto"/>
        <w:ind w:left="408" w:hanging="408"/>
      </w:pPr>
      <w:r>
        <w:rPr>
          <w:rFonts w:ascii="Noto Sans CJK SC" w:hAnsi="Noto Sans CJK SC" w:eastAsia="Noto Sans CJK SC"/>
          <w:b w:val="0"/>
          <w:color w:val="18324B"/>
          <w:sz w:val="20"/>
        </w:rPr>
        <w:t>6.</w:t>
      </w:r>
      <w:r>
        <w:rPr>
          <w:rFonts w:ascii="Noto Sans CJK SC" w:hAnsi="Noto Sans CJK SC" w:eastAsia="Noto Sans CJK SC"/>
          <w:sz w:val="20"/>
        </w:rPr>
        <w:tab/>
        <w:t>内容母题、栏目与任务书库；</w:t>
      </w:r>
    </w:p>
    <w:p>
      <w:pPr>
        <w:keepLines/>
        <w:tabs>
          <w:tab w:pos="408" w:val="left"/>
        </w:tabs>
        <w:spacing w:before="0" w:after="60" w:line="307" w:lineRule="auto"/>
        <w:ind w:left="408" w:hanging="408"/>
      </w:pPr>
      <w:r>
        <w:rPr>
          <w:rFonts w:ascii="Noto Sans CJK SC" w:hAnsi="Noto Sans CJK SC" w:eastAsia="Noto Sans CJK SC"/>
          <w:b w:val="0"/>
          <w:color w:val="18324B"/>
          <w:sz w:val="20"/>
        </w:rPr>
        <w:t>7.</w:t>
      </w:r>
      <w:r>
        <w:rPr>
          <w:rFonts w:ascii="Noto Sans CJK SC" w:hAnsi="Noto Sans CJK SC" w:eastAsia="Noto Sans CJK SC"/>
          <w:sz w:val="20"/>
        </w:rPr>
        <w:tab/>
        <w:t>渠道规格、合规与风险规则库；</w:t>
      </w:r>
    </w:p>
    <w:p>
      <w:pPr>
        <w:keepLines/>
        <w:tabs>
          <w:tab w:pos="408" w:val="left"/>
        </w:tabs>
        <w:spacing w:before="0" w:after="60" w:line="307" w:lineRule="auto"/>
        <w:ind w:left="408" w:hanging="408"/>
      </w:pPr>
      <w:r>
        <w:rPr>
          <w:rFonts w:ascii="Noto Sans CJK SC" w:hAnsi="Noto Sans CJK SC" w:eastAsia="Noto Sans CJK SC"/>
          <w:b w:val="0"/>
          <w:color w:val="18324B"/>
          <w:sz w:val="20"/>
        </w:rPr>
        <w:t>8.</w:t>
      </w:r>
      <w:r>
        <w:rPr>
          <w:rFonts w:ascii="Noto Sans CJK SC" w:hAnsi="Noto Sans CJK SC" w:eastAsia="Noto Sans CJK SC"/>
          <w:sz w:val="20"/>
        </w:rPr>
        <w:tab/>
        <w:t>内容生产、审核、发布与反馈SOP；</w:t>
      </w:r>
    </w:p>
    <w:p>
      <w:pPr>
        <w:keepLines/>
        <w:tabs>
          <w:tab w:pos="408" w:val="left"/>
        </w:tabs>
        <w:spacing w:before="0" w:after="60" w:line="307" w:lineRule="auto"/>
        <w:ind w:left="408" w:hanging="408"/>
      </w:pPr>
      <w:r>
        <w:rPr>
          <w:rFonts w:ascii="Noto Sans CJK SC" w:hAnsi="Noto Sans CJK SC" w:eastAsia="Noto Sans CJK SC"/>
          <w:b w:val="0"/>
          <w:color w:val="18324B"/>
          <w:sz w:val="20"/>
        </w:rPr>
        <w:t>9.</w:t>
      </w:r>
      <w:r>
        <w:rPr>
          <w:rFonts w:ascii="Noto Sans CJK SC" w:hAnsi="Noto Sans CJK SC" w:eastAsia="Noto Sans CJK SC"/>
          <w:sz w:val="20"/>
        </w:rPr>
        <w:tab/>
        <w:t>总部内容矩阵连续运营样本与数据基线；</w:t>
      </w:r>
    </w:p>
    <w:p>
      <w:pPr>
        <w:keepLines/>
        <w:tabs>
          <w:tab w:pos="408" w:val="left"/>
        </w:tabs>
        <w:spacing w:before="0" w:after="60" w:line="307" w:lineRule="auto"/>
        <w:ind w:left="408" w:hanging="408"/>
      </w:pPr>
      <w:r>
        <w:rPr>
          <w:rFonts w:ascii="Noto Sans CJK SC" w:hAnsi="Noto Sans CJK SC" w:eastAsia="Noto Sans CJK SC"/>
          <w:b w:val="0"/>
          <w:color w:val="18324B"/>
          <w:sz w:val="20"/>
        </w:rPr>
        <w:t>10.</w:t>
      </w:r>
      <w:r>
        <w:rPr>
          <w:rFonts w:ascii="Noto Sans CJK SC" w:hAnsi="Noto Sans CJK SC" w:eastAsia="Noto Sans CJK SC"/>
          <w:sz w:val="20"/>
        </w:rPr>
        <w:tab/>
        <w:t>第二阶段区域叠加、门店事实、授权与试点工具包。</w:t>
      </w:r>
    </w:p>
    <w:p>
      <w:pPr>
        <w:pStyle w:val="Heading2"/>
        <w:keepNext/>
        <w:spacing w:before="200" w:after="100"/>
      </w:pPr>
      <w:r>
        <w:rPr>
          <w:rFonts w:ascii="Noto Serif CJK SC" w:hAnsi="Noto Serif CJK SC" w:eastAsia="Noto Serif CJK SC"/>
          <w:b/>
          <w:color w:val="18324B"/>
          <w:sz w:val="25"/>
        </w:rPr>
        <w:t>14.2 第一阶段最常见的三个错误</w:t>
      </w:r>
    </w:p>
    <w:p>
      <w:pPr>
        <w:pStyle w:val="ListBullet"/>
        <w:keepLines/>
        <w:spacing w:before="0" w:after="60" w:line="307" w:lineRule="auto"/>
        <w:ind w:left="312" w:hanging="159"/>
      </w:pPr>
      <w:r>
        <w:rPr>
          <w:rFonts w:ascii="Noto Sans CJK SC" w:hAnsi="Noto Sans CJK SC" w:eastAsia="Noto Sans CJK SC"/>
          <w:b w:val="0"/>
          <w:sz w:val="20"/>
        </w:rPr>
        <w:t>只做品牌定位和脚本，不把商品事实、责任人、版本和审核纳入知识库；</w:t>
      </w:r>
    </w:p>
    <w:p>
      <w:pPr>
        <w:pStyle w:val="ListBullet"/>
        <w:keepLines/>
        <w:spacing w:before="0" w:after="60" w:line="307" w:lineRule="auto"/>
        <w:ind w:left="312" w:hanging="159"/>
      </w:pPr>
      <w:r>
        <w:rPr>
          <w:rFonts w:ascii="Noto Sans CJK SC" w:hAnsi="Noto Sans CJK SC" w:eastAsia="Noto Sans CJK SC"/>
          <w:b w:val="0"/>
          <w:sz w:val="20"/>
        </w:rPr>
        <w:t>只建资料库，不让知识进入真实内容生产和数据回流；</w:t>
      </w:r>
    </w:p>
    <w:p>
      <w:pPr>
        <w:pStyle w:val="ListBullet"/>
        <w:keepLines/>
        <w:spacing w:before="0" w:after="60" w:line="307" w:lineRule="auto"/>
        <w:ind w:left="312" w:hanging="159"/>
      </w:pPr>
      <w:r>
        <w:rPr>
          <w:rFonts w:ascii="Noto Sans CJK SC" w:hAnsi="Noto Sans CJK SC" w:eastAsia="Noto Sans CJK SC"/>
          <w:b w:val="0"/>
          <w:sz w:val="20"/>
        </w:rPr>
        <w:t>为了尽快“看见矩阵”，同时开太多账号，导致角色不清、产能分散和内容同质。</w:t>
      </w:r>
    </w:p>
    <w:p>
      <w:pPr>
        <w:pStyle w:val="Heading1"/>
        <w:keepNext/>
        <w:spacing w:before="280" w:after="160"/>
      </w:pPr>
      <w:r>
        <w:rPr>
          <w:rFonts w:ascii="Noto Serif CJK SC" w:hAnsi="Noto Serif CJK SC" w:eastAsia="Noto Serif CJK SC"/>
          <w:b/>
          <w:color w:val="18324B"/>
          <w:sz w:val="31"/>
        </w:rPr>
        <w:t>十五、管理层结论与下一轮关键决策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8957"/>
      </w:tblGrid>
      <w:tr>
        <w:trPr>
          <w:cantSplit/>
        </w:trPr>
        <w:tc>
          <w:tcPr>
            <w:tcW w:type="dxa" w:w="4901"/>
            <w:shd w:fill="B58A4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01"/>
            <w:shd w:fill="F7F1E7"/>
            <w:tcMar>
              <w:top w:w="140" w:type="dxa"/>
              <w:start w:w="220" w:type="dxa"/>
              <w:bottom w:w="140" w:type="dxa"/>
              <w:end w:w="220" w:type="dxa"/>
            </w:tcMar>
            <w:tcBorders>
              <w:top w:val="single" w:sz="4" w:color="D9E0E4"/>
              <w:left w:val="nil"/>
              <w:bottom w:val="single" w:sz="4" w:color="D9E0E4"/>
              <w:right w:val="single" w:sz="4" w:color="D9E0E4"/>
            </w:tcBorders>
          </w:tcPr>
          <w:p>
            <w:pPr>
              <w:keepLines/>
              <w:spacing w:before="0" w:after="60" w:line="288" w:lineRule="auto"/>
            </w:pPr>
            <w:r>
              <w:rPr>
                <w:rFonts w:ascii="Noto Sans CJK SC" w:hAnsi="Noto Sans CJK SC" w:eastAsia="Noto Sans CJK SC"/>
                <w:b/>
                <w:color w:val="18324B"/>
                <w:sz w:val="21"/>
              </w:rPr>
              <w:t>总判断</w:t>
            </w:r>
          </w:p>
          <w:p>
            <w:pPr>
              <w:keepLines/>
              <w:spacing w:before="0" w:after="0" w:line="324" w:lineRule="auto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20"/>
              </w:rPr>
              <w:t>本企业最有潜力形成的，不是单一明星式IP，而是类似“海底捞式”的组织人格：全国多点、真实可验证、由服务和经营事实支撑。但服装行业比餐饮拥有更复杂的商品知识、审美差异和加盟结构，因此必须用更强的知识继承、角色授权和资产治理来控制规模风险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00" w:after="100"/>
      </w:pPr>
      <w:r>
        <w:rPr>
          <w:rFonts w:ascii="Noto Serif CJK SC" w:hAnsi="Noto Serif CJK SC" w:eastAsia="Noto Serif CJK SC"/>
          <w:b/>
          <w:color w:val="18324B"/>
          <w:sz w:val="25"/>
        </w:rPr>
        <w:t>15.1 本文件建议锁定的基线原则</w:t>
      </w:r>
    </w:p>
    <w:p>
      <w:pPr>
        <w:pStyle w:val="ListBullet"/>
        <w:keepLines/>
        <w:spacing w:before="0" w:after="60" w:line="307" w:lineRule="auto"/>
        <w:ind w:left="312" w:hanging="159"/>
      </w:pPr>
      <w:r>
        <w:rPr>
          <w:rFonts w:ascii="Noto Sans CJK SC" w:hAnsi="Noto Sans CJK SC" w:eastAsia="Noto Sans CJK SC"/>
          <w:b w:val="0"/>
          <w:sz w:val="20"/>
        </w:rPr>
        <w:t>战略形态：品牌母IP统领下的组织型IP，而非单一网红中心。</w:t>
      </w:r>
    </w:p>
    <w:p>
      <w:pPr>
        <w:pStyle w:val="ListBullet"/>
        <w:keepLines/>
        <w:spacing w:before="0" w:after="60" w:line="307" w:lineRule="auto"/>
        <w:ind w:left="312" w:hanging="159"/>
      </w:pPr>
      <w:r>
        <w:rPr>
          <w:rFonts w:ascii="Noto Sans CJK SC" w:hAnsi="Noto Sans CJK SC" w:eastAsia="Noto Sans CJK SC"/>
          <w:b w:val="0"/>
          <w:sz w:val="20"/>
        </w:rPr>
        <w:t>组织方式：总部定义、区域翻译、门店证明、数据回流。</w:t>
      </w:r>
    </w:p>
    <w:p>
      <w:pPr>
        <w:pStyle w:val="ListBullet"/>
        <w:keepLines/>
        <w:spacing w:before="0" w:after="60" w:line="307" w:lineRule="auto"/>
        <w:ind w:left="312" w:hanging="159"/>
      </w:pPr>
      <w:r>
        <w:rPr>
          <w:rFonts w:ascii="Noto Sans CJK SC" w:hAnsi="Noto Sans CJK SC" w:eastAsia="Noto Sans CJK SC"/>
          <w:b w:val="0"/>
          <w:sz w:val="20"/>
        </w:rPr>
        <w:t>推进方式：总部先行，1—2个成熟省区和少量优质终端试点，再分批复制。</w:t>
      </w:r>
    </w:p>
    <w:p>
      <w:pPr>
        <w:pStyle w:val="ListBullet"/>
        <w:keepLines/>
        <w:spacing w:before="0" w:after="60" w:line="307" w:lineRule="auto"/>
        <w:ind w:left="312" w:hanging="159"/>
      </w:pPr>
      <w:r>
        <w:rPr>
          <w:rFonts w:ascii="Noto Sans CJK SC" w:hAnsi="Noto Sans CJK SC" w:eastAsia="Noto Sans CJK SC"/>
          <w:b w:val="0"/>
          <w:sz w:val="20"/>
        </w:rPr>
        <w:t>知识方式：全国核心不可分叉，区域以叠加继承，门店以真实事实贡献。</w:t>
      </w:r>
    </w:p>
    <w:p>
      <w:pPr>
        <w:pStyle w:val="ListBullet"/>
        <w:keepLines/>
        <w:spacing w:before="0" w:after="60" w:line="307" w:lineRule="auto"/>
        <w:ind w:left="312" w:hanging="159"/>
      </w:pPr>
      <w:r>
        <w:rPr>
          <w:rFonts w:ascii="Noto Sans CJK SC" w:hAnsi="Noto Sans CJK SC" w:eastAsia="Noto Sans CJK SC"/>
          <w:b w:val="0"/>
          <w:sz w:val="20"/>
        </w:rPr>
        <w:t>内容方式：事实、专业判断和创意表达分离；任务书替代统一脚本。</w:t>
      </w:r>
    </w:p>
    <w:p>
      <w:pPr>
        <w:pStyle w:val="ListBullet"/>
        <w:keepLines/>
        <w:spacing w:before="0" w:after="60" w:line="307" w:lineRule="auto"/>
        <w:ind w:left="312" w:hanging="159"/>
      </w:pPr>
      <w:r>
        <w:rPr>
          <w:rFonts w:ascii="Noto Sans CJK SC" w:hAnsi="Noto Sans CJK SC" w:eastAsia="Noto Sans CJK SC"/>
          <w:b w:val="0"/>
          <w:sz w:val="20"/>
        </w:rPr>
        <w:t>角色方式：按真实权威和服务对象构建角色矩阵，不要求全员成为IP。</w:t>
      </w:r>
    </w:p>
    <w:p>
      <w:pPr>
        <w:pStyle w:val="ListBullet"/>
        <w:keepLines/>
        <w:spacing w:before="0" w:after="60" w:line="307" w:lineRule="auto"/>
        <w:ind w:left="312" w:hanging="159"/>
      </w:pPr>
      <w:r>
        <w:rPr>
          <w:rFonts w:ascii="Noto Sans CJK SC" w:hAnsi="Noto Sans CJK SC" w:eastAsia="Noto Sans CJK SC"/>
          <w:b w:val="0"/>
          <w:sz w:val="20"/>
        </w:rPr>
        <w:t>治理方式：账号、肖像、版权、客户数据、商业合作和离职处置前置。</w:t>
      </w:r>
    </w:p>
    <w:p>
      <w:pPr>
        <w:pStyle w:val="ListBullet"/>
        <w:keepLines/>
        <w:spacing w:before="0" w:after="60" w:line="307" w:lineRule="auto"/>
        <w:ind w:left="312" w:hanging="159"/>
      </w:pPr>
      <w:r>
        <w:rPr>
          <w:rFonts w:ascii="Noto Sans CJK SC" w:hAnsi="Noto Sans CJK SC" w:eastAsia="Noto Sans CJK SC"/>
          <w:b w:val="0"/>
          <w:sz w:val="20"/>
        </w:rPr>
        <w:t>评价方式：同时衡量认知、信任、商业承接、知识能力、组织效率与风险。</w:t>
      </w:r>
    </w:p>
    <w:p>
      <w:pPr>
        <w:pStyle w:val="Heading2"/>
        <w:keepNext/>
        <w:spacing w:before="200" w:after="100"/>
      </w:pPr>
      <w:r>
        <w:rPr>
          <w:rFonts w:ascii="Noto Serif CJK SC" w:hAnsi="Noto Serif CJK SC" w:eastAsia="Noto Serif CJK SC"/>
          <w:b/>
          <w:color w:val="18324B"/>
          <w:sz w:val="25"/>
        </w:rPr>
        <w:t>15.2 下一轮讨论应优先回答的八个问题</w:t>
      </w:r>
    </w:p>
    <w:p>
      <w:pPr>
        <w:keepLines/>
        <w:tabs>
          <w:tab w:pos="408" w:val="left"/>
        </w:tabs>
        <w:spacing w:before="0" w:after="60" w:line="307" w:lineRule="auto"/>
        <w:ind w:left="408" w:hanging="408"/>
      </w:pPr>
      <w:r>
        <w:rPr>
          <w:rFonts w:ascii="Noto Sans CJK SC" w:hAnsi="Noto Sans CJK SC" w:eastAsia="Noto Sans CJK SC"/>
          <w:b w:val="0"/>
          <w:color w:val="18324B"/>
          <w:sz w:val="20"/>
        </w:rPr>
        <w:t>1.</w:t>
      </w:r>
      <w:r>
        <w:rPr>
          <w:rFonts w:ascii="Noto Sans CJK SC" w:hAnsi="Noto Sans CJK SC" w:eastAsia="Noto Sans CJK SC"/>
          <w:sz w:val="20"/>
        </w:rPr>
        <w:tab/>
        <w:t>品牌母IP最核心的一句话是什么：我们比别人更理解哪一类人，如何帮助他们？</w:t>
      </w:r>
    </w:p>
    <w:p>
      <w:pPr>
        <w:keepLines/>
        <w:tabs>
          <w:tab w:pos="408" w:val="left"/>
        </w:tabs>
        <w:spacing w:before="0" w:after="60" w:line="307" w:lineRule="auto"/>
        <w:ind w:left="408" w:hanging="408"/>
      </w:pPr>
      <w:r>
        <w:rPr>
          <w:rFonts w:ascii="Noto Sans CJK SC" w:hAnsi="Noto Sans CJK SC" w:eastAsia="Noto Sans CJK SC"/>
          <w:b w:val="0"/>
          <w:color w:val="18324B"/>
          <w:sz w:val="20"/>
        </w:rPr>
        <w:t>2.</w:t>
      </w:r>
      <w:r>
        <w:rPr>
          <w:rFonts w:ascii="Noto Sans CJK SC" w:hAnsi="Noto Sans CJK SC" w:eastAsia="Noto Sans CJK SC"/>
          <w:sz w:val="20"/>
        </w:rPr>
        <w:tab/>
        <w:t>总部第一阶段最适合的1个价值角色和1—2个专业角色分别是谁？其真实权威来源是什么？</w:t>
      </w:r>
    </w:p>
    <w:p>
      <w:pPr>
        <w:keepLines/>
        <w:tabs>
          <w:tab w:pos="408" w:val="left"/>
        </w:tabs>
        <w:spacing w:before="0" w:after="60" w:line="307" w:lineRule="auto"/>
        <w:ind w:left="408" w:hanging="408"/>
      </w:pPr>
      <w:r>
        <w:rPr>
          <w:rFonts w:ascii="Noto Sans CJK SC" w:hAnsi="Noto Sans CJK SC" w:eastAsia="Noto Sans CJK SC"/>
          <w:b w:val="0"/>
          <w:color w:val="18324B"/>
          <w:sz w:val="20"/>
        </w:rPr>
        <w:t>3.</w:t>
      </w:r>
      <w:r>
        <w:rPr>
          <w:rFonts w:ascii="Noto Sans CJK SC" w:hAnsi="Noto Sans CJK SC" w:eastAsia="Noto Sans CJK SC"/>
          <w:sz w:val="20"/>
        </w:rPr>
        <w:tab/>
        <w:t>本季哪些商品/系列最适合作为知识库和内容试点对象？</w:t>
      </w:r>
    </w:p>
    <w:p>
      <w:pPr>
        <w:keepLines/>
        <w:tabs>
          <w:tab w:pos="408" w:val="left"/>
        </w:tabs>
        <w:spacing w:before="0" w:after="60" w:line="307" w:lineRule="auto"/>
        <w:ind w:left="408" w:hanging="408"/>
      </w:pPr>
      <w:r>
        <w:rPr>
          <w:rFonts w:ascii="Noto Sans CJK SC" w:hAnsi="Noto Sans CJK SC" w:eastAsia="Noto Sans CJK SC"/>
          <w:b w:val="0"/>
          <w:color w:val="18324B"/>
          <w:sz w:val="20"/>
        </w:rPr>
        <w:t>4.</w:t>
      </w:r>
      <w:r>
        <w:rPr>
          <w:rFonts w:ascii="Noto Sans CJK SC" w:hAnsi="Noto Sans CJK SC" w:eastAsia="Noto Sans CJK SC"/>
          <w:sz w:val="20"/>
        </w:rPr>
        <w:tab/>
        <w:t>现有品牌、商品、培训、CRM、法务和素材资料分别在哪里，谁对准确性负责？</w:t>
      </w:r>
    </w:p>
    <w:p>
      <w:pPr>
        <w:keepLines/>
        <w:tabs>
          <w:tab w:pos="408" w:val="left"/>
        </w:tabs>
        <w:spacing w:before="0" w:after="60" w:line="307" w:lineRule="auto"/>
        <w:ind w:left="408" w:hanging="408"/>
      </w:pPr>
      <w:r>
        <w:rPr>
          <w:rFonts w:ascii="Noto Sans CJK SC" w:hAnsi="Noto Sans CJK SC" w:eastAsia="Noto Sans CJK SC"/>
          <w:b w:val="0"/>
          <w:color w:val="18324B"/>
          <w:sz w:val="20"/>
        </w:rPr>
        <w:t>5.</w:t>
      </w:r>
      <w:r>
        <w:rPr>
          <w:rFonts w:ascii="Noto Sans CJK SC" w:hAnsi="Noto Sans CJK SC" w:eastAsia="Noto Sans CJK SC"/>
          <w:sz w:val="20"/>
        </w:rPr>
        <w:tab/>
        <w:t>第一阶段采用哪些账号承载角色，哪些角色先以栏目方式存在而不独立开号？</w:t>
      </w:r>
    </w:p>
    <w:p>
      <w:pPr>
        <w:keepLines/>
        <w:tabs>
          <w:tab w:pos="408" w:val="left"/>
        </w:tabs>
        <w:spacing w:before="0" w:after="60" w:line="307" w:lineRule="auto"/>
        <w:ind w:left="408" w:hanging="408"/>
      </w:pPr>
      <w:r>
        <w:rPr>
          <w:rFonts w:ascii="Noto Sans CJK SC" w:hAnsi="Noto Sans CJK SC" w:eastAsia="Noto Sans CJK SC"/>
          <w:b w:val="0"/>
          <w:color w:val="18324B"/>
          <w:sz w:val="20"/>
        </w:rPr>
        <w:t>6.</w:t>
      </w:r>
      <w:r>
        <w:rPr>
          <w:rFonts w:ascii="Noto Sans CJK SC" w:hAnsi="Noto Sans CJK SC" w:eastAsia="Noto Sans CJK SC"/>
          <w:sz w:val="20"/>
        </w:rPr>
        <w:tab/>
        <w:t>账号与个人IP资产规则是否已有合同基础，哪些条款需要补充？</w:t>
      </w:r>
    </w:p>
    <w:p>
      <w:pPr>
        <w:keepLines/>
        <w:tabs>
          <w:tab w:pos="408" w:val="left"/>
        </w:tabs>
        <w:spacing w:before="0" w:after="60" w:line="307" w:lineRule="auto"/>
        <w:ind w:left="408" w:hanging="408"/>
      </w:pPr>
      <w:r>
        <w:rPr>
          <w:rFonts w:ascii="Noto Sans CJK SC" w:hAnsi="Noto Sans CJK SC" w:eastAsia="Noto Sans CJK SC"/>
          <w:b w:val="0"/>
          <w:color w:val="18324B"/>
          <w:sz w:val="20"/>
        </w:rPr>
        <w:t>7.</w:t>
      </w:r>
      <w:r>
        <w:rPr>
          <w:rFonts w:ascii="Noto Sans CJK SC" w:hAnsi="Noto Sans CJK SC" w:eastAsia="Noto Sans CJK SC"/>
          <w:sz w:val="20"/>
        </w:rPr>
        <w:tab/>
        <w:t>哪1—2个省区同时具备经营成熟度、协同意愿、人才样本和数据能力？</w:t>
      </w:r>
    </w:p>
    <w:p>
      <w:pPr>
        <w:keepLines/>
        <w:tabs>
          <w:tab w:pos="408" w:val="left"/>
        </w:tabs>
        <w:spacing w:before="0" w:after="60" w:line="307" w:lineRule="auto"/>
        <w:ind w:left="408" w:hanging="408"/>
      </w:pPr>
      <w:r>
        <w:rPr>
          <w:rFonts w:ascii="Noto Sans CJK SC" w:hAnsi="Noto Sans CJK SC" w:eastAsia="Noto Sans CJK SC"/>
          <w:b w:val="0"/>
          <w:color w:val="18324B"/>
          <w:sz w:val="20"/>
        </w:rPr>
        <w:t>8.</w:t>
      </w:r>
      <w:r>
        <w:rPr>
          <w:rFonts w:ascii="Noto Sans CJK SC" w:hAnsi="Noto Sans CJK SC" w:eastAsia="Noto Sans CJK SC"/>
          <w:sz w:val="20"/>
        </w:rPr>
        <w:tab/>
        <w:t>管理层以哪些阶段闸门批准进入第二阶段，而不是以单条爆款作为信号？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8957"/>
      </w:tblGrid>
      <w:tr>
        <w:trPr>
          <w:cantSplit/>
        </w:trPr>
        <w:tc>
          <w:tcPr>
            <w:tcW w:type="dxa" w:w="4901"/>
            <w:shd w:fill="18324B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01"/>
            <w:shd w:fill="EAF1F5"/>
            <w:tcMar>
              <w:top w:w="140" w:type="dxa"/>
              <w:start w:w="220" w:type="dxa"/>
              <w:bottom w:w="140" w:type="dxa"/>
              <w:end w:w="220" w:type="dxa"/>
            </w:tcMar>
            <w:tcBorders>
              <w:top w:val="single" w:sz="4" w:color="D9E0E4"/>
              <w:left w:val="nil"/>
              <w:bottom w:val="single" w:sz="4" w:color="D9E0E4"/>
              <w:right w:val="single" w:sz="4" w:color="D9E0E4"/>
            </w:tcBorders>
          </w:tcPr>
          <w:p>
            <w:pPr>
              <w:keepLines/>
              <w:spacing w:before="0" w:after="60" w:line="288" w:lineRule="auto"/>
            </w:pPr>
            <w:r>
              <w:rPr>
                <w:rFonts w:ascii="Noto Sans CJK SC" w:hAnsi="Noto Sans CJK SC" w:eastAsia="Noto Sans CJK SC"/>
                <w:b/>
                <w:color w:val="18324B"/>
                <w:sz w:val="21"/>
              </w:rPr>
              <w:t>一句话落点</w:t>
            </w:r>
          </w:p>
          <w:p>
            <w:pPr>
              <w:keepLines/>
              <w:spacing w:before="0" w:after="0" w:line="324" w:lineRule="auto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20"/>
              </w:rPr>
              <w:t>第一阶段不是为总部多做一批内容，而是为企业建立一套能够被未来省代和门店继承的“品牌认知与内容生产基础设施”。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280" w:after="160"/>
      </w:pPr>
      <w:r>
        <w:rPr>
          <w:rFonts w:ascii="Noto Serif CJK SC" w:hAnsi="Noto Serif CJK SC" w:eastAsia="Noto Serif CJK SC"/>
          <w:b/>
          <w:color w:val="18324B"/>
          <w:sz w:val="31"/>
        </w:rPr>
        <w:t>附录A：最小可行知识库清单</w:t>
      </w:r>
    </w:p>
    <w:p>
      <w:pPr>
        <w:keepLines/>
        <w:spacing w:before="0" w:after="100" w:line="324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以下清单可作为第一阶段验收基础。数量仅为建议起点，应按品牌SKU复杂度、现有资料和内容频率调整。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  <w:cantSplit/>
        </w:trPr>
        <w:tc>
          <w:tcPr>
            <w:tcW w:type="dxa" w:w="2268"/>
            <w:shd w:fill="18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知识资产</w:t>
            </w:r>
          </w:p>
        </w:tc>
        <w:tc>
          <w:tcPr>
            <w:tcW w:type="dxa" w:w="2154"/>
            <w:shd w:fill="18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建议起步规模</w:t>
            </w:r>
          </w:p>
        </w:tc>
        <w:tc>
          <w:tcPr>
            <w:tcW w:type="dxa" w:w="4649"/>
            <w:shd w:fill="18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验收重点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7"/>
              </w:rPr>
              <w:t>品牌IP章程</w:t>
            </w:r>
          </w:p>
        </w:tc>
        <w:tc>
          <w:tcPr>
            <w:tcW w:type="dxa" w:w="215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7"/>
              </w:rPr>
              <w:t>1套</w:t>
            </w:r>
          </w:p>
        </w:tc>
        <w:tc>
          <w:tcPr>
            <w:tcW w:type="dxa" w:w="4649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7"/>
              </w:rPr>
              <w:t>品牌母IP、目标人群、价值立场、审美边界、角色原则、内容红线。</w:t>
            </w:r>
          </w:p>
        </w:tc>
      </w:tr>
      <w:tr>
        <w:trPr>
          <w:cantSplit/>
        </w:trPr>
        <w:tc>
          <w:tcPr>
            <w:tcW w:type="dxa" w:w="2268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7"/>
              </w:rPr>
              <w:t>品牌事实卡</w:t>
            </w:r>
          </w:p>
        </w:tc>
        <w:tc>
          <w:tcPr>
            <w:tcW w:type="dxa" w:w="2154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7"/>
              </w:rPr>
              <w:t>50—100条</w:t>
            </w:r>
          </w:p>
        </w:tc>
        <w:tc>
          <w:tcPr>
            <w:tcW w:type="dxa" w:w="4649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7"/>
              </w:rPr>
              <w:t>历史、组织、资质、里程碑、公开数据、可对外事实。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7"/>
              </w:rPr>
              <w:t>重点商品知识卡</w:t>
            </w:r>
          </w:p>
        </w:tc>
        <w:tc>
          <w:tcPr>
            <w:tcW w:type="dxa" w:w="215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7"/>
              </w:rPr>
              <w:t>20—50个核心SKU/系列</w:t>
            </w:r>
          </w:p>
        </w:tc>
        <w:tc>
          <w:tcPr>
            <w:tcW w:type="dxa" w:w="4649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7"/>
              </w:rPr>
              <w:t>事实、证据、适用边界、搭配、风险、生命周期。</w:t>
            </w:r>
          </w:p>
        </w:tc>
      </w:tr>
      <w:tr>
        <w:trPr>
          <w:cantSplit/>
        </w:trPr>
        <w:tc>
          <w:tcPr>
            <w:tcW w:type="dxa" w:w="2268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7"/>
              </w:rPr>
              <w:t>用户问题卡</w:t>
            </w:r>
          </w:p>
        </w:tc>
        <w:tc>
          <w:tcPr>
            <w:tcW w:type="dxa" w:w="2154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7"/>
              </w:rPr>
              <w:t>50—100条</w:t>
            </w:r>
          </w:p>
        </w:tc>
        <w:tc>
          <w:tcPr>
            <w:tcW w:type="dxa" w:w="4649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7"/>
              </w:rPr>
              <w:t>用户原话、场景、顾虑、对应知识、建议角色。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7"/>
              </w:rPr>
              <w:t>用户/场景对象</w:t>
            </w:r>
          </w:p>
        </w:tc>
        <w:tc>
          <w:tcPr>
            <w:tcW w:type="dxa" w:w="215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7"/>
              </w:rPr>
              <w:t>20—40个</w:t>
            </w:r>
          </w:p>
        </w:tc>
        <w:tc>
          <w:tcPr>
            <w:tcW w:type="dxa" w:w="4649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7"/>
              </w:rPr>
              <w:t>身体、年龄、职业、城市、生活节点和穿着任务。</w:t>
            </w:r>
          </w:p>
        </w:tc>
      </w:tr>
      <w:tr>
        <w:trPr>
          <w:cantSplit/>
        </w:trPr>
        <w:tc>
          <w:tcPr>
            <w:tcW w:type="dxa" w:w="2268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7"/>
              </w:rPr>
              <w:t>专业方法卡</w:t>
            </w:r>
          </w:p>
        </w:tc>
        <w:tc>
          <w:tcPr>
            <w:tcW w:type="dxa" w:w="2154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7"/>
              </w:rPr>
              <w:t>30—60条</w:t>
            </w:r>
          </w:p>
        </w:tc>
        <w:tc>
          <w:tcPr>
            <w:tcW w:type="dxa" w:w="4649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7"/>
              </w:rPr>
              <w:t>版型、面料、搭配、陈列、试穿和服务方法。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7"/>
              </w:rPr>
              <w:t>总部角色卡</w:t>
            </w:r>
          </w:p>
        </w:tc>
        <w:tc>
          <w:tcPr>
            <w:tcW w:type="dxa" w:w="215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7"/>
              </w:rPr>
              <w:t>3—5张</w:t>
            </w:r>
          </w:p>
        </w:tc>
        <w:tc>
          <w:tcPr>
            <w:tcW w:type="dxa" w:w="4649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7"/>
              </w:rPr>
              <w:t>权威、母题、语气、禁区、账号、授权。</w:t>
            </w:r>
          </w:p>
        </w:tc>
      </w:tr>
      <w:tr>
        <w:trPr>
          <w:cantSplit/>
        </w:trPr>
        <w:tc>
          <w:tcPr>
            <w:tcW w:type="dxa" w:w="2268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7"/>
              </w:rPr>
              <w:t>长期内容母题</w:t>
            </w:r>
          </w:p>
        </w:tc>
        <w:tc>
          <w:tcPr>
            <w:tcW w:type="dxa" w:w="2154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7"/>
              </w:rPr>
              <w:t>30—50个</w:t>
            </w:r>
          </w:p>
        </w:tc>
        <w:tc>
          <w:tcPr>
            <w:tcW w:type="dxa" w:w="4649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7"/>
              </w:rPr>
              <w:t>可连续运营一年以上，并关联业务目标和知识对象。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7"/>
              </w:rPr>
              <w:t>栏目/内容配方</w:t>
            </w:r>
          </w:p>
        </w:tc>
        <w:tc>
          <w:tcPr>
            <w:tcW w:type="dxa" w:w="215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7"/>
              </w:rPr>
              <w:t>10—20套</w:t>
            </w:r>
          </w:p>
        </w:tc>
        <w:tc>
          <w:tcPr>
            <w:tcW w:type="dxa" w:w="4649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7"/>
              </w:rPr>
              <w:t>场景、结构、镜头、角色、渠道、CTA和审核。</w:t>
            </w:r>
          </w:p>
        </w:tc>
      </w:tr>
      <w:tr>
        <w:trPr>
          <w:cantSplit/>
        </w:trPr>
        <w:tc>
          <w:tcPr>
            <w:tcW w:type="dxa" w:w="2268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7"/>
              </w:rPr>
              <w:t>合规规则卡</w:t>
            </w:r>
          </w:p>
        </w:tc>
        <w:tc>
          <w:tcPr>
            <w:tcW w:type="dxa" w:w="2154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7"/>
              </w:rPr>
              <w:t>完整覆盖高风险项</w:t>
            </w:r>
          </w:p>
        </w:tc>
        <w:tc>
          <w:tcPr>
            <w:tcW w:type="dxa" w:w="4649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7"/>
              </w:rPr>
              <w:t>广告、功能、价格、肖像、隐私、竞品、危机。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7"/>
              </w:rPr>
              <w:t>标准任务书</w:t>
            </w:r>
          </w:p>
        </w:tc>
        <w:tc>
          <w:tcPr>
            <w:tcW w:type="dxa" w:w="215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7"/>
              </w:rPr>
              <w:t>1套主模板+渠道变体</w:t>
            </w:r>
          </w:p>
        </w:tc>
        <w:tc>
          <w:tcPr>
            <w:tcW w:type="dxa" w:w="4649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7"/>
              </w:rPr>
              <w:t>从知识到内容的统一生产接口。</w:t>
            </w:r>
          </w:p>
        </w:tc>
      </w:tr>
      <w:tr>
        <w:trPr>
          <w:cantSplit/>
        </w:trPr>
        <w:tc>
          <w:tcPr>
            <w:tcW w:type="dxa" w:w="2268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7"/>
              </w:rPr>
              <w:t>优秀/失败案例</w:t>
            </w:r>
          </w:p>
        </w:tc>
        <w:tc>
          <w:tcPr>
            <w:tcW w:type="dxa" w:w="2154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7"/>
              </w:rPr>
              <w:t>持续积累</w:t>
            </w:r>
          </w:p>
        </w:tc>
        <w:tc>
          <w:tcPr>
            <w:tcW w:type="dxa" w:w="4649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7"/>
              </w:rPr>
              <w:t>关联知识、角色、平台、表现和复盘结论。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80" w:after="160"/>
      </w:pPr>
      <w:r>
        <w:rPr>
          <w:rFonts w:ascii="Noto Serif CJK SC" w:hAnsi="Noto Serif CJK SC" w:eastAsia="Noto Serif CJK SC"/>
          <w:b/>
          <w:color w:val="18324B"/>
          <w:sz w:val="31"/>
        </w:rPr>
        <w:t>附录B：标准知识卡与内容任务书模板</w:t>
      </w:r>
    </w:p>
    <w:p>
      <w:pPr>
        <w:pStyle w:val="Heading2"/>
        <w:keepNext/>
        <w:spacing w:before="200" w:after="100"/>
      </w:pPr>
      <w:r>
        <w:rPr>
          <w:rFonts w:ascii="Noto Serif CJK SC" w:hAnsi="Noto Serif CJK SC" w:eastAsia="Noto Serif CJK SC"/>
          <w:b/>
          <w:color w:val="18324B"/>
          <w:sz w:val="25"/>
        </w:rPr>
        <w:t>B.1 标准知识卡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tblHeader w:val="true"/>
          <w:cantSplit/>
        </w:trPr>
        <w:tc>
          <w:tcPr>
            <w:tcW w:type="dxa" w:w="2381"/>
            <w:shd w:fill="18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6690"/>
            <w:shd w:fill="18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填写要求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对象ID / 类型</w:t>
            </w:r>
          </w:p>
        </w:tc>
        <w:tc>
          <w:tcPr>
            <w:tcW w:type="dxa" w:w="669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唯一ID；品牌事实、商品、用户、方法、角色、母题、规则、案例等。</w:t>
            </w:r>
          </w:p>
        </w:tc>
      </w:tr>
      <w:tr>
        <w:trPr>
          <w:cantSplit/>
        </w:trPr>
        <w:tc>
          <w:tcPr>
            <w:tcW w:type="dxa" w:w="2381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标题 / 摘要</w:t>
            </w:r>
          </w:p>
        </w:tc>
        <w:tc>
          <w:tcPr>
            <w:tcW w:type="dxa" w:w="6690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用业务语言说明该对象解决什么问题。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性质</w:t>
            </w:r>
          </w:p>
        </w:tc>
        <w:tc>
          <w:tcPr>
            <w:tcW w:type="dxa" w:w="669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F事实 / J判断 / E表达。</w:t>
            </w:r>
          </w:p>
        </w:tc>
      </w:tr>
      <w:tr>
        <w:trPr>
          <w:cantSplit/>
        </w:trPr>
        <w:tc>
          <w:tcPr>
            <w:tcW w:type="dxa" w:w="2381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核心内容</w:t>
            </w:r>
          </w:p>
        </w:tc>
        <w:tc>
          <w:tcPr>
            <w:tcW w:type="dxa" w:w="6690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结构化正文，避免仅附文件。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来源与证据</w:t>
            </w:r>
          </w:p>
        </w:tc>
        <w:tc>
          <w:tcPr>
            <w:tcW w:type="dxa" w:w="669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责任部门、源文件、样品、测试、合同、公开资料或专家。</w:t>
            </w:r>
          </w:p>
        </w:tc>
      </w:tr>
      <w:tr>
        <w:trPr>
          <w:cantSplit/>
        </w:trPr>
        <w:tc>
          <w:tcPr>
            <w:tcW w:type="dxa" w:w="2381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责任人</w:t>
            </w:r>
          </w:p>
        </w:tc>
        <w:tc>
          <w:tcPr>
            <w:tcW w:type="dxa" w:w="6690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最终准确性负责人和日常维护人。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适用范围</w:t>
            </w:r>
          </w:p>
        </w:tc>
        <w:tc>
          <w:tcPr>
            <w:tcW w:type="dxa" w:w="669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全国/区域/门店；公开/内部；适用人群与渠道。</w:t>
            </w:r>
          </w:p>
        </w:tc>
      </w:tr>
      <w:tr>
        <w:trPr>
          <w:cantSplit/>
        </w:trPr>
        <w:tc>
          <w:tcPr>
            <w:tcW w:type="dxa" w:w="2381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继承规则</w:t>
            </w:r>
          </w:p>
        </w:tc>
        <w:tc>
          <w:tcPr>
            <w:tcW w:type="dxa" w:w="6690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必须保留、允许改写、允许叠加、禁止表达。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风险与审批</w:t>
            </w:r>
          </w:p>
        </w:tc>
        <w:tc>
          <w:tcPr>
            <w:tcW w:type="dxa" w:w="669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等级、法务要求、隐私、肖像、价格、敏感词。</w:t>
            </w:r>
          </w:p>
        </w:tc>
      </w:tr>
      <w:tr>
        <w:trPr>
          <w:cantSplit/>
        </w:trPr>
        <w:tc>
          <w:tcPr>
            <w:tcW w:type="dxa" w:w="2381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生命周期</w:t>
            </w:r>
          </w:p>
        </w:tc>
        <w:tc>
          <w:tcPr>
            <w:tcW w:type="dxa" w:w="6690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版本、生效、失效、状态、下次复核。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关联对象</w:t>
            </w:r>
          </w:p>
        </w:tc>
        <w:tc>
          <w:tcPr>
            <w:tcW w:type="dxa" w:w="669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商品、角色、场景、母题、渠道、资产、内容和数据。</w:t>
            </w:r>
          </w:p>
        </w:tc>
      </w:tr>
      <w:tr>
        <w:trPr>
          <w:cantSplit/>
        </w:trPr>
        <w:tc>
          <w:tcPr>
            <w:tcW w:type="dxa" w:w="2381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反馈</w:t>
            </w:r>
          </w:p>
        </w:tc>
        <w:tc>
          <w:tcPr>
            <w:tcW w:type="dxa" w:w="6690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使用、表现、问题、争议和修改记录。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00" w:after="100"/>
      </w:pPr>
      <w:r>
        <w:rPr>
          <w:rFonts w:ascii="Noto Serif CJK SC" w:hAnsi="Noto Serif CJK SC" w:eastAsia="Noto Serif CJK SC"/>
          <w:b/>
          <w:color w:val="18324B"/>
          <w:sz w:val="25"/>
        </w:rPr>
        <w:t>B.2 内容任务书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tblHeader w:val="true"/>
          <w:cantSplit/>
        </w:trPr>
        <w:tc>
          <w:tcPr>
            <w:tcW w:type="dxa" w:w="2381"/>
            <w:shd w:fill="18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6690"/>
            <w:shd w:fill="18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填写要求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任务名称</w:t>
            </w:r>
          </w:p>
        </w:tc>
        <w:tc>
          <w:tcPr>
            <w:tcW w:type="dxa" w:w="669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本条内容要解决的具体问题。</w:t>
            </w:r>
          </w:p>
        </w:tc>
      </w:tr>
      <w:tr>
        <w:trPr>
          <w:cantSplit/>
        </w:trPr>
        <w:tc>
          <w:tcPr>
            <w:tcW w:type="dxa" w:w="2381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业务目标</w:t>
            </w:r>
          </w:p>
        </w:tc>
        <w:tc>
          <w:tcPr>
            <w:tcW w:type="dxa" w:w="6690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认知、理解、信任、咨询、到店、复购、招商或招聘。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目标受众/场景</w:t>
            </w:r>
          </w:p>
        </w:tc>
        <w:tc>
          <w:tcPr>
            <w:tcW w:type="dxa" w:w="669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谁在什么情境下观看，当前困惑是什么。</w:t>
            </w:r>
          </w:p>
        </w:tc>
      </w:tr>
      <w:tr>
        <w:trPr>
          <w:cantSplit/>
        </w:trPr>
        <w:tc>
          <w:tcPr>
            <w:tcW w:type="dxa" w:w="2381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核心观点</w:t>
            </w:r>
          </w:p>
        </w:tc>
        <w:tc>
          <w:tcPr>
            <w:tcW w:type="dxa" w:w="6690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观众看完应记住的一句话。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引用知识ID</w:t>
            </w:r>
          </w:p>
        </w:tc>
        <w:tc>
          <w:tcPr>
            <w:tcW w:type="dxa" w:w="669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事实、判断、案例、合规和资产。</w:t>
            </w:r>
          </w:p>
        </w:tc>
      </w:tr>
      <w:tr>
        <w:trPr>
          <w:cantSplit/>
        </w:trPr>
        <w:tc>
          <w:tcPr>
            <w:tcW w:type="dxa" w:w="2381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主讲角色ID</w:t>
            </w:r>
          </w:p>
        </w:tc>
        <w:tc>
          <w:tcPr>
            <w:tcW w:type="dxa" w:w="6690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角色的权威、语气和禁区。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表达结构</w:t>
            </w:r>
          </w:p>
        </w:tc>
        <w:tc>
          <w:tcPr>
            <w:tcW w:type="dxa" w:w="669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开场、冲突/问题、解释、证据、结论、CTA。</w:t>
            </w:r>
          </w:p>
        </w:tc>
      </w:tr>
      <w:tr>
        <w:trPr>
          <w:cantSplit/>
        </w:trPr>
        <w:tc>
          <w:tcPr>
            <w:tcW w:type="dxa" w:w="2381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渠道规格</w:t>
            </w:r>
          </w:p>
        </w:tc>
        <w:tc>
          <w:tcPr>
            <w:tcW w:type="dxa" w:w="6690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平台、时长、画幅、标题、封面、互动。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本地化权限</w:t>
            </w:r>
          </w:p>
        </w:tc>
        <w:tc>
          <w:tcPr>
            <w:tcW w:type="dxa" w:w="669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不可改、可改、可增、需审批。</w:t>
            </w:r>
          </w:p>
        </w:tc>
      </w:tr>
      <w:tr>
        <w:trPr>
          <w:cantSplit/>
        </w:trPr>
        <w:tc>
          <w:tcPr>
            <w:tcW w:type="dxa" w:w="2381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审核路径</w:t>
            </w:r>
          </w:p>
        </w:tc>
        <w:tc>
          <w:tcPr>
            <w:tcW w:type="dxa" w:w="6690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绿色/黄色/橙色/红色。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回流字段</w:t>
            </w:r>
          </w:p>
        </w:tc>
        <w:tc>
          <w:tcPr>
            <w:tcW w:type="dxa" w:w="669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评论问题、线索、到店、转化、争议和复盘。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80" w:after="160"/>
      </w:pPr>
      <w:r>
        <w:rPr>
          <w:rFonts w:ascii="Noto Serif CJK SC" w:hAnsi="Noto Serif CJK SC" w:eastAsia="Noto Serif CJK SC"/>
          <w:b/>
          <w:color w:val="18324B"/>
          <w:sz w:val="31"/>
        </w:rPr>
        <w:t>附录C：省级试点市场选择评分表</w:t>
      </w:r>
    </w:p>
    <w:p>
      <w:pPr>
        <w:keepLines/>
        <w:spacing w:before="0" w:after="100" w:line="324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建议采用100分制，并设置否决项。以下权重可结合企业实际调整。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  <w:cantSplit/>
        </w:trPr>
        <w:tc>
          <w:tcPr>
            <w:tcW w:type="dxa" w:w="2268"/>
            <w:shd w:fill="18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1134"/>
            <w:shd w:fill="18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权重</w:t>
            </w:r>
          </w:p>
        </w:tc>
        <w:tc>
          <w:tcPr>
            <w:tcW w:type="dxa" w:w="5669"/>
            <w:shd w:fill="18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评分要点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经营基础</w:t>
            </w:r>
          </w:p>
        </w:tc>
        <w:tc>
          <w:tcPr>
            <w:tcW w:type="dxa" w:w="113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20</w:t>
            </w:r>
          </w:p>
        </w:tc>
        <w:tc>
          <w:tcPr>
            <w:tcW w:type="dxa" w:w="5669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销售稳定、门店质量、库存与服务基础、数据完整。</w:t>
            </w:r>
          </w:p>
        </w:tc>
      </w:tr>
      <w:tr>
        <w:trPr>
          <w:cantSplit/>
        </w:trPr>
        <w:tc>
          <w:tcPr>
            <w:tcW w:type="dxa" w:w="2268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省代意愿与负责人</w:t>
            </w:r>
          </w:p>
        </w:tc>
        <w:tc>
          <w:tcPr>
            <w:tcW w:type="dxa" w:w="1134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15</w:t>
            </w:r>
          </w:p>
        </w:tc>
        <w:tc>
          <w:tcPr>
            <w:tcW w:type="dxa" w:w="5669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负责人明确、愿意投入、理解长期品牌资产。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门店与人物样本</w:t>
            </w:r>
          </w:p>
        </w:tc>
        <w:tc>
          <w:tcPr>
            <w:tcW w:type="dxa" w:w="113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15</w:t>
            </w:r>
          </w:p>
        </w:tc>
        <w:tc>
          <w:tcPr>
            <w:tcW w:type="dxa" w:w="5669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有不同类型的优质店长、导购和组织样本。</w:t>
            </w:r>
          </w:p>
        </w:tc>
      </w:tr>
      <w:tr>
        <w:trPr>
          <w:cantSplit/>
        </w:trPr>
        <w:tc>
          <w:tcPr>
            <w:tcW w:type="dxa" w:w="2268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区域代表性</w:t>
            </w:r>
          </w:p>
        </w:tc>
        <w:tc>
          <w:tcPr>
            <w:tcW w:type="dxa" w:w="1134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10</w:t>
            </w:r>
          </w:p>
        </w:tc>
        <w:tc>
          <w:tcPr>
            <w:tcW w:type="dxa" w:w="5669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气候、城市、商圈或客群具有明确差异，能验证本地化。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内容与拍摄基础</w:t>
            </w:r>
          </w:p>
        </w:tc>
        <w:tc>
          <w:tcPr>
            <w:tcW w:type="dxa" w:w="113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10</w:t>
            </w:r>
          </w:p>
        </w:tc>
        <w:tc>
          <w:tcPr>
            <w:tcW w:type="dxa" w:w="5669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基础设备、人员、协作时间与内容敏感度。</w:t>
            </w:r>
          </w:p>
        </w:tc>
      </w:tr>
      <w:tr>
        <w:trPr>
          <w:cantSplit/>
        </w:trPr>
        <w:tc>
          <w:tcPr>
            <w:tcW w:type="dxa" w:w="2268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组织执行力</w:t>
            </w:r>
          </w:p>
        </w:tc>
        <w:tc>
          <w:tcPr>
            <w:tcW w:type="dxa" w:w="1134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10</w:t>
            </w:r>
          </w:p>
        </w:tc>
        <w:tc>
          <w:tcPr>
            <w:tcW w:type="dxa" w:w="5669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培训、审核、数据回传与门店协同可靠。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合规与资产意识</w:t>
            </w:r>
          </w:p>
        </w:tc>
        <w:tc>
          <w:tcPr>
            <w:tcW w:type="dxa" w:w="113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10</w:t>
            </w:r>
          </w:p>
        </w:tc>
        <w:tc>
          <w:tcPr>
            <w:tcW w:type="dxa" w:w="5669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账号、肖像、顾客授权和数据保护意识。</w:t>
            </w:r>
          </w:p>
        </w:tc>
      </w:tr>
      <w:tr>
        <w:trPr>
          <w:cantSplit/>
        </w:trPr>
        <w:tc>
          <w:tcPr>
            <w:tcW w:type="dxa" w:w="2268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数据连接能力</w:t>
            </w:r>
          </w:p>
        </w:tc>
        <w:tc>
          <w:tcPr>
            <w:tcW w:type="dxa" w:w="1134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10</w:t>
            </w:r>
          </w:p>
        </w:tc>
        <w:tc>
          <w:tcPr>
            <w:tcW w:type="dxa" w:w="5669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能追踪咨询、到店、私域、成交与复购。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00" w:after="100"/>
      </w:pPr>
      <w:r>
        <w:rPr>
          <w:rFonts w:ascii="Noto Serif CJK SC" w:hAnsi="Noto Serif CJK SC" w:eastAsia="Noto Serif CJK SC"/>
          <w:b/>
          <w:color w:val="18324B"/>
          <w:sz w:val="25"/>
        </w:rPr>
        <w:t>建议否决项</w:t>
      </w:r>
    </w:p>
    <w:p>
      <w:pPr>
        <w:pStyle w:val="ListBullet"/>
        <w:keepLines/>
        <w:spacing w:before="0" w:after="60" w:line="307" w:lineRule="auto"/>
        <w:ind w:left="312" w:hanging="159"/>
      </w:pPr>
      <w:r>
        <w:rPr>
          <w:rFonts w:ascii="Noto Sans CJK SC" w:hAnsi="Noto Sans CJK SC" w:eastAsia="Noto Sans CJK SC"/>
          <w:b w:val="0"/>
          <w:sz w:val="20"/>
        </w:rPr>
        <w:t>无明确省级项目负责人；</w:t>
      </w:r>
    </w:p>
    <w:p>
      <w:pPr>
        <w:pStyle w:val="ListBullet"/>
        <w:keepLines/>
        <w:spacing w:before="0" w:after="60" w:line="307" w:lineRule="auto"/>
        <w:ind w:left="312" w:hanging="159"/>
      </w:pPr>
      <w:r>
        <w:rPr>
          <w:rFonts w:ascii="Noto Sans CJK SC" w:hAnsi="Noto Sans CJK SC" w:eastAsia="Noto Sans CJK SC"/>
          <w:b w:val="0"/>
          <w:sz w:val="20"/>
        </w:rPr>
        <w:t>账号或客户数据权属存在重大争议；</w:t>
      </w:r>
    </w:p>
    <w:p>
      <w:pPr>
        <w:pStyle w:val="ListBullet"/>
        <w:keepLines/>
        <w:spacing w:before="0" w:after="60" w:line="307" w:lineRule="auto"/>
        <w:ind w:left="312" w:hanging="159"/>
      </w:pPr>
      <w:r>
        <w:rPr>
          <w:rFonts w:ascii="Noto Sans CJK SC" w:hAnsi="Noto Sans CJK SC" w:eastAsia="Noto Sans CJK SC"/>
          <w:b w:val="0"/>
          <w:sz w:val="20"/>
        </w:rPr>
        <w:t>门店服务与商品基础明显不稳定；</w:t>
      </w:r>
    </w:p>
    <w:p>
      <w:pPr>
        <w:pStyle w:val="ListBullet"/>
        <w:keepLines/>
        <w:spacing w:before="0" w:after="60" w:line="307" w:lineRule="auto"/>
        <w:ind w:left="312" w:hanging="159"/>
      </w:pPr>
      <w:r>
        <w:rPr>
          <w:rFonts w:ascii="Noto Sans CJK SC" w:hAnsi="Noto Sans CJK SC" w:eastAsia="Noto Sans CJK SC"/>
          <w:b w:val="0"/>
          <w:sz w:val="20"/>
        </w:rPr>
        <w:t>依赖虚假案例、夸张承诺或高风险促销；</w:t>
      </w:r>
    </w:p>
    <w:p>
      <w:pPr>
        <w:pStyle w:val="ListBullet"/>
        <w:keepLines/>
        <w:spacing w:before="0" w:after="60" w:line="307" w:lineRule="auto"/>
        <w:ind w:left="312" w:hanging="159"/>
      </w:pPr>
      <w:r>
        <w:rPr>
          <w:rFonts w:ascii="Noto Sans CJK SC" w:hAnsi="Noto Sans CJK SC" w:eastAsia="Noto Sans CJK SC"/>
          <w:b w:val="0"/>
          <w:sz w:val="20"/>
        </w:rPr>
        <w:t>无法提供基本内容数据和经营反馈；</w:t>
      </w:r>
    </w:p>
    <w:p>
      <w:pPr>
        <w:pStyle w:val="ListBullet"/>
        <w:keepLines/>
        <w:spacing w:before="0" w:after="60" w:line="307" w:lineRule="auto"/>
        <w:ind w:left="312" w:hanging="159"/>
      </w:pPr>
      <w:r>
        <w:rPr>
          <w:rFonts w:ascii="Noto Sans CJK SC" w:hAnsi="Noto Sans CJK SC" w:eastAsia="Noto Sans CJK SC"/>
          <w:b w:val="0"/>
          <w:sz w:val="20"/>
        </w:rPr>
        <w:t>仅把试点理解为“总部给流量、门店卖货”。</w:t>
      </w:r>
    </w:p>
    <w:p>
      <w:pPr>
        <w:pStyle w:val="Heading1"/>
        <w:keepNext/>
        <w:spacing w:before="280" w:after="160"/>
      </w:pPr>
      <w:r>
        <w:rPr>
          <w:rFonts w:ascii="Noto Serif CJK SC" w:hAnsi="Noto Serif CJK SC" w:eastAsia="Noto Serif CJK SC"/>
          <w:b/>
          <w:color w:val="18324B"/>
          <w:sz w:val="31"/>
        </w:rPr>
        <w:t>附录D：核心术语表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tblHeader w:val="true"/>
          <w:cantSplit/>
        </w:trPr>
        <w:tc>
          <w:tcPr>
            <w:tcW w:type="dxa" w:w="2268"/>
            <w:shd w:fill="18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6803"/>
            <w:shd w:fill="18324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品牌母IP</w:t>
            </w:r>
          </w:p>
        </w:tc>
        <w:tc>
          <w:tcPr>
            <w:tcW w:type="dxa" w:w="680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组织共同遵循的品牌人格、价值立场、审美与服务原则，不等同于某个人。</w:t>
            </w:r>
          </w:p>
        </w:tc>
      </w:tr>
      <w:tr>
        <w:trPr>
          <w:cantSplit/>
        </w:trPr>
        <w:tc>
          <w:tcPr>
            <w:tcW w:type="dxa" w:w="2268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组织型IP</w:t>
            </w:r>
          </w:p>
        </w:tc>
        <w:tc>
          <w:tcPr>
            <w:tcW w:type="dxa" w:w="6803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由多角色、多场景和经营事实共同形成、可被公众稳定识别的组织人格。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角色权威</w:t>
            </w:r>
          </w:p>
        </w:tc>
        <w:tc>
          <w:tcPr>
            <w:tcW w:type="dxa" w:w="680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某人物基于真实职业、经历、成果或关系，在特定问题上的可信资格。</w:t>
            </w:r>
          </w:p>
        </w:tc>
      </w:tr>
      <w:tr>
        <w:trPr>
          <w:cantSplit/>
        </w:trPr>
        <w:tc>
          <w:tcPr>
            <w:tcW w:type="dxa" w:w="2268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内容母题</w:t>
            </w:r>
          </w:p>
        </w:tc>
        <w:tc>
          <w:tcPr>
            <w:tcW w:type="dxa" w:w="6803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可以长期反复展开、持续积累品牌认知的核心问题或叙事主题。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单一事实源</w:t>
            </w:r>
          </w:p>
        </w:tc>
        <w:tc>
          <w:tcPr>
            <w:tcW w:type="dxa" w:w="680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同一关键事实只存在一个权威版本，其他内容通过引用而非复制维护。</w:t>
            </w:r>
          </w:p>
        </w:tc>
      </w:tr>
      <w:tr>
        <w:trPr>
          <w:cantSplit/>
        </w:trPr>
        <w:tc>
          <w:tcPr>
            <w:tcW w:type="dxa" w:w="2268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区域叠加</w:t>
            </w:r>
          </w:p>
        </w:tc>
        <w:tc>
          <w:tcPr>
            <w:tcW w:type="dxa" w:w="6803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在总部核心之上增加本地条件，不覆盖全国品牌和商品真相。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门店事实</w:t>
            </w:r>
          </w:p>
        </w:tc>
        <w:tc>
          <w:tcPr>
            <w:tcW w:type="dxa" w:w="680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发生在具体门店、可验证、经授权、可用于内容和学习的真实经营信息。</w:t>
            </w:r>
          </w:p>
        </w:tc>
      </w:tr>
      <w:tr>
        <w:trPr>
          <w:cantSplit/>
        </w:trPr>
        <w:tc>
          <w:tcPr>
            <w:tcW w:type="dxa" w:w="2268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知识对象</w:t>
            </w:r>
          </w:p>
        </w:tc>
        <w:tc>
          <w:tcPr>
            <w:tcW w:type="dxa" w:w="6803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带有ID、责任、来源、范围、版本和关系的可管理知识单元。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内容任务书</w:t>
            </w:r>
          </w:p>
        </w:tc>
        <w:tc>
          <w:tcPr>
            <w:tcW w:type="dxa" w:w="680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连接业务目标、知识、角色、渠道、风险和反馈的标准生产接口。</w:t>
            </w:r>
          </w:p>
        </w:tc>
      </w:tr>
      <w:tr>
        <w:trPr>
          <w:cantSplit/>
        </w:trPr>
        <w:tc>
          <w:tcPr>
            <w:tcW w:type="dxa" w:w="2268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324B"/>
                <w:sz w:val="18"/>
              </w:rPr>
              <w:t>阶段闸门</w:t>
            </w:r>
          </w:p>
        </w:tc>
        <w:tc>
          <w:tcPr>
            <w:tcW w:type="dxa" w:w="6803"/>
            <w:shd w:fill="F3F5F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3" w:color="D9E0E4"/>
              <w:left w:val="single" w:sz="3" w:color="D9E0E4"/>
              <w:bottom w:val="single" w:sz="3" w:color="D9E0E4"/>
              <w:right w:val="single" w:sz="3" w:color="D9E0E4"/>
            </w:tcBorders>
          </w:tcPr>
          <w:p>
            <w:pPr>
              <w:keepLines/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414A50"/>
                <w:sz w:val="18"/>
              </w:rPr>
              <w:t>进入下一阶段前必须满足的战略、知识、角色、流程、数据与治理条件。</w:t>
            </w:r>
          </w:p>
        </w:tc>
      </w:tr>
    </w:tbl>
    <w:p>
      <w:pPr>
        <w:spacing w:after="0"/>
      </w:pPr>
    </w:p>
    <w:p>
      <w:pPr>
        <w:pBdr>
          <w:bottom w:val="single" w:sz="6" w:space="1" w:color="18324B"/>
        </w:pBdr>
        <w:spacing w:before="20" w:after="120"/>
      </w:pPr>
    </w:p>
    <w:p>
      <w:pPr>
        <w:spacing w:before="200" w:after="0"/>
        <w:jc w:val="center"/>
      </w:pPr>
      <w:r>
        <w:rPr>
          <w:rFonts w:ascii="Noto Sans CJK SC" w:hAnsi="Noto Sans CJK SC" w:eastAsia="Noto Sans CJK SC"/>
          <w:b/>
          <w:color w:val="18324B"/>
          <w:sz w:val="19"/>
        </w:rPr>
        <w:t>— 文件结束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19" w:bottom="1020" w:left="1219" w:header="482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7087"/>
      <w:gridCol w:w="2268"/>
    </w:tblGrid>
    <w:tr>
      <w:tc>
        <w:tcPr>
          <w:tcW w:type="dxa" w:w="4677"/>
          <w:tcBorders>
            <w:top w:val="single" w:sz="4" w:color="D9E0E4"/>
            <w:left w:val="nil"/>
            <w:bottom w:val="nil"/>
            <w:right w:val="nil"/>
          </w:tcBorders>
          <w:tcMar>
            <w:top w:w="80" w:type="dxa"/>
            <w:start w:w="0" w:type="dxa"/>
            <w:bottom w:w="0" w:type="dxa"/>
            <w:end w:w="0" w:type="dxa"/>
          </w:tcMar>
        </w:tcPr>
        <w:p>
          <w:r>
            <w:rPr>
              <w:rFonts w:ascii="Noto Sans CJK SC" w:hAnsi="Noto Sans CJK SC" w:eastAsia="Noto Sans CJK SC"/>
              <w:b w:val="0"/>
              <w:color w:val="414A50"/>
              <w:sz w:val="16"/>
            </w:rPr>
            <w:t>内部讨论基线｜适用于“品牌总部—省级代理—加盟终端”三级渠道</w:t>
          </w:r>
        </w:p>
      </w:tc>
      <w:tc>
        <w:tcPr>
          <w:tcW w:type="dxa" w:w="4677"/>
          <w:tcBorders>
            <w:top w:val="single" w:sz="4" w:color="D9E0E4"/>
            <w:left w:val="nil"/>
            <w:bottom w:val="nil"/>
            <w:right w:val="nil"/>
          </w:tcBorders>
          <w:tcMar>
            <w:top w:w="8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Noto Sans CJK SC" w:hAnsi="Noto Sans CJK SC" w:eastAsia="Noto Sans CJK SC"/>
              <w:b w:val="0"/>
              <w:color w:val="414A50"/>
              <w:sz w:val="17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D9E0E4"/>
      </w:pBdr>
    </w:pPr>
    <w:r>
      <w:rPr>
        <w:rFonts w:ascii="Noto Sans CJK SC" w:hAnsi="Noto Sans CJK SC" w:eastAsia="Noto Sans CJK SC"/>
        <w:b w:val="0"/>
        <w:color w:val="414A50"/>
        <w:sz w:val="16"/>
      </w:rPr>
      <w:t>服装品牌组织型IP内容战略与知识库建设基线｜V1.0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0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18324B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18324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4B6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Noto Serif CJK SC" w:hAnsi="Noto Serif CJK SC" w:eastAsia="Noto Serif CJK SC"/>
      <w:b/>
      <w:color w:val="18324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20"/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414A5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line="288" w:lineRule="auto" w:after="40"/>
    </w:pPr>
    <w:rPr>
      <w:rFonts w:ascii="Noto Sans CJK SC" w:hAnsi="Noto Sans CJK SC" w:eastAsia="Noto Sans CJK SC"/>
      <w:color w:val="414A5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服装品牌组织型IP内容战略与知识库建设基线</dc:title>
  <dc:subject>品牌总部—省级代理—加盟终端三级渠道的分阶段IP战略与知识库架构</dc:subject>
  <dc:creator>组织IP项目组</dc:creator>
  <cp:keywords>服装品牌, 组织型IP, 内容战略, 知识库, 省级代理, 加盟终端</cp:keywords>
  <dc:description>内部讨论基线 V1.0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