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PFF Datasets — Workshop Handout</w:t>
      </w:r>
    </w:p>
    <w:p>
      <w:r>
        <w:rPr>
          <w:b w:val="0"/>
          <w:i w:val="0"/>
          <w:sz w:val="20"/>
        </w:rPr>
        <w:t xml:space="preserve">Two pages: </w:t>
      </w:r>
      <w:r>
        <w:rPr>
          <w:b/>
          <w:i w:val="0"/>
          <w:sz w:val="20"/>
        </w:rPr>
        <w:t>page 1</w:t>
      </w:r>
      <w:r>
        <w:rPr>
          <w:b w:val="0"/>
          <w:i w:val="0"/>
          <w:sz w:val="20"/>
        </w:rPr>
        <w:t xml:space="preserve"> lists datasets included in the analysis; </w:t>
      </w:r>
      <w:r>
        <w:rPr>
          <w:b/>
          <w:i w:val="0"/>
          <w:sz w:val="20"/>
        </w:rPr>
        <w:t>page 2</w:t>
      </w:r>
      <w:r>
        <w:rPr>
          <w:b w:val="0"/>
          <w:i w:val="0"/>
          <w:sz w:val="20"/>
        </w:rPr>
        <w:t xml:space="preserve"> lists those available in the tool but not currently driving outputs. Thresholds (canopy, height, slope, buffer distance, protection age, IUCN category) are adjustable in the app, so are not stated below.</w:t>
      </w:r>
    </w:p>
    <w:p>
      <w:pPr>
        <w:pStyle w:val="Heading1"/>
      </w:pPr>
      <w:r>
        <w:rPr>
          <w:rFonts w:ascii="Calibri" w:hAnsi="Calibri"/>
        </w:rPr>
        <w:t>Page 1 — Datasets included in the analysis</w:t>
      </w:r>
    </w:p>
    <w:tbl>
      <w:tblPr>
        <w:tblStyle w:val="LightGrid-Accent1"/>
        <w:tblW w:type="auto" w:w="0"/>
        <w:tblLayout w:type="autofit"/>
        <w:tblLook w:firstColumn="1" w:firstRow="1" w:lastColumn="0" w:lastRow="0" w:noHBand="0" w:noVBand="1" w:val="04A0"/>
      </w:tblPr>
      <w:tblGrid>
        <w:gridCol w:w="3504"/>
        <w:gridCol w:w="3504"/>
        <w:gridCol w:w="3504"/>
      </w:tblGrid>
      <w:tr>
        <w:tc>
          <w:tcPr>
            <w:tcW w:type="dxa" w:w="3504"/>
            <w:shd w:val="clear" w:color="auto" w:fill="DCE6F1"/>
          </w:tcPr>
          <w:p>
            <w:r/>
            <w:r>
              <w:rPr>
                <w:b/>
                <w:color w:val="000000"/>
                <w:sz w:val="20"/>
              </w:rPr>
              <w:t>Dataset</w:t>
            </w:r>
          </w:p>
        </w:tc>
        <w:tc>
          <w:tcPr>
            <w:tcW w:type="dxa" w:w="3504"/>
            <w:shd w:val="clear" w:color="auto" w:fill="DCE6F1"/>
          </w:tcPr>
          <w:p>
            <w:r/>
            <w:r>
              <w:rPr>
                <w:b/>
                <w:color w:val="000000"/>
                <w:sz w:val="20"/>
              </w:rPr>
              <w:t>What it is</w:t>
            </w:r>
          </w:p>
        </w:tc>
        <w:tc>
          <w:tcPr>
            <w:tcW w:type="dxa" w:w="3504"/>
            <w:shd w:val="clear" w:color="auto" w:fill="DCE6F1"/>
          </w:tcPr>
          <w:p>
            <w:r/>
            <w:r>
              <w:rPr>
                <w:b/>
                <w:color w:val="000000"/>
                <w:sz w:val="20"/>
              </w:rPr>
              <w:t>How it is used in PFF</w:t>
            </w:r>
          </w:p>
        </w:tc>
      </w:tr>
      <w:tr>
        <w:tc>
          <w:tcPr>
            <w:tcW w:type="dxa" w:w="3504"/>
          </w:tcPr>
          <w:p>
            <w:r/>
            <w:r>
              <w:rPr>
                <w:b/>
                <w:i w:val="0"/>
                <w:sz w:val="18"/>
              </w:rPr>
              <w:t>GLAD GLCLU v2</w:t>
            </w:r>
            <w:r>
              <w:rPr>
                <w:b w:val="0"/>
                <w:i w:val="0"/>
                <w:sz w:val="18"/>
              </w:rPr>
              <w:t xml:space="preserve"> (Potapov et al., 2022)</w:t>
            </w:r>
          </w:p>
        </w:tc>
        <w:tc>
          <w:tcPr>
            <w:tcW w:type="dxa" w:w="3504"/>
          </w:tcPr>
          <w:p>
            <w:r/>
            <w:r>
              <w:rPr>
                <w:b w:val="0"/>
                <w:i w:val="0"/>
                <w:sz w:val="18"/>
              </w:rPr>
              <w:t>Global 30 m land cover and land use with per-pixel tree-height estimates at 6 time steps from 1990 to 2020</w:t>
            </w:r>
          </w:p>
        </w:tc>
        <w:tc>
          <w:tcPr>
            <w:tcW w:type="dxa" w:w="3504"/>
          </w:tcPr>
          <w:p>
            <w:r/>
            <w:r>
              <w:rPr>
                <w:b w:val="0"/>
                <w:i w:val="0"/>
                <w:sz w:val="18"/>
              </w:rPr>
              <w:t>Default forest baseline — pixels meeting the tree-height threshold define the starting forest mask</w:t>
            </w:r>
          </w:p>
        </w:tc>
      </w:tr>
      <w:tr>
        <w:tc>
          <w:tcPr>
            <w:tcW w:type="dxa" w:w="3504"/>
          </w:tcPr>
          <w:p>
            <w:r/>
            <w:r>
              <w:rPr>
                <w:b/>
                <w:i w:val="0"/>
                <w:sz w:val="18"/>
              </w:rPr>
              <w:t>Hansen Global Forest Change v1.12</w:t>
            </w:r>
            <w:r>
              <w:rPr>
                <w:b w:val="0"/>
                <w:i w:val="0"/>
                <w:sz w:val="18"/>
              </w:rPr>
              <w:t xml:space="preserve"> (Hansen et al., 2013; UMD)</w:t>
            </w:r>
          </w:p>
        </w:tc>
        <w:tc>
          <w:tcPr>
            <w:tcW w:type="dxa" w:w="3504"/>
          </w:tcPr>
          <w:p>
            <w:r/>
            <w:r>
              <w:rPr>
                <w:b w:val="0"/>
                <w:i w:val="0"/>
                <w:sz w:val="18"/>
              </w:rPr>
              <w:t>Global 30 m tree-cover-2000 layer plus annual forest loss year, updated annually</w:t>
            </w:r>
          </w:p>
        </w:tc>
        <w:tc>
          <w:tcPr>
            <w:tcW w:type="dxa" w:w="3504"/>
          </w:tcPr>
          <w:p>
            <w:r/>
            <w:r>
              <w:rPr>
                <w:b w:val="0"/>
                <w:i w:val="0"/>
                <w:sz w:val="18"/>
              </w:rPr>
              <w:t>Alternative forest baseline — tree-cover threshold defines forest; loss year is used to back-date the mask</w:t>
            </w:r>
          </w:p>
        </w:tc>
      </w:tr>
      <w:tr>
        <w:tc>
          <w:tcPr>
            <w:tcW w:type="dxa" w:w="3504"/>
          </w:tcPr>
          <w:p>
            <w:r/>
            <w:r>
              <w:rPr>
                <w:b/>
                <w:i w:val="0"/>
                <w:sz w:val="18"/>
              </w:rPr>
              <w:t>FAO GAUL 2024 (Level 0)</w:t>
            </w:r>
          </w:p>
        </w:tc>
        <w:tc>
          <w:tcPr>
            <w:tcW w:type="dxa" w:w="3504"/>
          </w:tcPr>
          <w:p>
            <w:r/>
            <w:r>
              <w:rPr>
                <w:b w:val="0"/>
                <w:i w:val="0"/>
                <w:sz w:val="18"/>
              </w:rPr>
              <w:t>Global country boundary polygons maintained by FAO</w:t>
            </w:r>
          </w:p>
        </w:tc>
        <w:tc>
          <w:tcPr>
            <w:tcW w:type="dxa" w:w="3504"/>
          </w:tcPr>
          <w:p>
            <w:r/>
            <w:r>
              <w:rPr>
                <w:b w:val="0"/>
                <w:i w:val="0"/>
                <w:sz w:val="18"/>
              </w:rPr>
              <w:t>Country selection and study-area clipping for every analysis</w:t>
            </w:r>
          </w:p>
        </w:tc>
      </w:tr>
      <w:tr>
        <w:tc>
          <w:tcPr>
            <w:tcW w:type="dxa" w:w="3504"/>
          </w:tcPr>
          <w:p>
            <w:r/>
            <w:r>
              <w:rPr>
                <w:b/>
                <w:i w:val="0"/>
                <w:sz w:val="18"/>
              </w:rPr>
              <w:t>JRC GHSL — Settlement Model + Population P2023A</w:t>
            </w:r>
            <w:r>
              <w:rPr>
                <w:b w:val="0"/>
                <w:i w:val="0"/>
                <w:sz w:val="18"/>
              </w:rPr>
              <w:t xml:space="preserve"> (Pesaresi et al., 2024)</w:t>
            </w:r>
          </w:p>
        </w:tc>
        <w:tc>
          <w:tcPr>
            <w:tcW w:type="dxa" w:w="3504"/>
          </w:tcPr>
          <w:p>
            <w:r/>
            <w:r>
              <w:rPr>
                <w:b w:val="0"/>
                <w:i w:val="0"/>
                <w:sz w:val="18"/>
              </w:rPr>
              <w:t>Built-up classification distinguishing small settlements from larger urban areas, masked by population presence</w:t>
            </w:r>
          </w:p>
        </w:tc>
        <w:tc>
          <w:tcPr>
            <w:tcW w:type="dxa" w:w="3504"/>
          </w:tcPr>
          <w:p>
            <w:r/>
            <w:r>
              <w:rPr>
                <w:b w:val="0"/>
                <w:i w:val="0"/>
                <w:sz w:val="18"/>
              </w:rPr>
              <w:t>Small and large built-up classes contribute to the settlement-disturbance buffer</w:t>
            </w:r>
          </w:p>
        </w:tc>
      </w:tr>
      <w:tr>
        <w:tc>
          <w:tcPr>
            <w:tcW w:type="dxa" w:w="3504"/>
          </w:tcPr>
          <w:p>
            <w:r/>
            <w:r>
              <w:rPr>
                <w:b/>
                <w:i w:val="0"/>
                <w:sz w:val="18"/>
              </w:rPr>
              <w:t>DLR World Settlement Footprint Evolution</w:t>
            </w:r>
            <w:r>
              <w:rPr>
                <w:b w:val="0"/>
                <w:i w:val="0"/>
                <w:sz w:val="18"/>
              </w:rPr>
              <w:t xml:space="preserve"> (Marconcini et al., 2020)</w:t>
            </w:r>
          </w:p>
        </w:tc>
        <w:tc>
          <w:tcPr>
            <w:tcW w:type="dxa" w:w="3504"/>
          </w:tcPr>
          <w:p>
            <w:r/>
            <w:r>
              <w:rPr>
                <w:b w:val="0"/>
                <w:i w:val="0"/>
                <w:sz w:val="18"/>
              </w:rPr>
              <w:t>Annual 30 m global settlement footprint from 1985 to 2015</w:t>
            </w:r>
          </w:p>
        </w:tc>
        <w:tc>
          <w:tcPr>
            <w:tcW w:type="dxa" w:w="3504"/>
          </w:tcPr>
          <w:p>
            <w:r/>
            <w:r>
              <w:rPr>
                <w:b w:val="0"/>
                <w:i w:val="0"/>
                <w:sz w:val="18"/>
              </w:rPr>
              <w:t>Combined with GHSL to extend small-settlement extent further back in time</w:t>
            </w:r>
          </w:p>
        </w:tc>
      </w:tr>
      <w:tr>
        <w:tc>
          <w:tcPr>
            <w:tcW w:type="dxa" w:w="3504"/>
          </w:tcPr>
          <w:p>
            <w:r/>
            <w:r>
              <w:rPr>
                <w:b/>
                <w:i w:val="0"/>
                <w:sz w:val="18"/>
              </w:rPr>
              <w:t>GLAD Global Cropland (Potapov)</w:t>
            </w:r>
            <w:r>
              <w:rPr>
                <w:b w:val="0"/>
                <w:i w:val="0"/>
                <w:sz w:val="18"/>
              </w:rPr>
              <w:t xml:space="preserve"> (Potapov et al., 2022)</w:t>
            </w:r>
          </w:p>
        </w:tc>
        <w:tc>
          <w:tcPr>
            <w:tcW w:type="dxa" w:w="3504"/>
          </w:tcPr>
          <w:p>
            <w:r/>
            <w:r>
              <w:rPr>
                <w:b w:val="0"/>
                <w:i w:val="0"/>
                <w:sz w:val="18"/>
              </w:rPr>
              <w:t>Global 30 m cropland presence at multiple time steps between 2000 and 2019</w:t>
            </w:r>
          </w:p>
        </w:tc>
        <w:tc>
          <w:tcPr>
            <w:tcW w:type="dxa" w:w="3504"/>
          </w:tcPr>
          <w:p>
            <w:r/>
            <w:r>
              <w:rPr>
                <w:b w:val="0"/>
                <w:i w:val="0"/>
                <w:sz w:val="18"/>
              </w:rPr>
              <w:t>Cropland layer in the agriculture-disturbance buffer</w:t>
            </w:r>
          </w:p>
        </w:tc>
      </w:tr>
      <w:tr>
        <w:tc>
          <w:tcPr>
            <w:tcW w:type="dxa" w:w="3504"/>
          </w:tcPr>
          <w:p>
            <w:r/>
            <w:r>
              <w:rPr>
                <w:b/>
                <w:i w:val="0"/>
                <w:sz w:val="18"/>
              </w:rPr>
              <w:t>Global Pasture Watch v1</w:t>
            </w:r>
            <w:r>
              <w:rPr>
                <w:b w:val="0"/>
                <w:i w:val="0"/>
                <w:sz w:val="18"/>
              </w:rPr>
              <w:t xml:space="preserve"> (Parente et al., 2024)</w:t>
            </w:r>
          </w:p>
        </w:tc>
        <w:tc>
          <w:tcPr>
            <w:tcW w:type="dxa" w:w="3504"/>
          </w:tcPr>
          <w:p>
            <w:r/>
            <w:r>
              <w:rPr>
                <w:b w:val="0"/>
                <w:i w:val="0"/>
                <w:sz w:val="18"/>
              </w:rPr>
              <w:t>Annual 30 m grassland map separating cultivated from natural/semi-natural grasslands</w:t>
            </w:r>
          </w:p>
        </w:tc>
        <w:tc>
          <w:tcPr>
            <w:tcW w:type="dxa" w:w="3504"/>
          </w:tcPr>
          <w:p>
            <w:r/>
            <w:r>
              <w:rPr>
                <w:b w:val="0"/>
                <w:i w:val="0"/>
                <w:sz w:val="18"/>
              </w:rPr>
              <w:t>Cultivated-grassland class contributes to the agriculture-disturbance buffer</w:t>
            </w:r>
          </w:p>
        </w:tc>
      </w:tr>
      <w:tr>
        <w:tc>
          <w:tcPr>
            <w:tcW w:type="dxa" w:w="3504"/>
          </w:tcPr>
          <w:p>
            <w:r/>
            <w:r>
              <w:rPr>
                <w:b/>
                <w:i w:val="0"/>
                <w:sz w:val="18"/>
              </w:rPr>
              <w:t>Descals Global Oil Palm Year-of-Planting</w:t>
            </w:r>
            <w:r>
              <w:rPr>
                <w:b w:val="0"/>
                <w:i w:val="0"/>
                <w:sz w:val="18"/>
              </w:rPr>
              <w:t xml:space="preserve"> (Descals et al., 2024)</w:t>
            </w:r>
          </w:p>
        </w:tc>
        <w:tc>
          <w:tcPr>
            <w:tcW w:type="dxa" w:w="3504"/>
          </w:tcPr>
          <w:p>
            <w:r/>
            <w:r>
              <w:rPr>
                <w:b w:val="0"/>
                <w:i w:val="0"/>
                <w:sz w:val="18"/>
              </w:rPr>
              <w:t>Global per-pixel year of oil palm establishment from 1990 to 2021</w:t>
            </w:r>
          </w:p>
        </w:tc>
        <w:tc>
          <w:tcPr>
            <w:tcW w:type="dxa" w:w="3504"/>
          </w:tcPr>
          <w:p>
            <w:r/>
            <w:r>
              <w:rPr>
                <w:b w:val="0"/>
                <w:i w:val="0"/>
                <w:sz w:val="18"/>
              </w:rPr>
              <w:t>Oil palm extent feeds both the agriculture-disturbance buffer and the plantation mask</w:t>
            </w:r>
          </w:p>
        </w:tc>
      </w:tr>
      <w:tr>
        <w:tc>
          <w:tcPr>
            <w:tcW w:type="dxa" w:w="3504"/>
          </w:tcPr>
          <w:p>
            <w:r/>
            <w:r>
              <w:rPr>
                <w:b/>
                <w:i w:val="0"/>
                <w:sz w:val="18"/>
              </w:rPr>
              <w:t>SDPT v2 — Spatial Database of Planted Trees</w:t>
            </w:r>
            <w:r>
              <w:rPr>
                <w:b w:val="0"/>
                <w:i w:val="0"/>
                <w:sz w:val="18"/>
              </w:rPr>
              <w:t xml:space="preserve"> (Richter et al., 2024; WRI)</w:t>
            </w:r>
          </w:p>
        </w:tc>
        <w:tc>
          <w:tcPr>
            <w:tcW w:type="dxa" w:w="3504"/>
          </w:tcPr>
          <w:p>
            <w:r/>
            <w:r>
              <w:rPr>
                <w:b w:val="0"/>
                <w:i w:val="0"/>
                <w:sz w:val="18"/>
              </w:rPr>
              <w:t>Global polygons of planted trees, separating planted forest from tree crops</w:t>
            </w:r>
          </w:p>
        </w:tc>
        <w:tc>
          <w:tcPr>
            <w:tcW w:type="dxa" w:w="3504"/>
          </w:tcPr>
          <w:p>
            <w:r/>
            <w:r>
              <w:rPr>
                <w:b w:val="0"/>
                <w:i w:val="0"/>
                <w:sz w:val="18"/>
              </w:rPr>
              <w:t>Planted-forest class is reported separately as planted forest; tree-crop class contributes to the agriculture-disturbance buffer</w:t>
            </w:r>
          </w:p>
        </w:tc>
      </w:tr>
      <w:tr>
        <w:tc>
          <w:tcPr>
            <w:tcW w:type="dxa" w:w="3504"/>
          </w:tcPr>
          <w:p>
            <w:r/>
            <w:r>
              <w:rPr>
                <w:b/>
                <w:i w:val="0"/>
                <w:sz w:val="18"/>
              </w:rPr>
              <w:t>OSM Roads — PFF 33-region merge</w:t>
            </w:r>
            <w:r>
              <w:rPr>
                <w:b w:val="0"/>
                <w:i w:val="0"/>
                <w:sz w:val="18"/>
              </w:rPr>
              <w:t xml:space="preserve"> (OpenStreetMap contributors, 2025)</w:t>
            </w:r>
          </w:p>
        </w:tc>
        <w:tc>
          <w:tcPr>
            <w:tcW w:type="dxa" w:w="3504"/>
          </w:tcPr>
          <w:p>
            <w:r/>
            <w:r>
              <w:rPr>
                <w:b w:val="0"/>
                <w:i w:val="0"/>
                <w:sz w:val="18"/>
              </w:rPr>
              <w:t>OpenStreetMap road network collected globally in May 2025</w:t>
            </w:r>
          </w:p>
        </w:tc>
        <w:tc>
          <w:tcPr>
            <w:tcW w:type="dxa" w:w="3504"/>
          </w:tcPr>
          <w:p>
            <w:r/>
            <w:r>
              <w:rPr>
                <w:b w:val="0"/>
                <w:i w:val="0"/>
                <w:sz w:val="18"/>
              </w:rPr>
              <w:t>Road raster used in the road-disturbance buffer</w:t>
            </w:r>
          </w:p>
        </w:tc>
      </w:tr>
      <w:tr>
        <w:tc>
          <w:tcPr>
            <w:tcW w:type="dxa" w:w="3504"/>
          </w:tcPr>
          <w:p>
            <w:r/>
            <w:r>
              <w:rPr>
                <w:b/>
                <w:i w:val="0"/>
                <w:sz w:val="18"/>
              </w:rPr>
              <w:t>JAXA ALOS World 3D-30m DSM v3.2</w:t>
            </w:r>
            <w:r>
              <w:rPr>
                <w:b w:val="0"/>
                <w:i w:val="0"/>
                <w:sz w:val="18"/>
              </w:rPr>
              <w:t xml:space="preserve"> (Tadono et al., 2016)</w:t>
            </w:r>
          </w:p>
        </w:tc>
        <w:tc>
          <w:tcPr>
            <w:tcW w:type="dxa" w:w="3504"/>
          </w:tcPr>
          <w:p>
            <w:r/>
            <w:r>
              <w:rPr>
                <w:b w:val="0"/>
                <w:i w:val="0"/>
                <w:sz w:val="18"/>
              </w:rPr>
              <w:t>Global 30 m digital surface model</w:t>
            </w:r>
          </w:p>
        </w:tc>
        <w:tc>
          <w:tcPr>
            <w:tcW w:type="dxa" w:w="3504"/>
          </w:tcPr>
          <w:p>
            <w:r/>
            <w:r>
              <w:rPr>
                <w:b w:val="0"/>
                <w:i w:val="0"/>
                <w:sz w:val="18"/>
              </w:rPr>
              <w:t>Source of the slope layer used to rescue forest on steep terrain; also exported as DEM and slope sidecars</w:t>
            </w:r>
          </w:p>
        </w:tc>
      </w:tr>
      <w:tr>
        <w:tc>
          <w:tcPr>
            <w:tcW w:type="dxa" w:w="3504"/>
          </w:tcPr>
          <w:p>
            <w:r/>
            <w:r>
              <w:rPr>
                <w:b/>
                <w:i w:val="0"/>
                <w:sz w:val="18"/>
              </w:rPr>
              <w:t>WDPA — World Database on Protected Areas</w:t>
            </w:r>
            <w:r>
              <w:rPr>
                <w:b w:val="0"/>
                <w:i w:val="0"/>
                <w:sz w:val="18"/>
              </w:rPr>
              <w:t xml:space="preserve"> (UNEP-WCMC &amp; IUCN, 2026)</w:t>
            </w:r>
          </w:p>
        </w:tc>
        <w:tc>
          <w:tcPr>
            <w:tcW w:type="dxa" w:w="3504"/>
          </w:tcPr>
          <w:p>
            <w:r/>
            <w:r>
              <w:rPr>
                <w:b w:val="0"/>
                <w:i w:val="0"/>
                <w:sz w:val="18"/>
              </w:rPr>
              <w:t>Global protected-area polygons with IUCN category and year of designation</w:t>
            </w:r>
          </w:p>
        </w:tc>
        <w:tc>
          <w:tcPr>
            <w:tcW w:type="dxa" w:w="3504"/>
          </w:tcPr>
          <w:p>
            <w:r/>
            <w:r>
              <w:rPr>
                <w:b w:val="0"/>
                <w:i w:val="0"/>
                <w:sz w:val="18"/>
              </w:rPr>
              <w:t>Long-designated strictly protected areas qualify forest for rescue from the disturbance mask</w:t>
            </w:r>
          </w:p>
        </w:tc>
      </w:tr>
      <w:tr>
        <w:tc>
          <w:tcPr>
            <w:tcW w:type="dxa" w:w="3504"/>
          </w:tcPr>
          <w:p>
            <w:r/>
            <w:r>
              <w:rPr>
                <w:b/>
                <w:i w:val="0"/>
                <w:sz w:val="18"/>
              </w:rPr>
              <w:t>FLII — Forest Landscape Integrity Index 2019</w:t>
            </w:r>
            <w:r>
              <w:rPr>
                <w:b w:val="0"/>
                <w:i w:val="0"/>
                <w:sz w:val="18"/>
              </w:rPr>
              <w:t xml:space="preserve"> (Grantham et al., 2020)</w:t>
            </w:r>
          </w:p>
        </w:tc>
        <w:tc>
          <w:tcPr>
            <w:tcW w:type="dxa" w:w="3504"/>
          </w:tcPr>
          <w:p>
            <w:r/>
            <w:r>
              <w:rPr>
                <w:b w:val="0"/>
                <w:i w:val="0"/>
                <w:sz w:val="18"/>
              </w:rPr>
              <w:t>0–10 score per ~300 m pixel summarising landscape-scale forest integrity</w:t>
            </w:r>
          </w:p>
        </w:tc>
        <w:tc>
          <w:tcPr>
            <w:tcW w:type="dxa" w:w="3504"/>
          </w:tcPr>
          <w:p>
            <w:r/>
            <w:r>
              <w:rPr>
                <w:b w:val="0"/>
                <w:i w:val="0"/>
                <w:sz w:val="18"/>
              </w:rPr>
              <w:t>Optional reference overlay shown alongside PFF outputs for comparison</w:t>
            </w:r>
          </w:p>
        </w:tc>
      </w:tr>
      <w:tr>
        <w:tc>
          <w:tcPr>
            <w:tcW w:type="dxa" w:w="3504"/>
          </w:tcPr>
          <w:p>
            <w:r/>
            <w:r>
              <w:rPr>
                <w:b/>
                <w:i w:val="0"/>
                <w:sz w:val="18"/>
              </w:rPr>
              <w:t>FDaP Forest Persistence 2020</w:t>
            </w:r>
            <w:r>
              <w:rPr>
                <w:b w:val="0"/>
                <w:i w:val="0"/>
                <w:sz w:val="18"/>
              </w:rPr>
              <w:t xml:space="preserve"> (Forest Data Partnership, 2024)</w:t>
            </w:r>
          </w:p>
        </w:tc>
        <w:tc>
          <w:tcPr>
            <w:tcW w:type="dxa" w:w="3504"/>
          </w:tcPr>
          <w:p>
            <w:r/>
            <w:r>
              <w:rPr>
                <w:b w:val="0"/>
                <w:i w:val="0"/>
                <w:sz w:val="18"/>
              </w:rPr>
              <w:t>Per-pixel 0–1 probability of continuous forest cover at 2020</w:t>
            </w:r>
          </w:p>
        </w:tc>
        <w:tc>
          <w:tcPr>
            <w:tcW w:type="dxa" w:w="3504"/>
          </w:tcPr>
          <w:p>
            <w:r/>
            <w:r>
              <w:rPr>
                <w:b w:val="0"/>
                <w:i w:val="0"/>
                <w:sz w:val="18"/>
              </w:rPr>
              <w:t>Optional reference overlay shown alongside PFF outputs for comparison</w:t>
            </w:r>
          </w:p>
        </w:tc>
      </w:tr>
    </w:tbl>
    <w:p/>
    <w:p>
      <w:pPr>
        <w:pStyle w:val="Heading1"/>
      </w:pPr>
      <w:r>
        <w:rPr>
          <w:rFonts w:ascii="Calibri" w:hAnsi="Calibri"/>
        </w:rPr>
        <w:t>Page 2 — Datasets available in the tool but not currently driving outputs</w:t>
      </w:r>
    </w:p>
    <w:tbl>
      <w:tblPr>
        <w:tblStyle w:val="LightGrid-Accent1"/>
        <w:tblW w:type="auto" w:w="0"/>
        <w:tblLayout w:type="autofit"/>
        <w:tblLook w:firstColumn="1" w:firstRow="1" w:lastColumn="0" w:lastRow="0" w:noHBand="0" w:noVBand="1" w:val="04A0"/>
      </w:tblPr>
      <w:tblGrid>
        <w:gridCol w:w="5256"/>
        <w:gridCol w:w="5256"/>
      </w:tblGrid>
      <w:tr>
        <w:tc>
          <w:tcPr>
            <w:tcW w:type="dxa" w:w="5256"/>
            <w:shd w:val="clear" w:color="auto" w:fill="DCE6F1"/>
          </w:tcPr>
          <w:p>
            <w:r/>
            <w:r>
              <w:rPr>
                <w:b/>
                <w:color w:val="000000"/>
                <w:sz w:val="20"/>
              </w:rPr>
              <w:t>Dataset</w:t>
            </w:r>
          </w:p>
        </w:tc>
        <w:tc>
          <w:tcPr>
            <w:tcW w:type="dxa" w:w="5256"/>
            <w:shd w:val="clear" w:color="auto" w:fill="DCE6F1"/>
          </w:tcPr>
          <w:p>
            <w:r/>
            <w:r>
              <w:rPr>
                <w:b/>
                <w:color w:val="000000"/>
                <w:sz w:val="20"/>
              </w:rPr>
              <w:t>What it is</w:t>
            </w:r>
          </w:p>
        </w:tc>
      </w:tr>
      <w:tr>
        <w:tc>
          <w:tcPr>
            <w:tcW w:type="dxa" w:w="5256"/>
          </w:tcPr>
          <w:p>
            <w:r/>
            <w:r>
              <w:rPr>
                <w:b/>
                <w:i w:val="0"/>
                <w:sz w:val="18"/>
              </w:rPr>
              <w:t>GRIP4 + Predicted AADT</w:t>
            </w:r>
            <w:r>
              <w:rPr>
                <w:b w:val="0"/>
                <w:i w:val="0"/>
                <w:sz w:val="18"/>
              </w:rPr>
              <w:t xml:space="preserve"> (Meijer et al., 2018)</w:t>
            </w:r>
          </w:p>
        </w:tc>
        <w:tc>
          <w:tcPr>
            <w:tcW w:type="dxa" w:w="5256"/>
          </w:tcPr>
          <w:p>
            <w:r/>
            <w:r>
              <w:rPr>
                <w:b w:val="0"/>
                <w:i w:val="0"/>
                <w:sz w:val="18"/>
              </w:rPr>
              <w:t>Global major-roads network with modelled annual average daily traffic at 1990, 2000 and 2015</w:t>
            </w:r>
          </w:p>
        </w:tc>
      </w:tr>
      <w:tr>
        <w:tc>
          <w:tcPr>
            <w:tcW w:type="dxa" w:w="5256"/>
          </w:tcPr>
          <w:p>
            <w:r/>
            <w:r>
              <w:rPr>
                <w:b/>
                <w:i w:val="0"/>
                <w:sz w:val="18"/>
              </w:rPr>
              <w:t>JRC TMF v1_2025 — Deforestation Year</w:t>
            </w:r>
            <w:r>
              <w:rPr>
                <w:b w:val="0"/>
                <w:i w:val="0"/>
                <w:sz w:val="18"/>
              </w:rPr>
              <w:t xml:space="preserve"> (Vancutsem et al., 2021)</w:t>
            </w:r>
          </w:p>
        </w:tc>
        <w:tc>
          <w:tcPr>
            <w:tcW w:type="dxa" w:w="5256"/>
          </w:tcPr>
          <w:p>
            <w:r/>
            <w:r>
              <w:rPr>
                <w:b w:val="0"/>
                <w:i w:val="0"/>
                <w:sz w:val="18"/>
              </w:rPr>
              <w:t>Annual tropical-belt deforestation year layer</w:t>
            </w:r>
          </w:p>
        </w:tc>
      </w:tr>
      <w:tr>
        <w:tc>
          <w:tcPr>
            <w:tcW w:type="dxa" w:w="5256"/>
          </w:tcPr>
          <w:p>
            <w:r/>
            <w:r>
              <w:rPr>
                <w:b/>
                <w:i w:val="0"/>
                <w:sz w:val="18"/>
              </w:rPr>
              <w:t>GLC_FCS30D 1985–2022</w:t>
            </w:r>
            <w:r>
              <w:rPr>
                <w:b w:val="0"/>
                <w:i w:val="0"/>
                <w:sz w:val="18"/>
              </w:rPr>
              <w:t xml:space="preserve"> (Zhang et al., 2024)</w:t>
            </w:r>
          </w:p>
        </w:tc>
        <w:tc>
          <w:tcPr>
            <w:tcW w:type="dxa" w:w="5256"/>
          </w:tcPr>
          <w:p>
            <w:r/>
            <w:r>
              <w:rPr>
                <w:b w:val="0"/>
                <w:i w:val="0"/>
                <w:sz w:val="18"/>
              </w:rPr>
              <w:t>Global 30 m 35-class land cover with annual and 5-year products</w:t>
            </w:r>
          </w:p>
        </w:tc>
      </w:tr>
      <w:tr>
        <w:tc>
          <w:tcPr>
            <w:tcW w:type="dxa" w:w="5256"/>
          </w:tcPr>
          <w:p>
            <w:r/>
            <w:r>
              <w:rPr>
                <w:b/>
                <w:i w:val="0"/>
                <w:sz w:val="18"/>
              </w:rPr>
              <w:t>GISD30 1985–2020</w:t>
            </w:r>
            <w:r>
              <w:rPr>
                <w:b w:val="0"/>
                <w:i w:val="0"/>
                <w:sz w:val="18"/>
              </w:rPr>
              <w:t xml:space="preserve"> (Zhang et al., 2022)</w:t>
            </w:r>
          </w:p>
        </w:tc>
        <w:tc>
          <w:tcPr>
            <w:tcW w:type="dxa" w:w="5256"/>
          </w:tcPr>
          <w:p>
            <w:r/>
            <w:r>
              <w:rPr>
                <w:b w:val="0"/>
                <w:i w:val="0"/>
                <w:sz w:val="18"/>
              </w:rPr>
              <w:t>Global 30 m impervious-surface dynamic dataset</w:t>
            </w:r>
          </w:p>
        </w:tc>
      </w:tr>
      <w:tr>
        <w:tc>
          <w:tcPr>
            <w:tcW w:type="dxa" w:w="5256"/>
          </w:tcPr>
          <w:p>
            <w:r/>
            <w:r>
              <w:rPr>
                <w:b/>
                <w:i w:val="0"/>
                <w:sz w:val="18"/>
              </w:rPr>
              <w:t>GISA 1972–2019</w:t>
            </w:r>
            <w:r>
              <w:rPr>
                <w:b w:val="0"/>
                <w:i w:val="0"/>
                <w:sz w:val="18"/>
              </w:rPr>
              <w:t xml:space="preserve"> (Huang et al., 2021)</w:t>
            </w:r>
          </w:p>
        </w:tc>
        <w:tc>
          <w:tcPr>
            <w:tcW w:type="dxa" w:w="5256"/>
          </w:tcPr>
          <w:p>
            <w:r/>
            <w:r>
              <w:rPr>
                <w:b w:val="0"/>
                <w:i w:val="0"/>
                <w:sz w:val="18"/>
              </w:rPr>
              <w:t>Global 30 m impervious-surface area dataset with long time span</w:t>
            </w:r>
          </w:p>
        </w:tc>
      </w:tr>
      <w:tr>
        <w:tc>
          <w:tcPr>
            <w:tcW w:type="dxa" w:w="5256"/>
          </w:tcPr>
          <w:p>
            <w:r/>
            <w:r>
              <w:rPr>
                <w:b/>
                <w:i w:val="0"/>
                <w:sz w:val="18"/>
              </w:rPr>
              <w:t>DLR WSF 2015</w:t>
            </w:r>
          </w:p>
        </w:tc>
        <w:tc>
          <w:tcPr>
            <w:tcW w:type="dxa" w:w="5256"/>
          </w:tcPr>
          <w:p>
            <w:r/>
            <w:r>
              <w:rPr>
                <w:b w:val="0"/>
                <w:i w:val="0"/>
                <w:sz w:val="18"/>
              </w:rPr>
              <w:t>Single-year 10 m global settlement footprint for 2015</w:t>
            </w:r>
          </w:p>
        </w:tc>
      </w:tr>
      <w:tr>
        <w:tc>
          <w:tcPr>
            <w:tcW w:type="dxa" w:w="5256"/>
          </w:tcPr>
          <w:p>
            <w:r/>
            <w:r>
              <w:rPr>
                <w:b/>
                <w:i w:val="0"/>
                <w:sz w:val="18"/>
              </w:rPr>
              <w:t>DLR WSF 2019</w:t>
            </w:r>
          </w:p>
        </w:tc>
        <w:tc>
          <w:tcPr>
            <w:tcW w:type="dxa" w:w="5256"/>
          </w:tcPr>
          <w:p>
            <w:r/>
            <w:r>
              <w:rPr>
                <w:b w:val="0"/>
                <w:i w:val="0"/>
                <w:sz w:val="18"/>
              </w:rPr>
              <w:t>Single-year global settlement footprint for 2019</w:t>
            </w:r>
          </w:p>
        </w:tc>
      </w:tr>
      <w:tr>
        <w:tc>
          <w:tcPr>
            <w:tcW w:type="dxa" w:w="5256"/>
          </w:tcPr>
          <w:p>
            <w:r/>
            <w:r>
              <w:rPr>
                <w:b/>
                <w:i w:val="0"/>
                <w:sz w:val="18"/>
              </w:rPr>
              <w:t>LandScan Global</w:t>
            </w:r>
            <w:r>
              <w:rPr>
                <w:b w:val="0"/>
                <w:i w:val="0"/>
                <w:sz w:val="18"/>
              </w:rPr>
              <w:t xml:space="preserve"> (Rose et al., 2025; ORNL)</w:t>
            </w:r>
          </w:p>
        </w:tc>
        <w:tc>
          <w:tcPr>
            <w:tcW w:type="dxa" w:w="5256"/>
          </w:tcPr>
          <w:p>
            <w:r/>
            <w:r>
              <w:rPr>
                <w:b w:val="0"/>
                <w:i w:val="0"/>
                <w:sz w:val="18"/>
              </w:rPr>
              <w:t>Annual global population distribution at ~1 km</w:t>
            </w:r>
          </w:p>
        </w:tc>
      </w:tr>
      <w:tr>
        <w:tc>
          <w:tcPr>
            <w:tcW w:type="dxa" w:w="5256"/>
          </w:tcPr>
          <w:p>
            <w:r/>
            <w:r>
              <w:rPr>
                <w:b/>
                <w:i w:val="0"/>
                <w:sz w:val="18"/>
              </w:rPr>
              <w:t>FDAP Palm 2024a</w:t>
            </w:r>
            <w:r>
              <w:rPr>
                <w:b w:val="0"/>
                <w:i w:val="0"/>
                <w:sz w:val="18"/>
              </w:rPr>
              <w:t xml:space="preserve"> (Forest Data Partnership, 2024)</w:t>
            </w:r>
          </w:p>
        </w:tc>
        <w:tc>
          <w:tcPr>
            <w:tcW w:type="dxa" w:w="5256"/>
          </w:tcPr>
          <w:p>
            <w:r/>
            <w:r>
              <w:rPr>
                <w:b w:val="0"/>
                <w:i w:val="0"/>
                <w:sz w:val="18"/>
              </w:rPr>
              <w:t>Per-pixel oil palm probability layer</w:t>
            </w:r>
          </w:p>
        </w:tc>
      </w:tr>
      <w:tr>
        <w:tc>
          <w:tcPr>
            <w:tcW w:type="dxa" w:w="5256"/>
          </w:tcPr>
          <w:p>
            <w:r/>
            <w:r>
              <w:rPr>
                <w:b/>
                <w:i w:val="0"/>
                <w:sz w:val="18"/>
              </w:rPr>
              <w:t>FDAP Rubber 2024a</w:t>
            </w:r>
            <w:r>
              <w:rPr>
                <w:b w:val="0"/>
                <w:i w:val="0"/>
                <w:sz w:val="18"/>
              </w:rPr>
              <w:t xml:space="preserve"> (Forest Data Partnership, 2024)</w:t>
            </w:r>
          </w:p>
        </w:tc>
        <w:tc>
          <w:tcPr>
            <w:tcW w:type="dxa" w:w="5256"/>
          </w:tcPr>
          <w:p>
            <w:r/>
            <w:r>
              <w:rPr>
                <w:b w:val="0"/>
                <w:i w:val="0"/>
                <w:sz w:val="18"/>
              </w:rPr>
              <w:t>Per-pixel rubber probability layer</w:t>
            </w:r>
          </w:p>
        </w:tc>
      </w:tr>
      <w:tr>
        <w:tc>
          <w:tcPr>
            <w:tcW w:type="dxa" w:w="5256"/>
          </w:tcPr>
          <w:p>
            <w:r/>
            <w:r>
              <w:rPr>
                <w:b/>
                <w:i w:val="0"/>
                <w:sz w:val="18"/>
              </w:rPr>
              <w:t>FDAP Cocoa 2024a</w:t>
            </w:r>
            <w:r>
              <w:rPr>
                <w:b w:val="0"/>
                <w:i w:val="0"/>
                <w:sz w:val="18"/>
              </w:rPr>
              <w:t xml:space="preserve"> (Forest Data Partnership, 2024)</w:t>
            </w:r>
          </w:p>
        </w:tc>
        <w:tc>
          <w:tcPr>
            <w:tcW w:type="dxa" w:w="5256"/>
          </w:tcPr>
          <w:p>
            <w:r/>
            <w:r>
              <w:rPr>
                <w:b w:val="0"/>
                <w:i w:val="0"/>
                <w:sz w:val="18"/>
              </w:rPr>
              <w:t>Per-pixel cocoa probability layer</w:t>
            </w:r>
          </w:p>
        </w:tc>
      </w:tr>
      <w:tr>
        <w:tc>
          <w:tcPr>
            <w:tcW w:type="dxa" w:w="5256"/>
          </w:tcPr>
          <w:p>
            <w:r/>
            <w:r>
              <w:rPr>
                <w:b/>
                <w:i w:val="0"/>
                <w:sz w:val="18"/>
              </w:rPr>
              <w:t>OSM Water Layer</w:t>
            </w:r>
            <w:r>
              <w:rPr>
                <w:b w:val="0"/>
                <w:i w:val="0"/>
                <w:sz w:val="18"/>
              </w:rPr>
              <w:t xml:space="preserve"> (sat-io / U-Tokyo)</w:t>
            </w:r>
          </w:p>
        </w:tc>
        <w:tc>
          <w:tcPr>
            <w:tcW w:type="dxa" w:w="5256"/>
          </w:tcPr>
          <w:p>
            <w:r/>
            <w:r>
              <w:rPr>
                <w:b w:val="0"/>
                <w:i w:val="0"/>
                <w:sz w:val="18"/>
              </w:rPr>
              <w:t>Global water-body and canal raster derived from OpenStreetMap</w:t>
            </w:r>
          </w:p>
        </w:tc>
      </w:tr>
      <w:tr>
        <w:tc>
          <w:tcPr>
            <w:tcW w:type="dxa" w:w="5256"/>
          </w:tcPr>
          <w:p>
            <w:r/>
            <w:r>
              <w:rPr>
                <w:b/>
                <w:i w:val="0"/>
                <w:sz w:val="18"/>
              </w:rPr>
              <w:t>PFF Navigable Rivers (WDB)</w:t>
            </w:r>
          </w:p>
        </w:tc>
        <w:tc>
          <w:tcPr>
            <w:tcW w:type="dxa" w:w="5256"/>
          </w:tcPr>
          <w:p>
            <w:r/>
            <w:r>
              <w:rPr>
                <w:b w:val="0"/>
                <w:i w:val="0"/>
                <w:sz w:val="18"/>
              </w:rPr>
              <w:t>Navigable-river network derived from the World Data Bank river dataset</w:t>
            </w:r>
          </w:p>
        </w:tc>
      </w:tr>
      <w:tr>
        <w:tc>
          <w:tcPr>
            <w:tcW w:type="dxa" w:w="5256"/>
          </w:tcPr>
          <w:p>
            <w:r/>
            <w:r>
              <w:rPr>
                <w:b/>
                <w:i w:val="0"/>
                <w:sz w:val="18"/>
              </w:rPr>
              <w:t>Navigable Waterways USA</w:t>
            </w:r>
          </w:p>
        </w:tc>
        <w:tc>
          <w:tcPr>
            <w:tcW w:type="dxa" w:w="5256"/>
          </w:tcPr>
          <w:p>
            <w:r/>
            <w:r>
              <w:rPr>
                <w:b w:val="0"/>
                <w:i w:val="0"/>
                <w:sz w:val="18"/>
              </w:rPr>
              <w:t>National-scale navigable-waterway vector for the United States</w:t>
            </w:r>
          </w:p>
        </w:tc>
      </w:tr>
      <w:tr>
        <w:tc>
          <w:tcPr>
            <w:tcW w:type="dxa" w:w="5256"/>
          </w:tcPr>
          <w:p>
            <w:r/>
            <w:r>
              <w:rPr>
                <w:b/>
                <w:i w:val="0"/>
                <w:sz w:val="18"/>
              </w:rPr>
              <w:t>USA TIGER Roads</w:t>
            </w:r>
          </w:p>
        </w:tc>
        <w:tc>
          <w:tcPr>
            <w:tcW w:type="dxa" w:w="5256"/>
          </w:tcPr>
          <w:p>
            <w:r/>
            <w:r>
              <w:rPr>
                <w:b w:val="0"/>
                <w:i w:val="0"/>
                <w:sz w:val="18"/>
              </w:rPr>
              <w:t>National-scale US road vector from the US Census TIGER programme</w:t>
            </w:r>
          </w:p>
        </w:tc>
      </w:tr>
      <w:tr>
        <w:tc>
          <w:tcPr>
            <w:tcW w:type="dxa" w:w="5256"/>
          </w:tcPr>
          <w:p>
            <w:r/>
            <w:r>
              <w:rPr>
                <w:b/>
                <w:i w:val="0"/>
                <w:sz w:val="18"/>
              </w:rPr>
              <w:t>WUR Congo Basin Logging Roads</w:t>
            </w:r>
          </w:p>
        </w:tc>
        <w:tc>
          <w:tcPr>
            <w:tcW w:type="dxa" w:w="5256"/>
          </w:tcPr>
          <w:p>
            <w:r/>
            <w:r>
              <w:rPr>
                <w:b w:val="0"/>
                <w:i w:val="0"/>
                <w:sz w:val="18"/>
              </w:rPr>
              <w:t>Logging-road vector for the Congo Basin compiled by Wageningen University</w:t>
            </w:r>
          </w:p>
        </w:tc>
      </w:tr>
      <w:tr>
        <w:tc>
          <w:tcPr>
            <w:tcW w:type="dxa" w:w="5256"/>
          </w:tcPr>
          <w:p>
            <w:r/>
            <w:r>
              <w:rPr>
                <w:b/>
                <w:i w:val="0"/>
                <w:sz w:val="18"/>
              </w:rPr>
              <w:t>Microsoft Global Roads</w:t>
            </w:r>
          </w:p>
        </w:tc>
        <w:tc>
          <w:tcPr>
            <w:tcW w:type="dxa" w:w="5256"/>
          </w:tcPr>
          <w:p>
            <w:r/>
            <w:r>
              <w:rPr>
                <w:b w:val="0"/>
                <w:i w:val="0"/>
                <w:sz w:val="18"/>
              </w:rPr>
              <w:t>Global road vector released by Microsoft</w:t>
            </w:r>
          </w:p>
        </w:tc>
      </w:tr>
      <w:tr>
        <w:tc>
          <w:tcPr>
            <w:tcW w:type="dxa" w:w="5256"/>
          </w:tcPr>
          <w:p>
            <w:r/>
            <w:r>
              <w:rPr>
                <w:b/>
                <w:i w:val="0"/>
                <w:sz w:val="18"/>
              </w:rPr>
              <w:t>Ghost Roads — Asia / New Guinea</w:t>
            </w:r>
          </w:p>
        </w:tc>
        <w:tc>
          <w:tcPr>
            <w:tcW w:type="dxa" w:w="5256"/>
          </w:tcPr>
          <w:p>
            <w:r/>
            <w:r>
              <w:rPr>
                <w:b w:val="0"/>
                <w:i w:val="0"/>
                <w:sz w:val="18"/>
              </w:rPr>
              <w:t>Hand-mapped informal road network for Asia and New Guinea</w:t>
            </w:r>
          </w:p>
        </w:tc>
      </w:tr>
      <w:tr>
        <w:tc>
          <w:tcPr>
            <w:tcW w:type="dxa" w:w="5256"/>
          </w:tcPr>
          <w:p>
            <w:r/>
            <w:r>
              <w:rPr>
                <w:b/>
                <w:i w:val="0"/>
                <w:sz w:val="18"/>
              </w:rPr>
              <w:t>MapBiomas Brazil Roads</w:t>
            </w:r>
          </w:p>
        </w:tc>
        <w:tc>
          <w:tcPr>
            <w:tcW w:type="dxa" w:w="5256"/>
          </w:tcPr>
          <w:p>
            <w:r/>
            <w:r>
              <w:rPr>
                <w:b w:val="0"/>
                <w:i w:val="0"/>
                <w:sz w:val="18"/>
              </w:rPr>
              <w:t>National-scale Brazil road vector from MapBiomas</w:t>
            </w:r>
          </w:p>
        </w:tc>
      </w:tr>
      <w:tr>
        <w:tc>
          <w:tcPr>
            <w:tcW w:type="dxa" w:w="5256"/>
          </w:tcPr>
          <w:p>
            <w:r/>
            <w:r>
              <w:rPr>
                <w:b/>
                <w:i w:val="0"/>
                <w:sz w:val="18"/>
              </w:rPr>
              <w:t>WRI SBTN Natural Lands v1.1 (2020)</w:t>
            </w:r>
            <w:r>
              <w:rPr>
                <w:b w:val="0"/>
                <w:i w:val="0"/>
                <w:sz w:val="18"/>
              </w:rPr>
              <w:t xml:space="preserve"> (Mazur et al., 2025)</w:t>
            </w:r>
          </w:p>
        </w:tc>
        <w:tc>
          <w:tcPr>
            <w:tcW w:type="dxa" w:w="5256"/>
          </w:tcPr>
          <w:p>
            <w:r/>
            <w:r>
              <w:rPr>
                <w:b w:val="0"/>
                <w:i w:val="0"/>
                <w:sz w:val="18"/>
              </w:rPr>
              <w:t>Global natural-lands map at 2020 produced under the Science Based Targets Network</w:t>
            </w:r>
          </w:p>
        </w:tc>
      </w:tr>
      <w:tr>
        <w:tc>
          <w:tcPr>
            <w:tcW w:type="dxa" w:w="5256"/>
          </w:tcPr>
          <w:p>
            <w:r/>
            <w:r>
              <w:rPr>
                <w:b/>
                <w:i w:val="0"/>
                <w:sz w:val="18"/>
              </w:rPr>
              <w:t>European Primary Forests Database v2</w:t>
            </w:r>
            <w:r>
              <w:rPr>
                <w:b w:val="0"/>
                <w:i w:val="0"/>
                <w:sz w:val="18"/>
              </w:rPr>
              <w:t xml:space="preserve"> (Sabatini et al., 2018)</w:t>
            </w:r>
          </w:p>
        </w:tc>
        <w:tc>
          <w:tcPr>
            <w:tcW w:type="dxa" w:w="5256"/>
          </w:tcPr>
          <w:p>
            <w:r/>
            <w:r>
              <w:rPr>
                <w:b w:val="0"/>
                <w:i w:val="0"/>
                <w:sz w:val="18"/>
              </w:rPr>
              <w:t>Polygon database of mapped primary forest patches across Europe</w:t>
            </w:r>
          </w:p>
        </w:tc>
      </w:tr>
      <w:tr>
        <w:tc>
          <w:tcPr>
            <w:tcW w:type="dxa" w:w="5256"/>
          </w:tcPr>
          <w:p>
            <w:r/>
            <w:r>
              <w:rPr>
                <w:b/>
                <w:i w:val="0"/>
                <w:sz w:val="18"/>
              </w:rPr>
              <w:t>Tsinghua DESS China Terrace Map v1</w:t>
            </w:r>
            <w:r>
              <w:rPr>
                <w:b w:val="0"/>
                <w:i w:val="0"/>
                <w:sz w:val="18"/>
              </w:rPr>
              <w:t xml:space="preserve"> (Cao et al., 2021)</w:t>
            </w:r>
          </w:p>
        </w:tc>
        <w:tc>
          <w:tcPr>
            <w:tcW w:type="dxa" w:w="5256"/>
          </w:tcPr>
          <w:p>
            <w:r/>
            <w:r>
              <w:rPr>
                <w:b w:val="0"/>
                <w:i w:val="0"/>
                <w:sz w:val="18"/>
              </w:rPr>
              <w:t>National-scale terrace agriculture map for China</w:t>
            </w:r>
          </w:p>
        </w:tc>
      </w:tr>
    </w:tbl>
    <w:p/>
    <w:p>
      <w:r>
        <w:rPr>
          <w:b w:val="0"/>
          <w:i w:val="0"/>
          <w:sz w:val="20"/>
        </w:rPr>
        <w:t>Verified against pff_4.js v4.15.7-beta.1 and QGIS plugin v0.16.0-beta.1 on 2026-05-11.</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