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PFF — Dataset Info</w:t>
      </w:r>
    </w:p>
    <w:p>
      <w:r>
        <w:rPr>
          <w:b w:val="0"/>
          <w:i w:val="0"/>
          <w:sz w:val="20"/>
        </w:rPr>
        <w:t xml:space="preserve">Organised by the four numbered sections in the app: </w:t>
      </w:r>
      <w:r>
        <w:rPr>
          <w:b/>
          <w:i w:val="0"/>
          <w:sz w:val="20"/>
        </w:rPr>
        <w:t>1. Time Period · 2. Tree Cover · 3. Human Influence · 4. Refine Output</w:t>
      </w:r>
      <w:r>
        <w:rPr>
          <w:b w:val="0"/>
          <w:i w:val="0"/>
          <w:sz w:val="20"/>
        </w:rPr>
        <w:t>. Each table includes the citation and source page so you can follow up on any dataset.</w:t>
      </w:r>
    </w:p>
    <w:p>
      <w:r>
        <w:rPr>
          <w:b w:val="0"/>
          <w:i w:val="0"/>
          <w:sz w:val="20"/>
        </w:rPr>
        <w:t xml:space="preserve">For full machine-readable metadata see </w:t>
      </w:r>
      <w:hyperlink r:id="rId9">
        <w:r>
          <w:rPr>
            <w:color w:val="0563C1"/>
            <w:u w:val="single"/>
            <w:sz w:val="18"/>
          </w:rPr>
          <w:t xml:space="preserve">`datasets_global.json`</w:t>
        </w:r>
      </w:hyperlink>
      <w:r>
        <w:rPr>
          <w:b w:val="0"/>
          <w:i w:val="0"/>
          <w:sz w:val="20"/>
        </w:rPr>
        <w:t>.</w:t>
      </w:r>
    </w:p>
    <w:p>
      <w:pPr>
        <w:pStyle w:val="Heading1"/>
      </w:pPr>
      <w:r>
        <w:rPr>
          <w:rFonts w:ascii="Calibri" w:hAnsi="Calibri"/>
        </w:rPr>
        <w:t>How PFF works — the logic</w:t>
      </w:r>
    </w:p>
    <w:p>
      <w:pPr>
        <w:pStyle w:val="ListNumber"/>
      </w:pPr>
      <w:r>
        <w:rPr>
          <w:b/>
          <w:i w:val="0"/>
          <w:sz w:val="20"/>
        </w:rPr>
        <w:t>Map all tree cover</w:t>
      </w:r>
      <w:r>
        <w:rPr>
          <w:b w:val="0"/>
          <w:i w:val="0"/>
          <w:sz w:val="20"/>
        </w:rPr>
        <w:t xml:space="preserve"> — where are the trees?</w:t>
      </w:r>
    </w:p>
    <w:p>
      <w:pPr>
        <w:pStyle w:val="ListNumber"/>
      </w:pPr>
      <w:r>
        <w:rPr>
          <w:b/>
          <w:i w:val="0"/>
          <w:sz w:val="20"/>
        </w:rPr>
        <w:t>(Optional) Refine the tree-cover input</w:t>
      </w:r>
      <w:r>
        <w:rPr>
          <w:b w:val="0"/>
          <w:i w:val="0"/>
          <w:sz w:val="20"/>
        </w:rPr>
        <w:t xml:space="preserve"> — separate OLTC and planted forest out of the starting mask</w:t>
      </w:r>
    </w:p>
    <w:p>
      <w:pPr>
        <w:pStyle w:val="ListNumber"/>
      </w:pPr>
      <w:r>
        <w:rPr>
          <w:b/>
          <w:i w:val="0"/>
          <w:sz w:val="20"/>
        </w:rPr>
        <w:t>Subtract human influence</w:t>
      </w:r>
      <w:r>
        <w:rPr>
          <w:b w:val="0"/>
          <w:i w:val="0"/>
          <w:sz w:val="20"/>
        </w:rPr>
        <w:t xml:space="preserve"> — buffer exclusions around built-up areas, agriculture, and roads, with exceptions for steep slopes and long-protected areas</w:t>
      </w:r>
    </w:p>
    <w:p>
      <w:pPr>
        <w:pStyle w:val="ListNumber"/>
      </w:pPr>
      <w:r>
        <w:rPr>
          <w:b/>
          <w:i w:val="0"/>
          <w:sz w:val="20"/>
        </w:rPr>
        <w:t>Refine output</w:t>
      </w:r>
      <w:r>
        <w:rPr>
          <w:b w:val="0"/>
          <w:i w:val="0"/>
          <w:sz w:val="20"/>
        </w:rPr>
        <w:t xml:space="preserve"> — remove small isolated patches and thin sections</w:t>
      </w:r>
    </w:p>
    <w:p>
      <w:r>
        <w:rPr>
          <w:b w:val="0"/>
          <w:i w:val="0"/>
          <w:sz w:val="20"/>
        </w:rPr>
        <w:t>National data can replace, add to, or be intersected with any global layer at each step.</w:t>
      </w:r>
    </w:p>
    <w:p>
      <w:pPr>
        <w:pStyle w:val="Heading1"/>
      </w:pPr>
      <w:r>
        <w:rPr>
          <w:rFonts w:ascii="Calibri" w:hAnsi="Calibri"/>
        </w:rPr>
        <w:t>Section 1 — Time Period</w:t>
      </w:r>
    </w:p>
    <w:p>
      <w:r>
        <w:rPr>
          <w:b w:val="0"/>
          <w:i w:val="0"/>
          <w:sz w:val="20"/>
        </w:rPr>
        <w:t>No datasets selected here. You pick the analysis year(s); each dataset is then loaded for the corresponding time step (or its nearest available year).</w:t>
      </w:r>
    </w:p>
    <w:p>
      <w:pPr>
        <w:pStyle w:val="Heading1"/>
      </w:pPr>
      <w:r>
        <w:rPr>
          <w:rFonts w:ascii="Calibri" w:hAnsi="Calibri"/>
        </w:rPr>
        <w:t>Section 2 — Tree Cover</w:t>
      </w:r>
    </w:p>
    <w:p>
      <w:r>
        <w:rPr>
          <w:b w:val="0"/>
          <w:i w:val="0"/>
          <w:sz w:val="20"/>
        </w:rPr>
        <w:t>The starting tree-cover mask. Choose one source — the other can be loaded as a comparison.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GLAD GLCLU v2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(default)</w:t>
            </w:r>
            <w:r>
              <w:br/>
            </w:r>
            <w:r>
              <w:rPr>
                <w:b w:val="0"/>
                <w:i/>
                <w:sz w:val="18"/>
              </w:rPr>
              <w:t>Global 30 m land cover and land use with per-pixel tree-height estimates at 6 time steps from 1990 to 2020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Tree height from satellite imagery → tree-cover mask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Potapov et al. (2022). </w:t>
            </w:r>
            <w:hyperlink r:id="rId10">
              <w:r>
                <w:rPr>
                  <w:color w:val="0563C1"/>
                  <w:u w:val="single"/>
                  <w:sz w:val="18"/>
                </w:rPr>
                <w:t xml:space="preserve">doi:10.3389/frsen.2022.856903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11">
              <w:r>
                <w:rPr>
                  <w:color w:val="0563C1"/>
                  <w:u w:val="single"/>
                  <w:sz w:val="18"/>
                </w:rPr>
                <w:t xml:space="preserve">glad.umd.edu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Hansen Global Forest Change v1.12</w:t>
            </w:r>
            <w:r>
              <w:br/>
            </w:r>
            <w:r>
              <w:rPr>
                <w:b w:val="0"/>
                <w:i/>
                <w:sz w:val="18"/>
              </w:rPr>
              <w:t>Global 30 m tree-cover-2000 layer plus annual forest loss year, updated annually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Tree-cover-2000 + annual loss; alternative tree-cover mask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Hansen et al. (2013). </w:t>
            </w:r>
            <w:hyperlink r:id="rId12">
              <w:r>
                <w:rPr>
                  <w:color w:val="0563C1"/>
                  <w:u w:val="single"/>
                  <w:sz w:val="18"/>
                </w:rPr>
                <w:t xml:space="preserve">doi:10.1126/science.1244693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13">
              <w:r>
                <w:rPr>
                  <w:color w:val="0563C1"/>
                  <w:u w:val="single"/>
                  <w:sz w:val="18"/>
                </w:rPr>
                <w:t xml:space="preserve">glad.umd.edu</w:t>
              </w:r>
            </w:hyperlink>
          </w:p>
        </w:tc>
      </w:tr>
    </w:tbl>
    <w:p/>
    <w:p>
      <w:r>
        <w:rPr>
          <w:b w:val="0"/>
          <w:i w:val="0"/>
          <w:sz w:val="20"/>
        </w:rPr>
        <w:t>→ Output of this section: a binary tree-cover mask for the chosen year.</w:t>
      </w:r>
    </w:p>
    <w:p>
      <w:r>
        <w:rPr>
          <w:b w:val="0"/>
          <w:i w:val="0"/>
          <w:sz w:val="20"/>
        </w:rPr>
        <w:t>Why two options? There are not many high-resolution tree-cover datasets covering the time period needed — GLAD and Hansen are the two practical global choices. National data can also be plugged in here.</w:t>
      </w:r>
    </w:p>
    <w:p>
      <w:pPr>
        <w:pStyle w:val="Heading2"/>
      </w:pPr>
      <w:r>
        <w:rPr>
          <w:rFonts w:ascii="Calibri" w:hAnsi="Calibri"/>
        </w:rPr>
        <w:t>Section 2 — Refine input *(optional, experimental)*</w:t>
      </w:r>
    </w:p>
    <w:p>
      <w:r>
        <w:rPr>
          <w:b w:val="0"/>
          <w:i w:val="0"/>
          <w:sz w:val="20"/>
        </w:rPr>
        <w:t>Narrows the tree-cover mask into the FRA Forest definition by subtracting two categories. Off by default.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Toggle</w:t>
            </w:r>
          </w:p>
        </w:tc>
        <w:tc>
          <w:tcPr>
            <w:tcW w:type="dxa" w:w="2628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Datasets</w:t>
            </w:r>
          </w:p>
        </w:tc>
        <w:tc>
          <w:tcPr>
            <w:tcW w:type="dxa" w:w="2628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2628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2628"/>
          </w:tcPr>
          <w:p>
            <w:r/>
            <w:r>
              <w:rPr>
                <w:b/>
                <w:i w:val="0"/>
                <w:sz w:val="18"/>
              </w:rPr>
              <w:t>Exclude OLTC</w:t>
            </w:r>
            <w:r>
              <w:rPr>
                <w:b w:val="0"/>
                <w:i w:val="0"/>
                <w:sz w:val="18"/>
              </w:rPr>
              <w:t xml:space="preserve"> (oil palm / orchards / agroforestry)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>SDPT v2 class 2; Descals Oil Palm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>Pixels with tree cover but not FRA Forest (Note 10) are split out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 xml:space="preserve">Richter et al. (2024) — </w:t>
            </w:r>
            <w:hyperlink r:id="rId14">
              <w:r>
                <w:rPr>
                  <w:color w:val="0563C1"/>
                  <w:u w:val="single"/>
                  <w:sz w:val="18"/>
                </w:rPr>
                <w:t xml:space="preserve">WRI SDPT v2</w:t>
              </w:r>
            </w:hyperlink>
            <w:r>
              <w:rPr>
                <w:b w:val="0"/>
                <w:i w:val="0"/>
                <w:sz w:val="18"/>
              </w:rPr>
              <w:t xml:space="preserve">; Descals et al. (2024), </w:t>
            </w:r>
            <w:hyperlink r:id="rId15">
              <w:r>
                <w:rPr>
                  <w:color w:val="0563C1"/>
                  <w:u w:val="single"/>
                  <w:sz w:val="18"/>
                </w:rPr>
                <w:t xml:space="preserve">doi:10.5194/essd-16-5111-2024</w:t>
              </w:r>
            </w:hyperlink>
          </w:p>
        </w:tc>
      </w:tr>
      <w:tr>
        <w:tc>
          <w:tcPr>
            <w:tcW w:type="dxa" w:w="2628"/>
          </w:tcPr>
          <w:p>
            <w:r/>
            <w:r>
              <w:rPr>
                <w:b/>
                <w:i w:val="0"/>
                <w:sz w:val="18"/>
              </w:rPr>
              <w:t>Exclude planted forest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>SDPT v2 class 1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>FRA Planted Forest (timber, pulp, fibre) is split out so the remainder is naturally regenerating forest</w:t>
            </w:r>
          </w:p>
        </w:tc>
        <w:tc>
          <w:tcPr>
            <w:tcW w:type="dxa" w:w="2628"/>
          </w:tcPr>
          <w:p>
            <w:r/>
            <w:r>
              <w:rPr>
                <w:b w:val="0"/>
                <w:i w:val="0"/>
                <w:sz w:val="18"/>
              </w:rPr>
              <w:t xml:space="preserve">Richter et al. (2024) — </w:t>
            </w:r>
            <w:hyperlink r:id="rId14">
              <w:r>
                <w:rPr>
                  <w:color w:val="0563C1"/>
                  <w:u w:val="single"/>
                  <w:sz w:val="18"/>
                </w:rPr>
                <w:t xml:space="preserve">WRI SDPT v2</w:t>
              </w:r>
            </w:hyperlink>
          </w:p>
        </w:tc>
      </w:tr>
    </w:tbl>
    <w:p/>
    <w:p>
      <w:r>
        <w:rPr>
          <w:b w:val="0"/>
          <w:i/>
          <w:sz w:val="20"/>
        </w:rPr>
        <w:t>Used twice: SDPT v2 and Descals Oil Palm also appear in Section 3 (agriculture buffer), since FRA classifies tree crops and oil palm as agricultural land use.</w:t>
      </w:r>
    </w:p>
    <w:p>
      <w:pPr>
        <w:pStyle w:val="Heading1"/>
      </w:pPr>
      <w:r>
        <w:rPr>
          <w:rFonts w:ascii="Calibri" w:hAnsi="Calibri"/>
        </w:rPr>
        <w:t>Section 3 — Human Influence</w:t>
      </w:r>
    </w:p>
    <w:p>
      <w:r>
        <w:rPr>
          <w:b w:val="0"/>
          <w:i w:val="0"/>
          <w:sz w:val="20"/>
        </w:rPr>
        <w:t>Buffer exclusions: pixels of the tree-cover/forest mask near human activity are subtracted from the candidate primary forest.</w:t>
      </w:r>
    </w:p>
    <w:p>
      <w:pPr>
        <w:pStyle w:val="Heading2"/>
      </w:pPr>
      <w:r>
        <w:rPr>
          <w:rFonts w:ascii="Calibri" w:hAnsi="Calibri"/>
        </w:rPr>
        <w:t>Built-up buffer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JRC GHSL — Settlement Model (SMOD) + Population (POP) P2023A</w:t>
            </w:r>
            <w:r>
              <w:br/>
            </w:r>
            <w:r>
              <w:rPr>
                <w:b w:val="0"/>
                <w:i/>
                <w:sz w:val="18"/>
              </w:rPr>
              <w:t>Built-up classification distinguishing small settlements from larger urban areas, masked by population presence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Used twice: small built-up and larger urban areas (separately buffered), masked by population presence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Pesaresi et al. (2024). </w:t>
            </w:r>
            <w:hyperlink r:id="rId16">
              <w:r>
                <w:rPr>
                  <w:color w:val="0563C1"/>
                  <w:u w:val="single"/>
                  <w:sz w:val="18"/>
                </w:rPr>
                <w:t xml:space="preserve">doi:10.1080/17538947.2024.2390454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17">
              <w:r>
                <w:rPr>
                  <w:color w:val="0563C1"/>
                  <w:u w:val="single"/>
                  <w:sz w:val="18"/>
                </w:rPr>
                <w:t xml:space="preserve">GHSL site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DLR World Settlement Footprint Evolution</w:t>
            </w:r>
            <w:r>
              <w:br/>
            </w:r>
            <w:r>
              <w:rPr>
                <w:b w:val="0"/>
                <w:i/>
                <w:sz w:val="18"/>
              </w:rPr>
              <w:t>Annual 30 m global settlement footprint from 1985 to 2015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Combined with the small built-up class to extend built-up extent backward to 1985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Marconcini et al. (2020). </w:t>
            </w:r>
            <w:hyperlink r:id="rId18">
              <w:r>
                <w:rPr>
                  <w:color w:val="0563C1"/>
                  <w:u w:val="single"/>
                  <w:sz w:val="18"/>
                </w:rPr>
                <w:t xml:space="preserve">doi:10.1038/s41597-020-00580-5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19">
              <w:r>
                <w:rPr>
                  <w:color w:val="0563C1"/>
                  <w:u w:val="single"/>
                  <w:sz w:val="18"/>
                </w:rPr>
                <w:t xml:space="preserve">DLR WSF EVO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/>
        </w:rPr>
        <w:t>Agriculture buffer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GLAD Cropland (Potapov)</w:t>
            </w:r>
            <w:r>
              <w:br/>
            </w:r>
            <w:r>
              <w:rPr>
                <w:b w:val="0"/>
                <w:i/>
                <w:sz w:val="18"/>
              </w:rPr>
              <w:t>Global 30 m cropland presence at multiple time steps between 2000 and 2019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Cropland presence at multiple time steps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Potapov et al. (2022). </w:t>
            </w:r>
            <w:hyperlink r:id="rId20">
              <w:r>
                <w:rPr>
                  <w:color w:val="0563C1"/>
                  <w:u w:val="single"/>
                  <w:sz w:val="18"/>
                </w:rPr>
                <w:t xml:space="preserve">doi:10.1038/s43016-021-00429-z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21">
              <w:r>
                <w:rPr>
                  <w:color w:val="0563C1"/>
                  <w:u w:val="single"/>
                  <w:sz w:val="18"/>
                </w:rPr>
                <w:t xml:space="preserve">glad.umd.edu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Global Pasture Watch v1</w:t>
            </w:r>
            <w:r>
              <w:br/>
            </w:r>
            <w:r>
              <w:rPr>
                <w:b w:val="0"/>
                <w:i/>
                <w:sz w:val="18"/>
              </w:rPr>
              <w:t>Annual 30 m grassland map separating cultivated from natural/semi-natural grasslands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Cultivated grassland only — natural grasslands are not excluded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Parente et al. (2024). </w:t>
            </w:r>
            <w:hyperlink r:id="rId22">
              <w:r>
                <w:rPr>
                  <w:color w:val="0563C1"/>
                  <w:u w:val="single"/>
                  <w:sz w:val="18"/>
                </w:rPr>
                <w:t xml:space="preserve">doi:10.1038/s41597-024-04139-6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23">
              <w:r>
                <w:rPr>
                  <w:color w:val="0563C1"/>
                  <w:u w:val="single"/>
                  <w:sz w:val="18"/>
                </w:rPr>
                <w:t xml:space="preserve">WRI / GitHub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Descals Oil Palm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(also in Section 2 refine)</w:t>
            </w:r>
            <w:r>
              <w:br/>
            </w:r>
            <w:r>
              <w:rPr>
                <w:b w:val="0"/>
                <w:i/>
                <w:sz w:val="18"/>
              </w:rPr>
              <w:t>Global per-pixel year of oil palm establishment from 1990 to 2021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Oil palm extent enters the agriculture composite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Descals et al. (2024). </w:t>
            </w:r>
            <w:hyperlink r:id="rId15">
              <w:r>
                <w:rPr>
                  <w:color w:val="0563C1"/>
                  <w:u w:val="single"/>
                  <w:sz w:val="18"/>
                </w:rPr>
                <w:t xml:space="preserve">doi:10.5194/essd-16-5111-2024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24">
              <w:r>
                <w:rPr>
                  <w:color w:val="0563C1"/>
                  <w:u w:val="single"/>
                  <w:sz w:val="18"/>
                </w:rPr>
                <w:t xml:space="preserve">Catalog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SDPT v2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 w:val="0"/>
                <w:i/>
                <w:sz w:val="18"/>
              </w:rPr>
              <w:t>(also in Section 2 refine)</w:t>
            </w:r>
            <w:r>
              <w:br/>
            </w:r>
            <w:r>
              <w:rPr>
                <w:b w:val="0"/>
                <w:i/>
                <w:sz w:val="18"/>
              </w:rPr>
              <w:t>Global polygons of planted trees, separating planted forest from tree crops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Tree-crop class (class 2) enters the agriculture composite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Richter et al. (2024). </w:t>
            </w:r>
            <w:hyperlink r:id="rId14">
              <w:r>
                <w:rPr>
                  <w:color w:val="0563C1"/>
                  <w:u w:val="single"/>
                  <w:sz w:val="18"/>
                </w:rPr>
                <w:t xml:space="preserve">WRI SDPT v2</w:t>
              </w:r>
            </w:hyperlink>
          </w:p>
        </w:tc>
      </w:tr>
    </w:tbl>
    <w:p/>
    <w:p>
      <w:pPr>
        <w:pStyle w:val="Heading2"/>
      </w:pPr>
      <w:r>
        <w:rPr>
          <w:rFonts w:ascii="Calibri" w:hAnsi="Calibri"/>
        </w:rPr>
        <w:t>Roads buffer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OSM Roads (PFF 33-region merge)</w:t>
            </w:r>
            <w:r>
              <w:br/>
            </w:r>
            <w:r>
              <w:rPr>
                <w:b w:val="0"/>
                <w:i/>
                <w:sz w:val="18"/>
              </w:rPr>
              <w:t>OpenStreetMap road network collected globally in May 2025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Active road raster — global OpenStreetMap collected May 2025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© OpenStreetMap contributors (2025), ODbL 1.0. </w:t>
            </w:r>
            <w:hyperlink r:id="rId25">
              <w:r>
                <w:rPr>
                  <w:color w:val="0563C1"/>
                  <w:u w:val="single"/>
                  <w:sz w:val="18"/>
                </w:rPr>
                <w:t xml:space="preserve">openstreetmap.org</w:t>
              </w:r>
            </w:hyperlink>
          </w:p>
        </w:tc>
      </w:tr>
    </w:tbl>
    <w:p/>
    <w:p>
      <w:r>
        <w:rPr>
          <w:b w:val="0"/>
          <w:i/>
          <w:sz w:val="20"/>
        </w:rPr>
        <w:t>Note: GRIP4 with predicted traffic is in the codebase but currently switched off — see backup section.</w:t>
      </w:r>
    </w:p>
    <w:p>
      <w:pPr>
        <w:pStyle w:val="Heading2"/>
      </w:pPr>
      <w:r>
        <w:rPr>
          <w:rFonts w:ascii="Calibri" w:hAnsi="Calibri"/>
        </w:rPr>
        <w:t>Buffer Exceptions</w:t>
      </w:r>
    </w:p>
    <w:p>
      <w:r>
        <w:rPr>
          <w:b w:val="0"/>
          <w:i w:val="0"/>
          <w:sz w:val="20"/>
        </w:rPr>
        <w:t>Forest in the buffered area is rescued back into the candidate primary forest if either condition holds.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JAXA ALOS World 3D-30m DSM v3.2</w:t>
            </w:r>
            <w:r>
              <w:br/>
            </w:r>
            <w:r>
              <w:rPr>
                <w:b w:val="0"/>
                <w:i/>
                <w:sz w:val="18"/>
              </w:rPr>
              <w:t>Global 30 m digital surface model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Used twice: source of the slope-rescue layer AND exported as DEM/slope sidecar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Tadono et al. (2016). </w:t>
            </w:r>
            <w:hyperlink r:id="rId26">
              <w:r>
                <w:rPr>
                  <w:color w:val="0563C1"/>
                  <w:u w:val="single"/>
                  <w:sz w:val="18"/>
                </w:rPr>
                <w:t xml:space="preserve">doi:10.5194/isprs-archives-XLI-B4-157-2016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27">
              <w:r>
                <w:rPr>
                  <w:color w:val="0563C1"/>
                  <w:u w:val="single"/>
                  <w:sz w:val="18"/>
                </w:rPr>
                <w:t xml:space="preserve">JAXA AW3D30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WDPA — World Database on Protected Areas</w:t>
            </w:r>
            <w:r>
              <w:br/>
            </w:r>
            <w:r>
              <w:rPr>
                <w:b w:val="0"/>
                <w:i/>
                <w:sz w:val="18"/>
              </w:rPr>
              <w:t>Global protected-area polygons with IUCN category and year of designation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Long-designated strictly protected areas qualify forest for rescue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UNEP-WCMC &amp; IUCN (2026). </w:t>
            </w:r>
            <w:hyperlink r:id="rId28">
              <w:r>
                <w:rPr>
                  <w:color w:val="0563C1"/>
                  <w:u w:val="single"/>
                  <w:sz w:val="18"/>
                </w:rPr>
                <w:t xml:space="preserve">doi:10.34892/6fwd-af11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29">
              <w:r>
                <w:rPr>
                  <w:color w:val="0563C1"/>
                  <w:u w:val="single"/>
                  <w:sz w:val="18"/>
                </w:rPr>
                <w:t xml:space="preserve">Protected Planet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Section 4 — Refine Output</w:t>
      </w:r>
    </w:p>
    <w:p>
      <w:r>
        <w:rPr>
          <w:b w:val="0"/>
          <w:i w:val="0"/>
          <w:sz w:val="20"/>
        </w:rPr>
        <w:t>A spatial filter: removes small isolated patches and thin sections. No new datasets are introduced here — it operates on the candidate map produced by Section 3.</w:t>
      </w:r>
    </w:p>
    <w:p>
      <w:pPr>
        <w:pStyle w:val="Heading1"/>
      </w:pPr>
      <w:r>
        <w:rPr>
          <w:rFonts w:ascii="Calibri" w:hAnsi="Calibri"/>
        </w:rPr>
        <w:t>Reference layers (overlays only, not in analysis)</w:t>
      </w:r>
    </w:p>
    <w:p>
      <w:r>
        <w:rPr>
          <w:b w:val="0"/>
          <w:i w:val="0"/>
          <w:sz w:val="20"/>
        </w:rPr>
        <w:t>Optional overlays toggled in the Validation panel.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Forest Landscape Integrity Index (FLII) 2019</w:t>
            </w:r>
            <w:r>
              <w:br/>
            </w:r>
            <w:r>
              <w:rPr>
                <w:b w:val="0"/>
                <w:i/>
                <w:sz w:val="18"/>
              </w:rPr>
              <w:t>0–10 score per ~300 m pixel summarising landscape-scale forest integrity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Landscape-scale integrity score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Grantham et al. (2020). </w:t>
            </w:r>
            <w:hyperlink r:id="rId30">
              <w:r>
                <w:rPr>
                  <w:color w:val="0563C1"/>
                  <w:u w:val="single"/>
                  <w:sz w:val="18"/>
                </w:rPr>
                <w:t xml:space="preserve">doi:10.1038/s41467-020-19493-3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31">
              <w:r>
                <w:rPr>
                  <w:color w:val="0563C1"/>
                  <w:u w:val="single"/>
                  <w:sz w:val="18"/>
                </w:rPr>
                <w:t xml:space="preserve">forestintegrity.com</w:t>
              </w:r>
            </w:hyperlink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FDaP Forest Persistence 2020</w:t>
            </w:r>
            <w:r>
              <w:br/>
            </w:r>
            <w:r>
              <w:rPr>
                <w:b w:val="0"/>
                <w:i/>
                <w:sz w:val="18"/>
              </w:rPr>
              <w:t>Per-pixel 0–1 probability of continuous forest cover at 2020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Per-pixel probability of continuous forest cover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Forest Data Partnership / Google (2024). </w:t>
            </w:r>
            <w:hyperlink r:id="rId32">
              <w:r>
                <w:rPr>
                  <w:color w:val="0563C1"/>
                  <w:u w:val="single"/>
                  <w:sz w:val="18"/>
                </w:rPr>
                <w:t xml:space="preserve">forestdatapartnership.org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Country &amp; area boundaries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504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i w:val="0"/>
                <w:sz w:val="18"/>
              </w:rPr>
              <w:t>FAO GAUL 2024 (Level 0)</w:t>
            </w:r>
            <w:r>
              <w:br/>
            </w:r>
            <w:r>
              <w:rPr>
                <w:b w:val="0"/>
                <w:i/>
                <w:sz w:val="18"/>
              </w:rPr>
              <w:t>Global country boundary polygons maintained by FAO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>Country boundaries + clipping; drives the country selector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i w:val="0"/>
                <w:sz w:val="18"/>
              </w:rPr>
              <w:t xml:space="preserve">FAO (2024). </w:t>
            </w:r>
            <w:hyperlink r:id="rId33">
              <w:r>
                <w:rPr>
                  <w:color w:val="0563C1"/>
                  <w:u w:val="single"/>
                  <w:sz w:val="18"/>
                </w:rPr>
                <w:t xml:space="preserve">FAO catalog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Summary — pipeline at a glance</w:t>
      </w:r>
    </w:p>
    <w:p>
      <w:r>
        <w:rPr>
          <w:rFonts w:ascii="Consolas" w:hAnsi="Consolas"/>
          <w:sz w:val="16"/>
        </w:rPr>
        <w:t>SECTION 2: Tree Cover           (GLAD or Hansen)</w:t>
        <w:br/>
      </w:r>
      <w:r>
        <w:rPr>
          <w:rFonts w:ascii="Consolas" w:hAnsi="Consolas"/>
          <w:sz w:val="16"/>
        </w:rPr>
        <w:t xml:space="preserve">   + (optional) Refine input:</w:t>
        <w:br/>
      </w:r>
      <w:r>
        <w:rPr>
          <w:rFonts w:ascii="Consolas" w:hAnsi="Consolas"/>
          <w:sz w:val="16"/>
        </w:rPr>
        <w:t xml:space="preserve">       – Exclude OLTC           (SDPT class 2 + Descals oil palm)</w:t>
        <w:br/>
      </w:r>
      <w:r>
        <w:rPr>
          <w:rFonts w:ascii="Consolas" w:hAnsi="Consolas"/>
          <w:sz w:val="16"/>
        </w:rPr>
        <w:t xml:space="preserve">       – Exclude Planted Forest (SDPT class 1)</w:t>
        <w:br/>
      </w:r>
      <w:r>
        <w:rPr>
          <w:rFonts w:ascii="Consolas" w:hAnsi="Consolas"/>
          <w:sz w:val="16"/>
        </w:rPr>
        <w:t>SECTION 3: Human Influence (buffer exclusions)</w:t>
        <w:br/>
      </w:r>
      <w:r>
        <w:rPr>
          <w:rFonts w:ascii="Consolas" w:hAnsi="Consolas"/>
          <w:sz w:val="16"/>
        </w:rPr>
        <w:t xml:space="preserve">   – Built-up buffer            (GHSL + WSF Evolution)</w:t>
        <w:br/>
      </w:r>
      <w:r>
        <w:rPr>
          <w:rFonts w:ascii="Consolas" w:hAnsi="Consolas"/>
          <w:sz w:val="16"/>
        </w:rPr>
        <w:t xml:space="preserve">   – Agriculture buffer         (GLAD Cropland + Pasture Watch</w:t>
        <w:br/>
      </w:r>
      <w:r>
        <w:rPr>
          <w:rFonts w:ascii="Consolas" w:hAnsi="Consolas"/>
          <w:sz w:val="16"/>
        </w:rPr>
        <w:t xml:space="preserve">                                 + Descals + SDPT class 2)</w:t>
        <w:br/>
      </w:r>
      <w:r>
        <w:rPr>
          <w:rFonts w:ascii="Consolas" w:hAnsi="Consolas"/>
          <w:sz w:val="16"/>
        </w:rPr>
        <w:t xml:space="preserve">   – Roads buffer               (OSM)</w:t>
        <w:br/>
      </w:r>
      <w:r>
        <w:rPr>
          <w:rFonts w:ascii="Consolas" w:hAnsi="Consolas"/>
          <w:sz w:val="16"/>
        </w:rPr>
        <w:t xml:space="preserve">   + Buffer Exceptions (rescues):</w:t>
        <w:br/>
      </w:r>
      <w:r>
        <w:rPr>
          <w:rFonts w:ascii="Consolas" w:hAnsi="Consolas"/>
          <w:sz w:val="16"/>
        </w:rPr>
        <w:t xml:space="preserve">       + Steep slopes           (JAXA ALOS)</w:t>
        <w:br/>
      </w:r>
      <w:r>
        <w:rPr>
          <w:rFonts w:ascii="Consolas" w:hAnsi="Consolas"/>
          <w:sz w:val="16"/>
        </w:rPr>
        <w:t xml:space="preserve">       + Long-protected areas   (WDPA)</w:t>
        <w:br/>
      </w:r>
      <w:r>
        <w:rPr>
          <w:rFonts w:ascii="Consolas" w:hAnsi="Consolas"/>
          <w:sz w:val="16"/>
        </w:rPr>
        <w:t>SECTION 4: Refine Output</w:t>
        <w:br/>
      </w:r>
      <w:r>
        <w:rPr>
          <w:rFonts w:ascii="Consolas" w:hAnsi="Consolas"/>
          <w:sz w:val="16"/>
        </w:rPr>
        <w:t xml:space="preserve">   – remove small / thin patches</w:t>
        <w:br/>
      </w:r>
      <w:r>
        <w:rPr>
          <w:rFonts w:ascii="Consolas" w:hAnsi="Consolas"/>
          <w:sz w:val="16"/>
        </w:rPr>
        <w:t xml:space="preserve">   ══════════════════════════════════════</w:t>
        <w:br/>
      </w:r>
      <w:r>
        <w:rPr>
          <w:rFonts w:ascii="Consolas" w:hAnsi="Consolas"/>
          <w:sz w:val="16"/>
        </w:rPr>
        <w:t xml:space="preserve">   = Primary Forest candidates</w:t>
        <w:br/>
      </w:r>
    </w:p>
    <w:p>
      <w:pPr>
        <w:pStyle w:val="Title"/>
      </w:pPr>
      <w:r>
        <w:rPr>
          <w:rFonts w:ascii="Calibri" w:hAnsi="Calibri"/>
        </w:rPr>
        <w:t>Backup — datasets in the tool but switched off</w:t>
      </w:r>
    </w:p>
    <w:p>
      <w:r>
        <w:rPr>
          <w:b w:val="0"/>
          <w:i w:val="0"/>
          <w:sz w:val="20"/>
        </w:rPr>
        <w:t>Wired into the code but currently disabled. Can be re-enabled for workshops or experimentation.</w:t>
      </w:r>
    </w:p>
    <w:p>
      <w:pPr>
        <w:pStyle w:val="Heading1"/>
      </w:pPr>
      <w:r>
        <w:rPr>
          <w:rFonts w:ascii="Calibri" w:hAnsi="Calibri"/>
        </w:rPr>
        <w:t>Section 3 — Roads buffer (alternatives)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GRIP4 + AADT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Meijer et al. (2018). </w:t>
            </w:r>
            <w:hyperlink r:id="rId34">
              <w:r>
                <w:rPr>
                  <w:color w:val="0563C1"/>
                  <w:u w:val="single"/>
                  <w:sz w:val="18"/>
                </w:rPr>
                <w:t xml:space="preserve">doi:10.1088/1748-9326/aabd42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35">
              <w:r>
                <w:rPr>
                  <w:color w:val="0563C1"/>
                  <w:u w:val="single"/>
                  <w:sz w:val="18"/>
                </w:rPr>
                <w:t xml:space="preserve">GLOBIO GRIP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USA TIGER Roads</w:t>
            </w:r>
          </w:p>
        </w:tc>
        <w:tc>
          <w:tcPr>
            <w:tcW w:type="dxa" w:w="5256"/>
          </w:tcPr>
          <w:p>
            <w:r/>
            <w:hyperlink r:id="rId36">
              <w:r>
                <w:rPr>
                  <w:color w:val="0563C1"/>
                  <w:u w:val="single"/>
                  <w:sz w:val="18"/>
                </w:rPr>
                <w:t xml:space="preserve">US Census TIGER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WUR Congo Basin Logging Roads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Kleinschroth et al. (2019). </w:t>
            </w:r>
            <w:hyperlink r:id="rId37">
              <w:r>
                <w:rPr>
                  <w:color w:val="0563C1"/>
                  <w:u w:val="single"/>
                  <w:sz w:val="18"/>
                </w:rPr>
                <w:t xml:space="preserve">doi:10.1038/s41893-019-0310-6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Microsoft Global Roads</w:t>
            </w:r>
          </w:p>
        </w:tc>
        <w:tc>
          <w:tcPr>
            <w:tcW w:type="dxa" w:w="5256"/>
          </w:tcPr>
          <w:p>
            <w:r/>
            <w:hyperlink r:id="rId38">
              <w:r>
                <w:rPr>
                  <w:color w:val="0563C1"/>
                  <w:u w:val="single"/>
                  <w:sz w:val="18"/>
                </w:rPr>
                <w:t xml:space="preserve">Microsoft RoadDetections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Ghost Roads Asia / New Guinea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Engert et al. (2024). </w:t>
            </w:r>
            <w:hyperlink r:id="rId39">
              <w:r>
                <w:rPr>
                  <w:color w:val="0563C1"/>
                  <w:u w:val="single"/>
                  <w:sz w:val="18"/>
                </w:rPr>
                <w:t xml:space="preserve">doi:10.1038/s41586-024-07303-5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MapBiomas Brazil Roads</w:t>
            </w:r>
          </w:p>
        </w:tc>
        <w:tc>
          <w:tcPr>
            <w:tcW w:type="dxa" w:w="5256"/>
          </w:tcPr>
          <w:p>
            <w:r/>
            <w:hyperlink r:id="rId40">
              <w:r>
                <w:rPr>
                  <w:color w:val="0563C1"/>
                  <w:u w:val="single"/>
                  <w:sz w:val="18"/>
                </w:rPr>
                <w:t xml:space="preserve">MapBiomas Brazil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Section 3 — Disturbance composite (alternative)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JRC TMF v1_2025 — Deforestation Year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Vancutsem et al. (2021). </w:t>
            </w:r>
            <w:hyperlink r:id="rId41">
              <w:r>
                <w:rPr>
                  <w:color w:val="0563C1"/>
                  <w:u w:val="single"/>
                  <w:sz w:val="18"/>
                </w:rPr>
                <w:t xml:space="preserve">doi:10.1126/sciadv.abe1603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42">
              <w:r>
                <w:rPr>
                  <w:color w:val="0563C1"/>
                  <w:u w:val="single"/>
                  <w:sz w:val="18"/>
                </w:rPr>
                <w:t xml:space="preserve">JRC TMF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Section 3 — Built-up buffer (alternatives)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GISD30 1985–2020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Zhang et al. (2022). </w:t>
            </w:r>
            <w:hyperlink r:id="rId43">
              <w:r>
                <w:rPr>
                  <w:color w:val="0563C1"/>
                  <w:u w:val="single"/>
                  <w:sz w:val="18"/>
                </w:rPr>
                <w:t xml:space="preserve">doi:10.5194/essd-14-1831-2022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44">
              <w:r>
                <w:rPr>
                  <w:color w:val="0563C1"/>
                  <w:u w:val="single"/>
                  <w:sz w:val="18"/>
                </w:rPr>
                <w:t xml:space="preserve">Catalog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GISA 1972–2019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Huang et al. (2021). </w:t>
            </w:r>
            <w:hyperlink r:id="rId45">
              <w:r>
                <w:rPr>
                  <w:color w:val="0563C1"/>
                  <w:u w:val="single"/>
                  <w:sz w:val="18"/>
                </w:rPr>
                <w:t xml:space="preserve">doi:10.1007/s11430-020-9797-9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46">
              <w:r>
                <w:rPr>
                  <w:color w:val="0563C1"/>
                  <w:u w:val="single"/>
                  <w:sz w:val="18"/>
                </w:rPr>
                <w:t xml:space="preserve">Catalog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DLR WSF 2015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Marconcini et al. (2020). </w:t>
            </w:r>
            <w:hyperlink r:id="rId18">
              <w:r>
                <w:rPr>
                  <w:color w:val="0563C1"/>
                  <w:u w:val="single"/>
                  <w:sz w:val="18"/>
                </w:rPr>
                <w:t xml:space="preserve">doi:10.1038/s41597-020-00580-5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47">
              <w:r>
                <w:rPr>
                  <w:color w:val="0563C1"/>
                  <w:u w:val="single"/>
                  <w:sz w:val="18"/>
                </w:rPr>
                <w:t xml:space="preserve">DLR WSF 2015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DLR WSF 2019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Marconcini et al. (2021). </w:t>
            </w:r>
            <w:hyperlink r:id="rId48">
              <w:r>
                <w:rPr>
                  <w:color w:val="0563C1"/>
                  <w:u w:val="single"/>
                  <w:sz w:val="18"/>
                </w:rPr>
                <w:t xml:space="preserve">doi:10.1553/giscience2021_01_s33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49">
              <w:r>
                <w:rPr>
                  <w:color w:val="0563C1"/>
                  <w:u w:val="single"/>
                  <w:sz w:val="18"/>
                </w:rPr>
                <w:t xml:space="preserve">DLR WSF 2019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Section 3 — Agriculture buffer (alternative)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GLC_FCS30D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Zhang et al. (2024). </w:t>
            </w:r>
            <w:hyperlink r:id="rId50">
              <w:r>
                <w:rPr>
                  <w:color w:val="0563C1"/>
                  <w:u w:val="single"/>
                  <w:sz w:val="18"/>
                </w:rPr>
                <w:t xml:space="preserve">doi:10.5194/essd-16-1353-2024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51">
              <w:r>
                <w:rPr>
                  <w:color w:val="0563C1"/>
                  <w:u w:val="single"/>
                  <w:sz w:val="18"/>
                </w:rPr>
                <w:t xml:space="preserve">Catalog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Section 2 refine input — Plantations (alternatives)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FDAP Palm 2024a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Forest Data Partnership / Google (2024). </w:t>
            </w:r>
            <w:hyperlink r:id="rId52">
              <w:r>
                <w:rPr>
                  <w:color w:val="0563C1"/>
                  <w:u w:val="single"/>
                  <w:sz w:val="18"/>
                </w:rPr>
                <w:t xml:space="preserve">forestdatapartnership.org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FDAP Rubber 2024a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Forest Data Partnership / Google (2024). </w:t>
            </w:r>
            <w:hyperlink r:id="rId52">
              <w:r>
                <w:rPr>
                  <w:color w:val="0563C1"/>
                  <w:u w:val="single"/>
                  <w:sz w:val="18"/>
                </w:rPr>
                <w:t xml:space="preserve">forestdatapartnership.org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FDAP Cocoa 2024a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Forest Data Partnership / Google (2024). </w:t>
            </w:r>
            <w:hyperlink r:id="rId52">
              <w:r>
                <w:rPr>
                  <w:color w:val="0563C1"/>
                  <w:u w:val="single"/>
                  <w:sz w:val="18"/>
                </w:rPr>
                <w:t xml:space="preserve">forestdatapartnership.org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Population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LandScan Global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Rose et al. (2025). </w:t>
            </w:r>
            <w:hyperlink r:id="rId53">
              <w:r>
                <w:rPr>
                  <w:color w:val="0563C1"/>
                  <w:u w:val="single"/>
                  <w:sz w:val="18"/>
                </w:rPr>
                <w:t xml:space="preserve">doi:10.1038/s41597-025-04817-z</w:t>
              </w:r>
            </w:hyperlink>
            <w:r>
              <w:rPr>
                <w:b w:val="0"/>
                <w:i w:val="0"/>
                <w:sz w:val="18"/>
              </w:rPr>
              <w:t xml:space="preserve">. </w:t>
            </w:r>
            <w:hyperlink r:id="rId54">
              <w:r>
                <w:rPr>
                  <w:color w:val="0563C1"/>
                  <w:u w:val="single"/>
                  <w:sz w:val="18"/>
                </w:rPr>
                <w:t xml:space="preserve">ORNL LandScan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Waterways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OSM Water Layer (canals)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Yamazaki Lab, U-Tokyo. </w:t>
            </w:r>
            <w:hyperlink r:id="rId55">
              <w:r>
                <w:rPr>
                  <w:color w:val="0563C1"/>
                  <w:u w:val="single"/>
                  <w:sz w:val="18"/>
                </w:rPr>
                <w:t xml:space="preserve">OSM Water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PFF Navigable Rivers (WDB)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Custom PFF derivative; original World Data Bank navigable rivers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Navigable Waterways USA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USACE / NOAA navigable waterways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Reference layers (alternatives)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Dataset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Citation &amp; source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WRI SBTN Natural Lands v1.1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Mazur et al. (2025). </w:t>
            </w:r>
            <w:hyperlink r:id="rId56">
              <w:r>
                <w:rPr>
                  <w:color w:val="0563C1"/>
                  <w:u w:val="single"/>
                  <w:sz w:val="18"/>
                </w:rPr>
                <w:t xml:space="preserve">Land &amp; Carbon Lab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European Primary Forests Database v2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Sabatini et al. (2018). </w:t>
            </w:r>
            <w:hyperlink r:id="rId57">
              <w:r>
                <w:rPr>
                  <w:color w:val="0563C1"/>
                  <w:u w:val="single"/>
                  <w:sz w:val="18"/>
                </w:rPr>
                <w:t xml:space="preserve">doi:10.1111/ddi.12778</w:t>
              </w:r>
            </w:hyperlink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Tsinghua DESS China Terrace Map v1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 xml:space="preserve">Cao et al. (2021). </w:t>
            </w:r>
            <w:hyperlink r:id="rId58">
              <w:r>
                <w:rPr>
                  <w:color w:val="0563C1"/>
                  <w:u w:val="single"/>
                  <w:sz w:val="18"/>
                </w:rPr>
                <w:t xml:space="preserve">doi:10.5194/essd-13-2437-2021</w:t>
              </w:r>
            </w:hyperlink>
          </w:p>
        </w:tc>
      </w:tr>
    </w:tbl>
    <w:p/>
    <w:p>
      <w:pPr>
        <w:pStyle w:val="Heading1"/>
      </w:pPr>
      <w:r>
        <w:rPr>
          <w:rFonts w:ascii="Calibri" w:hAnsi="Calibri"/>
        </w:rPr>
        <w:t>Counts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Category</w:t>
            </w:r>
          </w:p>
        </w:tc>
        <w:tc>
          <w:tcPr>
            <w:tcW w:type="dxa" w:w="5256"/>
            <w:shd w:val="clear" w:color="auto" w:fill="DCE6F1"/>
          </w:tcPr>
          <w:p>
            <w:r/>
            <w:r>
              <w:rPr>
                <w:b/>
                <w:color w:val="000000"/>
                <w:sz w:val="20"/>
              </w:rPr>
              <w:t>Count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✅ Actively used in main pipeline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🟠 Loaded but currently off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🔵 Commented-out alternatives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5256"/>
          </w:tcPr>
          <w:p>
            <w:r/>
            <w:r>
              <w:rPr>
                <w:b/>
                <w:i w:val="0"/>
                <w:sz w:val="18"/>
              </w:rPr>
              <w:t>36</w:t>
            </w:r>
          </w:p>
        </w:tc>
      </w:tr>
    </w:tbl>
    <w:p/>
    <w:p>
      <w:r>
        <w:rPr>
          <w:b w:val="0"/>
          <w:i w:val="0"/>
          <w:sz w:val="20"/>
        </w:rPr>
        <w:t>Verified against pff_4.js v4.15.7-beta.1 + QGIS plugin v0.16.0-beta.1 on 2026-05-11.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datasets_global.json" TargetMode="External"/><Relationship Id="rId10" Type="http://schemas.openxmlformats.org/officeDocument/2006/relationships/hyperlink" Target="https://doi.org/10.3389/frsen.2022.856903" TargetMode="External"/><Relationship Id="rId11" Type="http://schemas.openxmlformats.org/officeDocument/2006/relationships/hyperlink" Target="https://glad.umd.edu/dataset/GLCLUC2020" TargetMode="External"/><Relationship Id="rId12" Type="http://schemas.openxmlformats.org/officeDocument/2006/relationships/hyperlink" Target="https://doi.org/10.1126/science.1244693" TargetMode="External"/><Relationship Id="rId13" Type="http://schemas.openxmlformats.org/officeDocument/2006/relationships/hyperlink" Target="https://glad.umd.edu/dataset/global-forest-change" TargetMode="External"/><Relationship Id="rId14" Type="http://schemas.openxmlformats.org/officeDocument/2006/relationships/hyperlink" Target="https://www.wri.org/research/spatial-database-planted-trees-sdpt-version-2" TargetMode="External"/><Relationship Id="rId15" Type="http://schemas.openxmlformats.org/officeDocument/2006/relationships/hyperlink" Target="https://doi.org/10.5194/essd-16-5111-2024" TargetMode="External"/><Relationship Id="rId16" Type="http://schemas.openxmlformats.org/officeDocument/2006/relationships/hyperlink" Target="https://doi.org/10.1080/17538947.2024.2390454" TargetMode="External"/><Relationship Id="rId17" Type="http://schemas.openxmlformats.org/officeDocument/2006/relationships/hyperlink" Target="https://human-settlement.emergency.copernicus.eu/" TargetMode="External"/><Relationship Id="rId18" Type="http://schemas.openxmlformats.org/officeDocument/2006/relationships/hyperlink" Target="https://doi.org/10.1038/s41597-020-00580-5" TargetMode="External"/><Relationship Id="rId19" Type="http://schemas.openxmlformats.org/officeDocument/2006/relationships/hyperlink" Target="https://geoservice.dlr.de/web/datasets/wsf_evo" TargetMode="External"/><Relationship Id="rId20" Type="http://schemas.openxmlformats.org/officeDocument/2006/relationships/hyperlink" Target="https://doi.org/10.1038/s43016-021-00429-z" TargetMode="External"/><Relationship Id="rId21" Type="http://schemas.openxmlformats.org/officeDocument/2006/relationships/hyperlink" Target="https://glad.umd.edu/dataset/croplands" TargetMode="External"/><Relationship Id="rId22" Type="http://schemas.openxmlformats.org/officeDocument/2006/relationships/hyperlink" Target="https://doi.org/10.1038/s41597-024-04139-6" TargetMode="External"/><Relationship Id="rId23" Type="http://schemas.openxmlformats.org/officeDocument/2006/relationships/hyperlink" Target="https://github.com/wri/global-pasture-watch" TargetMode="External"/><Relationship Id="rId24" Type="http://schemas.openxmlformats.org/officeDocument/2006/relationships/hyperlink" Target="https://gee-community-catalog.org/projects/global_palm_oil/" TargetMode="External"/><Relationship Id="rId25" Type="http://schemas.openxmlformats.org/officeDocument/2006/relationships/hyperlink" Target="https://www.openstreetmap.org/" TargetMode="External"/><Relationship Id="rId26" Type="http://schemas.openxmlformats.org/officeDocument/2006/relationships/hyperlink" Target="https://doi.org/10.5194/isprs-archives-XLI-B4-157-2016" TargetMode="External"/><Relationship Id="rId27" Type="http://schemas.openxmlformats.org/officeDocument/2006/relationships/hyperlink" Target="https://www.eorc.jaxa.jp/ALOS/en/dataset/aw3d30/aw3d30_e.htm" TargetMode="External"/><Relationship Id="rId28" Type="http://schemas.openxmlformats.org/officeDocument/2006/relationships/hyperlink" Target="https://doi.org/10.34892/6fwd-af11" TargetMode="External"/><Relationship Id="rId29" Type="http://schemas.openxmlformats.org/officeDocument/2006/relationships/hyperlink" Target="https://www.protectedplanet.net/en/thematic-areas/wdpa" TargetMode="External"/><Relationship Id="rId30" Type="http://schemas.openxmlformats.org/officeDocument/2006/relationships/hyperlink" Target="https://doi.org/10.1038/s41467-020-19493-3" TargetMode="External"/><Relationship Id="rId31" Type="http://schemas.openxmlformats.org/officeDocument/2006/relationships/hyperlink" Target="https://www.forestintegrity.com/" TargetMode="External"/><Relationship Id="rId32" Type="http://schemas.openxmlformats.org/officeDocument/2006/relationships/hyperlink" Target="https://www.forestdatapartnership.org/" TargetMode="External"/><Relationship Id="rId33" Type="http://schemas.openxmlformats.org/officeDocument/2006/relationships/hyperlink" Target="https://data.apps.fao.org/catalog/dataset/global-administrative-unit-layers-gaul-2024" TargetMode="External"/><Relationship Id="rId34" Type="http://schemas.openxmlformats.org/officeDocument/2006/relationships/hyperlink" Target="https://doi.org/10.1088/1748-9326/aabd42" TargetMode="External"/><Relationship Id="rId35" Type="http://schemas.openxmlformats.org/officeDocument/2006/relationships/hyperlink" Target="https://www.globio.info/download-grip-dataset" TargetMode="External"/><Relationship Id="rId36" Type="http://schemas.openxmlformats.org/officeDocument/2006/relationships/hyperlink" Target="https://www.census.gov/geographies/mapping-files/time-series/geo/tiger-line-file.html" TargetMode="External"/><Relationship Id="rId37" Type="http://schemas.openxmlformats.org/officeDocument/2006/relationships/hyperlink" Target="https://doi.org/10.1038/s41893-019-0310-6" TargetMode="External"/><Relationship Id="rId38" Type="http://schemas.openxmlformats.org/officeDocument/2006/relationships/hyperlink" Target="https://github.com/microsoft/RoadDetections" TargetMode="External"/><Relationship Id="rId39" Type="http://schemas.openxmlformats.org/officeDocument/2006/relationships/hyperlink" Target="https://doi.org/10.1038/s41586-024-07303-5" TargetMode="External"/><Relationship Id="rId40" Type="http://schemas.openxmlformats.org/officeDocument/2006/relationships/hyperlink" Target="https://brasil.mapbiomas.org/" TargetMode="External"/><Relationship Id="rId41" Type="http://schemas.openxmlformats.org/officeDocument/2006/relationships/hyperlink" Target="https://doi.org/10.1126/sciadv.abe1603" TargetMode="External"/><Relationship Id="rId42" Type="http://schemas.openxmlformats.org/officeDocument/2006/relationships/hyperlink" Target="https://forobs.jrc.ec.europa.eu/TMF/" TargetMode="External"/><Relationship Id="rId43" Type="http://schemas.openxmlformats.org/officeDocument/2006/relationships/hyperlink" Target="https://doi.org/10.5194/essd-14-1831-2022" TargetMode="External"/><Relationship Id="rId44" Type="http://schemas.openxmlformats.org/officeDocument/2006/relationships/hyperlink" Target="https://gee-community-catalog.org/projects/gisd30/" TargetMode="External"/><Relationship Id="rId45" Type="http://schemas.openxmlformats.org/officeDocument/2006/relationships/hyperlink" Target="https://doi.org/10.1007/s11430-020-9797-9" TargetMode="External"/><Relationship Id="rId46" Type="http://schemas.openxmlformats.org/officeDocument/2006/relationships/hyperlink" Target="https://gee-community-catalog.org/projects/gisa/" TargetMode="External"/><Relationship Id="rId47" Type="http://schemas.openxmlformats.org/officeDocument/2006/relationships/hyperlink" Target="https://geoservice.dlr.de/web/datasets/wsf_2015" TargetMode="External"/><Relationship Id="rId48" Type="http://schemas.openxmlformats.org/officeDocument/2006/relationships/hyperlink" Target="https://doi.org/10.1553/giscience2021_01_s33" TargetMode="External"/><Relationship Id="rId49" Type="http://schemas.openxmlformats.org/officeDocument/2006/relationships/hyperlink" Target="https://geoservice.dlr.de/web/datasets/wsf_2019" TargetMode="External"/><Relationship Id="rId50" Type="http://schemas.openxmlformats.org/officeDocument/2006/relationships/hyperlink" Target="https://doi.org/10.5194/essd-16-1353-2024" TargetMode="External"/><Relationship Id="rId51" Type="http://schemas.openxmlformats.org/officeDocument/2006/relationships/hyperlink" Target="https://gee-community-catalog.org/projects/glc_fcs/" TargetMode="External"/><Relationship Id="rId52" Type="http://schemas.openxmlformats.org/officeDocument/2006/relationships/hyperlink" Target="https://www.forestdatapartnership.org/data-approach" TargetMode="External"/><Relationship Id="rId53" Type="http://schemas.openxmlformats.org/officeDocument/2006/relationships/hyperlink" Target="https://doi.org/10.1038/s41597-025-04817-z" TargetMode="External"/><Relationship Id="rId54" Type="http://schemas.openxmlformats.org/officeDocument/2006/relationships/hyperlink" Target="https://landscan.ornl.gov/documentation" TargetMode="External"/><Relationship Id="rId55" Type="http://schemas.openxmlformats.org/officeDocument/2006/relationships/hyperlink" Target="https://hydro.iis.u-tokyo.ac.jp/~yamadai/OSM_water/" TargetMode="External"/><Relationship Id="rId56" Type="http://schemas.openxmlformats.org/officeDocument/2006/relationships/hyperlink" Target="https://landcarbonlab.org/data/natural-lands-map/" TargetMode="External"/><Relationship Id="rId57" Type="http://schemas.openxmlformats.org/officeDocument/2006/relationships/hyperlink" Target="https://doi.org/10.1111/ddi.12778" TargetMode="External"/><Relationship Id="rId58" Type="http://schemas.openxmlformats.org/officeDocument/2006/relationships/hyperlink" Target="https://doi.org/10.5194/essd-13-2437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