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Primary Forest Finder — GEE App Workshop</w:t>
      </w:r>
    </w:p>
    <w:p>
      <w:r>
        <w:rPr>
          <w:b/>
          <w:i w:val="0"/>
          <w:sz w:val="20"/>
        </w:rPr>
        <w:t>A 1-hour hands-on testing session</w:t>
      </w:r>
    </w:p>
    <w:p>
      <w:r>
        <w:rPr>
          <w:b w:val="0"/>
          <w:i w:val="0"/>
          <w:sz w:val="20"/>
        </w:rPr>
        <w:t>Companion to the QGIS workflow guide (</w:t>
      </w:r>
      <w:hyperlink r:id="rId9">
        <w:r>
          <w:rPr>
            <w:color w:val="0563C1"/>
            <w:u w:val="single"/>
            <w:sz w:val="18"/>
          </w:rPr>
          <w:t xml:space="preserve">`QGIS_Workflow_Ann_Rotich_V0.md`</w:t>
        </w:r>
      </w:hyperlink>
      <w:r>
        <w:rPr>
          <w:b w:val="0"/>
          <w:i w:val="0"/>
          <w:sz w:val="20"/>
        </w:rPr>
        <w:t>). This sheet covers the cloud-based GEE app using global default datasets. Data export is currently script-mode only and is not covered here.</w:t>
      </w:r>
    </w:p>
    <w:p>
      <w:r>
        <w:rPr>
          <w:b/>
          <w:i w:val="0"/>
          <w:sz w:val="20"/>
        </w:rPr>
        <w:t>Audience:</w:t>
      </w:r>
      <w:r>
        <w:rPr>
          <w:b w:val="0"/>
          <w:i w:val="0"/>
          <w:sz w:val="20"/>
        </w:rPr>
        <w:t xml:space="preserve"> national authorities and GIS practitioners. No programming required — everything is point-and-click in a browser.</w:t>
      </w:r>
    </w:p>
    <w:p>
      <w:pPr>
        <w:pStyle w:val="Heading1"/>
      </w:pPr>
      <w:r>
        <w:rPr>
          <w:rFonts w:ascii="Calibri" w:hAnsi="Calibri"/>
        </w:rPr>
        <w:t>Document conventions</w:t>
      </w:r>
    </w:p>
    <w:p>
      <w:pPr>
        <w:pStyle w:val="ListBullet"/>
      </w:pPr>
      <w:r>
        <w:rPr>
          <w:b/>
          <w:i w:val="0"/>
          <w:sz w:val="20"/>
        </w:rPr>
        <w:t>Bold text</w:t>
      </w:r>
      <w:r>
        <w:rPr>
          <w:b w:val="0"/>
          <w:i w:val="0"/>
          <w:sz w:val="20"/>
        </w:rPr>
        <w:t xml:space="preserve"> indicates app elements, buttons or section names — e.g. </w:t>
      </w:r>
      <w:r>
        <w:rPr>
          <w:b w:val="0"/>
          <w:i/>
          <w:sz w:val="20"/>
        </w:rPr>
        <w:t>Click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 w:val="0"/>
          <w:i/>
          <w:sz w:val="20"/>
        </w:rPr>
        <w:t>Italics</w:t>
      </w:r>
      <w:r>
        <w:rPr>
          <w:b w:val="0"/>
          <w:i w:val="0"/>
          <w:sz w:val="20"/>
        </w:rPr>
        <w:t xml:space="preserve"> denote important concepts — e.g. </w:t>
      </w:r>
      <w:r>
        <w:rPr>
          <w:b w:val="0"/>
          <w:i/>
          <w:sz w:val="20"/>
        </w:rPr>
        <w:t>Primary Forest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 w:val="0"/>
          <w:i w:val="0"/>
          <w:sz w:val="20"/>
        </w:rPr>
        <w:t xml:space="preserve">&gt; </w:t>
      </w:r>
      <w:r>
        <w:rPr>
          <w:b/>
          <w:i w:val="0"/>
          <w:sz w:val="20"/>
        </w:rPr>
        <w:t>NOTE:</w:t>
      </w:r>
      <w:r>
        <w:rPr>
          <w:b w:val="0"/>
          <w:i w:val="0"/>
          <w:sz w:val="20"/>
        </w:rPr>
        <w:t xml:space="preserve"> background information</w:t>
      </w:r>
    </w:p>
    <w:p>
      <w:pPr>
        <w:pStyle w:val="ListBullet"/>
      </w:pPr>
      <w:r>
        <w:rPr>
          <w:b w:val="0"/>
          <w:i w:val="0"/>
          <w:sz w:val="20"/>
        </w:rPr>
        <w:t xml:space="preserve">&gt; </w:t>
      </w:r>
      <w:r>
        <w:rPr>
          <w:b/>
          <w:i w:val="0"/>
          <w:sz w:val="20"/>
        </w:rPr>
        <w:t>TIP:</w:t>
      </w:r>
      <w:r>
        <w:rPr>
          <w:b w:val="0"/>
          <w:i w:val="0"/>
          <w:sz w:val="20"/>
        </w:rPr>
        <w:t xml:space="preserve"> shortcut or best practice</w:t>
      </w:r>
    </w:p>
    <w:p>
      <w:pPr>
        <w:pStyle w:val="ListBullet"/>
      </w:pPr>
      <w:r>
        <w:rPr>
          <w:b w:val="0"/>
          <w:i w:val="0"/>
          <w:sz w:val="20"/>
        </w:rPr>
        <w:t xml:space="preserve">&gt; </w:t>
      </w:r>
      <w:r>
        <w:rPr>
          <w:b/>
          <w:i w:val="0"/>
          <w:sz w:val="20"/>
        </w:rPr>
        <w:t>CAVEAT:</w:t>
      </w:r>
      <w:r>
        <w:rPr>
          <w:b w:val="0"/>
          <w:i w:val="0"/>
          <w:sz w:val="20"/>
        </w:rPr>
        <w:t xml:space="preserve"> a known limitation to be aware of</w:t>
      </w:r>
    </w:p>
    <w:p>
      <w:pPr>
        <w:pStyle w:val="ListBullet"/>
      </w:pPr>
      <w:r>
        <w:rPr>
          <w:b w:val="0"/>
          <w:i w:val="0"/>
          <w:sz w:val="20"/>
        </w:rPr>
        <w:t xml:space="preserve">&gt; </w:t>
      </w:r>
      <w:r>
        <w:rPr>
          <w:b/>
          <w:i w:val="0"/>
          <w:sz w:val="20"/>
        </w:rPr>
        <w:t>CHECKPOINT:</w:t>
      </w:r>
      <w:r>
        <w:rPr>
          <w:b w:val="0"/>
          <w:i w:val="0"/>
          <w:sz w:val="20"/>
        </w:rPr>
        <w:t xml:space="preserve"> what the result should look like at that stage</w:t>
      </w:r>
    </w:p>
    <w:p>
      <w:pPr>
        <w:pStyle w:val="Heading1"/>
      </w:pPr>
      <w:r>
        <w:rPr>
          <w:rFonts w:ascii="Calibri" w:hAnsi="Calibri"/>
        </w:rPr>
        <w:t>Before you start</w:t>
      </w:r>
    </w:p>
    <w:p>
      <w:pPr>
        <w:pStyle w:val="ListNumber"/>
      </w:pPr>
      <w:r>
        <w:rPr>
          <w:b w:val="0"/>
          <w:i w:val="0"/>
          <w:sz w:val="20"/>
        </w:rPr>
        <w:t>Open the PFF app link (provided in the workshop).</w:t>
      </w:r>
    </w:p>
    <w:p>
      <w:pPr>
        <w:pStyle w:val="ListNumber"/>
      </w:pPr>
      <w:r>
        <w:rPr>
          <w:b w:val="0"/>
          <w:i w:val="0"/>
          <w:sz w:val="20"/>
        </w:rPr>
        <w:t xml:space="preserve">Wait for the map to load. The title bar shows the version (e.g. </w:t>
      </w:r>
      <w:r>
        <w:rPr>
          <w:rFonts w:ascii="Consolas" w:hAnsi="Consolas"/>
          <w:b w:val="0"/>
          <w:i w:val="0"/>
          <w:sz w:val="18"/>
        </w:rPr>
        <w:t>v4.15.7-beta.1</w:t>
      </w:r>
      <w:r>
        <w:rPr>
          <w:b w:val="0"/>
          <w:i w:val="0"/>
          <w:sz w:val="20"/>
        </w:rPr>
        <w:t>).</w:t>
      </w:r>
    </w:p>
    <w:p>
      <w:pPr>
        <w:pStyle w:val="ListNumber"/>
      </w:pPr>
      <w:r>
        <w:rPr>
          <w:b w:val="0"/>
          <w:i w:val="0"/>
          <w:sz w:val="20"/>
        </w:rPr>
        <w:t>The app has three areas:</w:t>
      </w:r>
    </w:p>
    <w:p>
      <w:pPr>
        <w:pStyle w:val="ListBullet"/>
      </w:pPr>
      <w:r>
        <w:rPr>
          <w:b/>
          <w:i w:val="0"/>
          <w:sz w:val="20"/>
        </w:rPr>
        <w:t>Top bar</w:t>
      </w:r>
      <w:r>
        <w:rPr>
          <w:b w:val="0"/>
          <w:i w:val="0"/>
          <w:sz w:val="20"/>
        </w:rPr>
        <w:t xml:space="preserve"> — country selector, recenter button, </w:t>
      </w:r>
      <w:r>
        <w:rPr>
          <w:b/>
          <w:i w:val="0"/>
          <w:sz w:val="20"/>
        </w:rPr>
        <w:t>⚙ Config</w:t>
      </w:r>
      <w:r>
        <w:rPr>
          <w:b w:val="0"/>
          <w:i w:val="0"/>
          <w:sz w:val="20"/>
        </w:rPr>
        <w:t xml:space="preserve">, </w:t>
      </w:r>
      <w:r>
        <w:rPr>
          <w:b/>
          <w:i w:val="0"/>
          <w:sz w:val="20"/>
        </w:rPr>
        <w:t>ⓘ About</w:t>
      </w:r>
    </w:p>
    <w:p>
      <w:pPr>
        <w:pStyle w:val="ListBullet"/>
      </w:pPr>
      <w:r>
        <w:rPr>
          <w:b/>
          <w:i w:val="0"/>
          <w:sz w:val="20"/>
        </w:rPr>
        <w:t>Left panel</w:t>
      </w:r>
      <w:r>
        <w:rPr>
          <w:b w:val="0"/>
          <w:i w:val="0"/>
          <w:sz w:val="20"/>
        </w:rPr>
        <w:t xml:space="preserve"> — analysis controls in four numbered sections</w:t>
      </w:r>
    </w:p>
    <w:p>
      <w:pPr>
        <w:pStyle w:val="ListBullet"/>
      </w:pPr>
      <w:r>
        <w:rPr>
          <w:b/>
          <w:i w:val="0"/>
          <w:sz w:val="20"/>
        </w:rPr>
        <w:t>Right panel</w:t>
      </w:r>
      <w:r>
        <w:rPr>
          <w:b w:val="0"/>
          <w:i w:val="0"/>
          <w:sz w:val="20"/>
        </w:rPr>
        <w:t xml:space="preserve"> — </w:t>
      </w:r>
      <w:r>
        <w:rPr>
          <w:b w:val="0"/>
          <w:i/>
          <w:sz w:val="20"/>
        </w:rPr>
        <w:t>Area Statistics</w:t>
      </w:r>
      <w:r>
        <w:rPr>
          <w:b w:val="0"/>
          <w:i w:val="0"/>
          <w:sz w:val="20"/>
        </w:rPr>
        <w:t xml:space="preserve">, </w:t>
      </w:r>
      <w:r>
        <w:rPr>
          <w:b w:val="0"/>
          <w:i/>
          <w:sz w:val="20"/>
        </w:rPr>
        <w:t>Outputs</w:t>
      </w:r>
      <w:r>
        <w:rPr>
          <w:b w:val="0"/>
          <w:i w:val="0"/>
          <w:sz w:val="20"/>
        </w:rPr>
        <w:t xml:space="preserve">, </w:t>
      </w:r>
      <w:r>
        <w:rPr>
          <w:b w:val="0"/>
          <w:i/>
          <w:sz w:val="20"/>
        </w:rPr>
        <w:t>Validation</w:t>
      </w:r>
    </w:p>
    <w:p>
      <w:pPr>
        <w:pStyle w:val="IntenseQuote"/>
      </w:pPr>
      <w:r>
        <w:rPr>
          <w:b/>
          <w:i/>
          <w:sz w:val="20"/>
        </w:rPr>
        <w:t>CAVEAT — Hansen tree cover at low zoom</w:t>
      </w:r>
    </w:p>
    <w:p>
      <w:pPr>
        <w:pStyle w:val="IntenseQuote"/>
      </w:pPr>
      <w:r>
        <w:rPr>
          <w:b w:val="0"/>
          <w:i/>
          <w:sz w:val="20"/>
        </w:rPr>
        <w:t>When zoomed out (whole continent or globe), the Hansen tree-cover layer can render inaccurately. This is a GEE tiling quirk, not a real data difference. Zoom into a country or province and the layer looks correct. A fix is planned.</w:t>
      </w:r>
    </w:p>
    <w:p>
      <w:pPr>
        <w:pStyle w:val="Heading1"/>
      </w:pPr>
      <w:r>
        <w:rPr>
          <w:rFonts w:ascii="Calibri" w:hAnsi="Calibri"/>
        </w:rPr>
        <w:t>Module 1 — Run with global defaults</w:t>
      </w:r>
    </w:p>
    <w:p>
      <w:pPr>
        <w:pStyle w:val="ListNumber"/>
      </w:pPr>
      <w:r>
        <w:rPr>
          <w:b w:val="0"/>
          <w:i w:val="0"/>
          <w:sz w:val="20"/>
        </w:rPr>
        <w:t>Pick your country from the top-bar selector.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 xml:space="preserve"> (green button, top of left panel).</w:t>
      </w:r>
    </w:p>
    <w:p>
      <w:pPr>
        <w:pStyle w:val="ListNumber"/>
      </w:pPr>
      <w:r>
        <w:rPr>
          <w:b w:val="0"/>
          <w:i w:val="0"/>
          <w:sz w:val="20"/>
        </w:rPr>
        <w:t>Wait for the map to update.</w:t>
      </w:r>
    </w:p>
    <w:p>
      <w:pPr>
        <w:pStyle w:val="IntenseQuote"/>
      </w:pPr>
      <w:r>
        <w:rPr>
          <w:b/>
          <w:i/>
          <w:sz w:val="20"/>
        </w:rPr>
        <w:t>CHECKPOINT:</w:t>
      </w:r>
      <w:r>
        <w:rPr>
          <w:b w:val="0"/>
          <w:i/>
          <w:sz w:val="20"/>
        </w:rPr>
        <w:t xml:space="preserve"> the legend (bottom-left) shows </w:t>
      </w:r>
      <w:r>
        <w:rPr>
          <w:b w:val="0"/>
          <w:i/>
          <w:sz w:val="20"/>
        </w:rPr>
        <w:t>Tree cover</w:t>
      </w:r>
      <w:r>
        <w:rPr>
          <w:b w:val="0"/>
          <w:i/>
          <w:sz w:val="20"/>
        </w:rPr>
        <w:t xml:space="preserve">, </w:t>
      </w:r>
      <w:r>
        <w:rPr>
          <w:b w:val="0"/>
          <w:i/>
          <w:sz w:val="20"/>
        </w:rPr>
        <w:t>Pre-refinement primary forest</w:t>
      </w:r>
      <w:r>
        <w:rPr>
          <w:b w:val="0"/>
          <w:i/>
          <w:sz w:val="20"/>
        </w:rPr>
        <w:t xml:space="preserve">, and </w:t>
      </w:r>
      <w:r>
        <w:rPr>
          <w:b w:val="0"/>
          <w:i/>
          <w:sz w:val="20"/>
        </w:rPr>
        <w:t>Primary forest</w:t>
      </w:r>
      <w:r>
        <w:rPr>
          <w:b w:val="0"/>
          <w:i/>
          <w:sz w:val="20"/>
        </w:rPr>
        <w:t>. Primary forest appears clustered in remote/mountainous/protected areas.</w:t>
      </w:r>
    </w:p>
    <w:p>
      <w:pPr>
        <w:pStyle w:val="IntenseQuote"/>
      </w:pPr>
      <w:r>
        <w:rPr>
          <w:b/>
          <w:i/>
          <w:sz w:val="20"/>
        </w:rPr>
        <w:t>TIP:</w:t>
      </w:r>
      <w:r>
        <w:rPr>
          <w:b w:val="0"/>
          <w:i/>
          <w:sz w:val="20"/>
        </w:rPr>
        <w:t xml:space="preserve"> an asterisk (*) on the Update button means settings have changed since the last run.</w:t>
      </w:r>
    </w:p>
    <w:p>
      <w:pPr>
        <w:pStyle w:val="Heading1"/>
      </w:pPr>
      <w:r>
        <w:rPr>
          <w:rFonts w:ascii="Calibri" w:hAnsi="Calibri"/>
        </w:rPr>
        <w:t>Module 2 — Section 2: Tree Cover</w:t>
      </w:r>
    </w:p>
    <w:p>
      <w:pPr>
        <w:pStyle w:val="Heading2"/>
      </w:pPr>
      <w:r>
        <w:rPr>
          <w:rFonts w:ascii="Calibri" w:hAnsi="Calibri"/>
        </w:rPr>
        <w:t>2.1 Switch the forest source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2. Tree Cover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Change the source: </w:t>
      </w:r>
      <w:r>
        <w:rPr>
          <w:b/>
          <w:i w:val="0"/>
          <w:sz w:val="20"/>
        </w:rPr>
        <w:t>GLAD ↔ Hansen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Compare the new tree-cover mask with the previous run.</w:t>
      </w:r>
    </w:p>
    <w:p>
      <w:pPr>
        <w:pStyle w:val="IntenseQuote"/>
      </w:pPr>
      <w:r>
        <w:rPr>
          <w:b/>
          <w:i/>
          <w:sz w:val="20"/>
        </w:rPr>
        <w:t>CAVEAT:</w:t>
      </w:r>
      <w:r>
        <w:rPr>
          <w:b w:val="0"/>
          <w:i/>
          <w:sz w:val="20"/>
        </w:rPr>
        <w:t xml:space="preserve"> zoom in before comparing Hansen — the low-zoom rendering is unreliable.</w:t>
      </w:r>
    </w:p>
    <w:p>
      <w:pPr>
        <w:pStyle w:val="Heading2"/>
      </w:pPr>
      <w:r>
        <w:rPr>
          <w:rFonts w:ascii="Calibri" w:hAnsi="Calibri"/>
        </w:rPr>
        <w:t>2.2 Optional Refine input — OLTC and Planted Forest</w:t>
      </w:r>
    </w:p>
    <w:p>
      <w:pPr>
        <w:pStyle w:val="ListNumber"/>
      </w:pPr>
      <w:r>
        <w:rPr>
          <w:b w:val="0"/>
          <w:i w:val="0"/>
          <w:sz w:val="20"/>
        </w:rPr>
        <w:t xml:space="preserve">In </w:t>
      </w:r>
      <w:r>
        <w:rPr>
          <w:b/>
          <w:i w:val="0"/>
          <w:sz w:val="20"/>
        </w:rPr>
        <w:t>§ 2</w:t>
      </w:r>
      <w:r>
        <w:rPr>
          <w:b w:val="0"/>
          <w:i w:val="0"/>
          <w:sz w:val="20"/>
        </w:rPr>
        <w:t xml:space="preserve">, expand </w:t>
      </w:r>
      <w:r>
        <w:rPr>
          <w:b/>
          <w:i w:val="0"/>
          <w:sz w:val="20"/>
        </w:rPr>
        <w:t>▶ Refine input (optional, experimental)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Choose an </w:t>
      </w:r>
      <w:r>
        <w:rPr>
          <w:b w:val="0"/>
          <w:i/>
          <w:sz w:val="20"/>
        </w:rPr>
        <w:t>Input category</w:t>
      </w:r>
      <w:r>
        <w:rPr>
          <w:b w:val="0"/>
          <w:i w:val="0"/>
          <w:sz w:val="20"/>
        </w:rPr>
        <w:t xml:space="preserve"> from the dropdown — e.g. </w:t>
      </w:r>
      <w:r>
        <w:rPr>
          <w:b w:val="0"/>
          <w:i/>
          <w:sz w:val="20"/>
        </w:rPr>
        <w:t>Forest</w:t>
      </w:r>
      <w:r>
        <w:rPr>
          <w:b w:val="0"/>
          <w:i w:val="0"/>
          <w:sz w:val="20"/>
        </w:rPr>
        <w:t xml:space="preserve"> or </w:t>
      </w:r>
      <w:r>
        <w:rPr>
          <w:b w:val="0"/>
          <w:i/>
          <w:sz w:val="20"/>
        </w:rPr>
        <w:t>Naturally Regenerating Forest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Exclude OLTC</w:t>
      </w:r>
      <w:r>
        <w:rPr>
          <w:b w:val="0"/>
          <w:i w:val="0"/>
          <w:sz w:val="20"/>
        </w:rPr>
        <w:t xml:space="preserve"> (oil palm / orchards / agroforestry — FRA Note 10).</w:t>
      </w:r>
    </w:p>
    <w:p>
      <w:pPr>
        <w:pStyle w:val="ListNumber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Exclude planted forest</w:t>
      </w:r>
      <w:r>
        <w:rPr>
          <w:b w:val="0"/>
          <w:i w:val="0"/>
          <w:sz w:val="20"/>
        </w:rPr>
        <w:t xml:space="preserve"> (FRA Planted Forest, e.g. timber / pulp).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IntenseQuote"/>
      </w:pPr>
      <w:r>
        <w:rPr>
          <w:b/>
          <w:i/>
          <w:sz w:val="20"/>
        </w:rPr>
        <w:t>CHECKPOINT:</w:t>
      </w:r>
      <w:r>
        <w:rPr>
          <w:b w:val="0"/>
          <w:i/>
          <w:sz w:val="20"/>
        </w:rPr>
        <w:t xml:space="preserve"> primary forest extent should decrease where oil palm or planted forest is present.</w:t>
      </w:r>
    </w:p>
    <w:p>
      <w:pPr>
        <w:pStyle w:val="Heading1"/>
      </w:pPr>
      <w:r>
        <w:rPr>
          <w:rFonts w:ascii="Calibri" w:hAnsi="Calibri"/>
        </w:rPr>
        <w:t>Module 3 — Section 3: Human Influence</w:t>
      </w:r>
    </w:p>
    <w:p>
      <w:pPr>
        <w:pStyle w:val="Heading2"/>
      </w:pPr>
      <w:r>
        <w:rPr>
          <w:rFonts w:ascii="Calibri" w:hAnsi="Calibri"/>
        </w:rPr>
        <w:t>3.1 Adjust a buffer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3. Human Influence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Move the </w:t>
      </w:r>
      <w:r>
        <w:rPr>
          <w:b/>
          <w:i w:val="0"/>
          <w:sz w:val="20"/>
        </w:rPr>
        <w:t>Roads</w:t>
      </w:r>
      <w:r>
        <w:rPr>
          <w:b w:val="0"/>
          <w:i w:val="0"/>
          <w:sz w:val="20"/>
        </w:rPr>
        <w:t xml:space="preserve"> buffer slider.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Try the </w:t>
      </w:r>
      <w:r>
        <w:rPr>
          <w:b/>
          <w:i w:val="0"/>
          <w:sz w:val="20"/>
        </w:rPr>
        <w:t>Agriculture</w:t>
      </w:r>
      <w:r>
        <w:rPr>
          <w:b w:val="0"/>
          <w:i w:val="0"/>
          <w:sz w:val="20"/>
        </w:rPr>
        <w:t xml:space="preserve"> buffer too.</w:t>
      </w:r>
    </w:p>
    <w:p>
      <w:pPr>
        <w:pStyle w:val="Heading2"/>
      </w:pPr>
      <w:r>
        <w:rPr>
          <w:rFonts w:ascii="Calibri" w:hAnsi="Calibri"/>
        </w:rPr>
        <w:t>3.2 Buffer exceptions (slope and protected areas)</w:t>
      </w:r>
    </w:p>
    <w:p>
      <w:pPr>
        <w:pStyle w:val="ListNumber"/>
      </w:pPr>
      <w:r>
        <w:rPr>
          <w:b w:val="0"/>
          <w:i w:val="0"/>
          <w:sz w:val="20"/>
        </w:rPr>
        <w:t xml:space="preserve">Expand </w:t>
      </w:r>
      <w:r>
        <w:rPr>
          <w:b/>
          <w:i w:val="0"/>
          <w:sz w:val="20"/>
        </w:rPr>
        <w:t>▶ Buffer Exceptions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Toggle the </w:t>
      </w:r>
      <w:r>
        <w:rPr>
          <w:b w:val="0"/>
          <w:i/>
          <w:sz w:val="20"/>
        </w:rPr>
        <w:t>steep slope</w:t>
      </w:r>
      <w:r>
        <w:rPr>
          <w:b w:val="0"/>
          <w:i w:val="0"/>
          <w:sz w:val="20"/>
        </w:rPr>
        <w:t xml:space="preserve"> exception on/off, re-run, and observe rescued areas in mountainous terrain.</w:t>
      </w:r>
    </w:p>
    <w:p>
      <w:pPr>
        <w:pStyle w:val="ListNumber"/>
      </w:pPr>
      <w:r>
        <w:rPr>
          <w:b w:val="0"/>
          <w:i w:val="0"/>
          <w:sz w:val="20"/>
        </w:rPr>
        <w:t xml:space="preserve">Toggle the </w:t>
      </w:r>
      <w:r>
        <w:rPr>
          <w:b w:val="0"/>
          <w:i/>
          <w:sz w:val="20"/>
        </w:rPr>
        <w:t>protected area</w:t>
      </w:r>
      <w:r>
        <w:rPr>
          <w:b w:val="0"/>
          <w:i w:val="0"/>
          <w:sz w:val="20"/>
        </w:rPr>
        <w:t xml:space="preserve"> exception on/off, re-run, and observe rescued areas inside PAs.</w:t>
      </w:r>
    </w:p>
    <w:p>
      <w:pPr>
        <w:pStyle w:val="IntenseQuote"/>
      </w:pPr>
      <w:r>
        <w:rPr>
          <w:b/>
          <w:i/>
          <w:sz w:val="20"/>
        </w:rPr>
        <w:t>CHECKPOINT:</w:t>
      </w:r>
      <w:r>
        <w:rPr>
          <w:b w:val="0"/>
          <w:i/>
          <w:sz w:val="20"/>
        </w:rPr>
        <w:t xml:space="preserve"> the status label below each exception confirms whether it is enabled.</w:t>
      </w:r>
    </w:p>
    <w:p>
      <w:pPr>
        <w:pStyle w:val="Heading1"/>
      </w:pPr>
      <w:r>
        <w:rPr>
          <w:rFonts w:ascii="Calibri" w:hAnsi="Calibri"/>
        </w:rPr>
        <w:t>Module 4 — Section 4: Refine Output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4. Refine Output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Adjust the neighbourhood radius and minimum density sliders.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Watch small isolated patches and thin sections come and go.</w:t>
      </w:r>
    </w:p>
    <w:p>
      <w:pPr>
        <w:pStyle w:val="Heading1"/>
      </w:pPr>
      <w:r>
        <w:rPr>
          <w:rFonts w:ascii="Calibri" w:hAnsi="Calibri"/>
        </w:rPr>
        <w:t>Module 5 — Reference layers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Validation</w:t>
      </w:r>
      <w:r>
        <w:rPr>
          <w:b w:val="0"/>
          <w:i w:val="0"/>
          <w:sz w:val="20"/>
        </w:rPr>
        <w:t xml:space="preserve"> (right panel).</w:t>
      </w:r>
    </w:p>
    <w:p>
      <w:pPr>
        <w:pStyle w:val="ListNumber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FLII</w:t>
      </w:r>
      <w:r>
        <w:rPr>
          <w:b w:val="0"/>
          <w:i w:val="0"/>
          <w:sz w:val="20"/>
        </w:rPr>
        <w:t xml:space="preserve"> and </w:t>
      </w:r>
      <w:r>
        <w:rPr>
          <w:b/>
          <w:i w:val="0"/>
          <w:sz w:val="20"/>
        </w:rPr>
        <w:t>Forest Persistence (FDaP)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Where does PFF agree with both? Where does it disagree?</w:t>
      </w:r>
    </w:p>
    <w:p>
      <w:pPr>
        <w:pStyle w:val="IntenseQuote"/>
      </w:pPr>
      <w:r>
        <w:rPr>
          <w:b/>
          <w:i/>
          <w:sz w:val="20"/>
        </w:rPr>
        <w:t>NOTE:</w:t>
      </w:r>
      <w:r>
        <w:rPr>
          <w:b w:val="0"/>
          <w:i/>
          <w:sz w:val="20"/>
        </w:rPr>
        <w:t xml:space="preserve"> these layers are overlays only — they do not affect the PFF result.</w:t>
      </w:r>
    </w:p>
    <w:p>
      <w:pPr>
        <w:pStyle w:val="Heading1"/>
      </w:pPr>
      <w:r>
        <w:rPr>
          <w:rFonts w:ascii="Calibri" w:hAnsi="Calibri"/>
        </w:rPr>
        <w:t>Module 6 — Stats at different resolutions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Area Statistics</w:t>
      </w:r>
      <w:r>
        <w:rPr>
          <w:b w:val="0"/>
          <w:i w:val="0"/>
          <w:sz w:val="20"/>
        </w:rPr>
        <w:t xml:space="preserve"> (right panel).</w:t>
      </w:r>
    </w:p>
    <w:p>
      <w:pPr>
        <w:pStyle w:val="ListNumber"/>
      </w:pPr>
      <w:r>
        <w:rPr>
          <w:b w:val="0"/>
          <w:i w:val="0"/>
          <w:sz w:val="20"/>
        </w:rPr>
        <w:t xml:space="preserve">Note the current </w:t>
      </w:r>
      <w:r>
        <w:rPr>
          <w:b w:val="0"/>
          <w:i/>
          <w:sz w:val="20"/>
        </w:rPr>
        <w:t>Resolution (m)</w:t>
      </w:r>
      <w:r>
        <w:rPr>
          <w:b w:val="0"/>
          <w:i w:val="0"/>
          <w:sz w:val="20"/>
        </w:rPr>
        <w:t xml:space="preserve"> value.</w:t>
      </w:r>
    </w:p>
    <w:p>
      <w:pPr>
        <w:pStyle w:val="ListNumber"/>
      </w:pPr>
      <w:r>
        <w:rPr>
          <w:b w:val="0"/>
          <w:i w:val="0"/>
          <w:sz w:val="20"/>
        </w:rPr>
        <w:t>Click the show-stats button and read off the areas.</w:t>
      </w:r>
    </w:p>
    <w:p>
      <w:pPr>
        <w:pStyle w:val="ListNumber"/>
      </w:pPr>
      <w:r>
        <w:rPr>
          <w:b w:val="0"/>
          <w:i w:val="0"/>
          <w:sz w:val="20"/>
        </w:rPr>
        <w:t xml:space="preserve">Change the </w:t>
      </w:r>
      <w:r>
        <w:rPr>
          <w:b w:val="0"/>
          <w:i/>
          <w:sz w:val="20"/>
        </w:rPr>
        <w:t>Resolution (m)</w:t>
      </w:r>
      <w:r>
        <w:rPr>
          <w:b w:val="0"/>
          <w:i w:val="0"/>
          <w:sz w:val="20"/>
        </w:rPr>
        <w:t xml:space="preserve"> to a coarser value, re-run, and compare.</w:t>
      </w:r>
    </w:p>
    <w:p>
      <w:pPr>
        <w:pStyle w:val="ListNumber"/>
      </w:pPr>
      <w:r>
        <w:rPr>
          <w:b w:val="0"/>
          <w:i w:val="0"/>
          <w:sz w:val="20"/>
        </w:rPr>
        <w:t>If your country isn't too large, try a finer value too.</w:t>
      </w:r>
    </w:p>
    <w:p>
      <w:pPr>
        <w:pStyle w:val="IntenseQuote"/>
      </w:pPr>
      <w:r>
        <w:rPr>
          <w:b/>
          <w:i/>
          <w:sz w:val="20"/>
        </w:rPr>
        <w:t>TIP:</w:t>
      </w:r>
      <w:r>
        <w:rPr>
          <w:b w:val="0"/>
          <w:i/>
          <w:sz w:val="20"/>
        </w:rPr>
        <w:t xml:space="preserve"> stats stabilise once resolution is fine enough to capture small patches. Coarse values are faster but may miss area.</w:t>
      </w:r>
    </w:p>
    <w:p>
      <w:pPr>
        <w:pStyle w:val="IntenseQuote"/>
      </w:pPr>
      <w:r>
        <w:rPr>
          <w:b/>
          <w:i/>
          <w:sz w:val="20"/>
        </w:rPr>
        <w:t>CAVEAT:</w:t>
      </w:r>
      <w:r>
        <w:rPr>
          <w:b w:val="0"/>
          <w:i/>
          <w:sz w:val="20"/>
        </w:rPr>
        <w:t xml:space="preserve"> very fine values can time out on large countries.</w:t>
      </w:r>
    </w:p>
    <w:p>
      <w:pPr>
        <w:pStyle w:val="Heading1"/>
      </w:pPr>
      <w:r>
        <w:rPr>
          <w:rFonts w:ascii="Calibri" w:hAnsi="Calibri"/>
        </w:rPr>
        <w:t>Module 7 — Compare two years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1. Time Period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Set Year 1 and Year 2 to different years (e.g. 2000 vs 2020).</w:t>
      </w:r>
    </w:p>
    <w:p>
      <w:pPr>
        <w:pStyle w:val="ListNumber"/>
      </w:pPr>
      <w:r>
        <w:rPr>
          <w:b w:val="0"/>
          <w:i w:val="0"/>
          <w:sz w:val="20"/>
        </w:rPr>
        <w:t xml:space="preserve">Optional: tick </w:t>
      </w:r>
      <w:r>
        <w:rPr>
          <w:b w:val="0"/>
          <w:i/>
          <w:sz w:val="20"/>
        </w:rPr>
        <w:t>split-screen</w:t>
      </w:r>
      <w:r>
        <w:rPr>
          <w:b w:val="0"/>
          <w:i w:val="0"/>
          <w:sz w:val="20"/>
        </w:rPr>
        <w:t xml:space="preserve"> to view side-by-side.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Where has primary forest changed? Are losses near roads, settlements, or agriculture?</w:t>
      </w:r>
    </w:p>
    <w:p>
      <w:pPr>
        <w:pStyle w:val="Heading1"/>
      </w:pPr>
      <w:r>
        <w:rPr>
          <w:rFonts w:ascii="Calibri" w:hAnsi="Calibri"/>
        </w:rPr>
        <w:t>Module 8 — Save your configuration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⚙ Config</w:t>
      </w:r>
      <w:r>
        <w:rPr>
          <w:b w:val="0"/>
          <w:i w:val="0"/>
          <w:sz w:val="20"/>
        </w:rPr>
        <w:t xml:space="preserve"> in the top bar.</w:t>
      </w:r>
    </w:p>
    <w:p>
      <w:pPr>
        <w:pStyle w:val="ListNumber"/>
      </w:pPr>
      <w:r>
        <w:rPr>
          <w:b w:val="0"/>
          <w:i/>
          <w:sz w:val="20"/>
        </w:rPr>
        <w:t>Save settings</w:t>
      </w:r>
      <w:r>
        <w:rPr>
          <w:b w:val="0"/>
          <w:i w:val="0"/>
          <w:sz w:val="20"/>
        </w:rPr>
        <w:t xml:space="preserve"> → downloads a small JSON file.</w:t>
      </w:r>
    </w:p>
    <w:p>
      <w:pPr>
        <w:pStyle w:val="ListNumber"/>
      </w:pPr>
      <w:r>
        <w:rPr>
          <w:b w:val="0"/>
          <w:i/>
          <w:sz w:val="20"/>
        </w:rPr>
        <w:t>Load settings</w:t>
      </w:r>
      <w:r>
        <w:rPr>
          <w:b w:val="0"/>
          <w:i w:val="0"/>
          <w:sz w:val="20"/>
        </w:rPr>
        <w:t xml:space="preserve"> → restores a run later.</w:t>
      </w:r>
    </w:p>
    <w:p>
      <w:pPr>
        <w:pStyle w:val="Heading1"/>
      </w:pPr>
      <w:r>
        <w:rPr>
          <w:rFonts w:ascii="Calibri" w:hAnsi="Calibri"/>
        </w:rPr>
        <w:t>Optional extension — Use your own data as a GEE asset</w:t>
      </w:r>
    </w:p>
    <w:p>
      <w:r>
        <w:rPr>
          <w:b w:val="0"/>
          <w:i w:val="0"/>
          <w:sz w:val="20"/>
        </w:rPr>
        <w:t>If you already have national data ingested into your GEE assets:</w:t>
      </w:r>
    </w:p>
    <w:p>
      <w:pPr>
        <w:pStyle w:val="ListNumber"/>
      </w:pPr>
      <w:r>
        <w:rPr>
          <w:b w:val="0"/>
          <w:i w:val="0"/>
          <w:sz w:val="20"/>
        </w:rPr>
        <w:t xml:space="preserve">Open the relevant section — e.g. </w:t>
      </w:r>
      <w:r>
        <w:rPr>
          <w:b/>
          <w:i w:val="0"/>
          <w:sz w:val="20"/>
        </w:rPr>
        <w:t>§ 2</w:t>
      </w:r>
      <w:r>
        <w:rPr>
          <w:b w:val="0"/>
          <w:i w:val="0"/>
          <w:sz w:val="20"/>
        </w:rPr>
        <w:t xml:space="preserve"> for a custom forest mask, </w:t>
      </w:r>
      <w:r>
        <w:rPr>
          <w:b/>
          <w:i w:val="0"/>
          <w:sz w:val="20"/>
        </w:rPr>
        <w:t>§ 3</w:t>
      </w:r>
      <w:r>
        <w:rPr>
          <w:b w:val="0"/>
          <w:i w:val="0"/>
          <w:sz w:val="20"/>
        </w:rPr>
        <w:t xml:space="preserve"> for custom agriculture / roads / PAs.</w:t>
      </w:r>
    </w:p>
    <w:p>
      <w:pPr>
        <w:pStyle w:val="ListNumber"/>
      </w:pPr>
      <w:r>
        <w:rPr>
          <w:b w:val="0"/>
          <w:i w:val="0"/>
          <w:sz w:val="20"/>
        </w:rPr>
        <w:t xml:space="preserve">Tick the </w:t>
      </w:r>
      <w:r>
        <w:rPr>
          <w:b w:val="0"/>
          <w:i/>
          <w:sz w:val="20"/>
        </w:rPr>
        <w:t>Custom data</w:t>
      </w:r>
      <w:r>
        <w:rPr>
          <w:b w:val="0"/>
          <w:i w:val="0"/>
          <w:sz w:val="20"/>
        </w:rPr>
        <w:t xml:space="preserve"> checkbox for that input.</w:t>
      </w:r>
    </w:p>
    <w:p>
      <w:pPr>
        <w:pStyle w:val="ListNumber"/>
      </w:pPr>
      <w:r>
        <w:rPr>
          <w:b w:val="0"/>
          <w:i w:val="0"/>
          <w:sz w:val="20"/>
        </w:rPr>
        <w:t xml:space="preserve">Paste the asset path (e.g. </w:t>
      </w:r>
      <w:r>
        <w:rPr>
          <w:rFonts w:ascii="Consolas" w:hAnsi="Consolas"/>
          <w:b w:val="0"/>
          <w:i w:val="0"/>
          <w:sz w:val="18"/>
        </w:rPr>
        <w:t>projects/your-project/assets/your-layer</w:t>
      </w:r>
      <w:r>
        <w:rPr>
          <w:b w:val="0"/>
          <w:i w:val="0"/>
          <w:sz w:val="20"/>
        </w:rPr>
        <w:t>).</w:t>
      </w:r>
    </w:p>
    <w:p>
      <w:pPr>
        <w:pStyle w:val="ListNumber"/>
      </w:pPr>
      <w:r>
        <w:rPr>
          <w:b w:val="0"/>
          <w:i w:val="0"/>
          <w:sz w:val="20"/>
        </w:rPr>
        <w:t xml:space="preserve">Choose a </w:t>
      </w:r>
      <w:r>
        <w:rPr>
          <w:b w:val="0"/>
          <w:i/>
          <w:sz w:val="20"/>
        </w:rPr>
        <w:t>Mode</w:t>
      </w:r>
      <w:r>
        <w:rPr>
          <w:b w:val="0"/>
          <w:i w:val="0"/>
          <w:sz w:val="20"/>
        </w:rPr>
        <w:t xml:space="preserve">: </w:t>
      </w:r>
      <w:r>
        <w:rPr>
          <w:b/>
          <w:i w:val="0"/>
          <w:sz w:val="20"/>
        </w:rPr>
        <w:t>Replace global</w:t>
      </w:r>
      <w:r>
        <w:rPr>
          <w:b w:val="0"/>
          <w:i w:val="0"/>
          <w:sz w:val="20"/>
        </w:rPr>
        <w:t xml:space="preserve">, </w:t>
      </w:r>
      <w:r>
        <w:rPr>
          <w:b/>
          <w:i w:val="0"/>
          <w:sz w:val="20"/>
        </w:rPr>
        <w:t>Add to global</w:t>
      </w:r>
      <w:r>
        <w:rPr>
          <w:b w:val="0"/>
          <w:i w:val="0"/>
          <w:sz w:val="20"/>
        </w:rPr>
        <w:t xml:space="preserve">, or </w:t>
      </w:r>
      <w:r>
        <w:rPr>
          <w:b/>
          <w:i w:val="0"/>
          <w:sz w:val="20"/>
        </w:rPr>
        <w:t>Agreement</w:t>
      </w:r>
      <w:r>
        <w:rPr>
          <w:b w:val="0"/>
          <w:i w:val="0"/>
          <w:sz w:val="20"/>
        </w:rPr>
        <w:t xml:space="preserve"> (only pixels in both).</w:t>
      </w:r>
    </w:p>
    <w:p>
      <w:pPr>
        <w:pStyle w:val="ListNumber"/>
      </w:pPr>
      <w:r>
        <w:rPr>
          <w:b w:val="0"/>
          <w:i w:val="0"/>
          <w:sz w:val="20"/>
        </w:rPr>
        <w:t>Configure the preprocessing (band, classes, threshold) as needed.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 xml:space="preserve"> and compare to the global-only run.</w:t>
      </w:r>
    </w:p>
    <w:p>
      <w:pPr>
        <w:pStyle w:val="IntenseQuote"/>
      </w:pPr>
      <w:r>
        <w:rPr>
          <w:b/>
          <w:i/>
          <w:sz w:val="20"/>
        </w:rPr>
        <w:t>NOTE:</w:t>
      </w:r>
      <w:r>
        <w:rPr>
          <w:b w:val="0"/>
          <w:i/>
          <w:sz w:val="20"/>
        </w:rPr>
        <w:t xml:space="preserve"> the asset must be visible to the GEE account running the app. Public assets work; private assets must be shared with you.</w:t>
      </w:r>
    </w:p>
    <w:p>
      <w:pPr>
        <w:pStyle w:val="Heading1"/>
      </w:pPr>
      <w:r>
        <w:rPr>
          <w:rFonts w:ascii="Calibri" w:hAnsi="Calibri"/>
        </w:rPr>
        <w:t>Discussion prompts</w:t>
      </w:r>
    </w:p>
    <w:p>
      <w:pPr>
        <w:pStyle w:val="ListBullet"/>
      </w:pPr>
      <w:r>
        <w:rPr>
          <w:b w:val="0"/>
          <w:i w:val="0"/>
          <w:sz w:val="20"/>
        </w:rPr>
        <w:t>Where does PFF identify primary forest in your country? Does it match local knowledge?</w:t>
      </w:r>
    </w:p>
    <w:p>
      <w:pPr>
        <w:pStyle w:val="ListBullet"/>
      </w:pPr>
      <w:r>
        <w:rPr>
          <w:b w:val="0"/>
          <w:i w:val="0"/>
          <w:sz w:val="20"/>
        </w:rPr>
        <w:t>Which parameter mattered most when you adjusted it?</w:t>
      </w:r>
    </w:p>
    <w:p>
      <w:pPr>
        <w:pStyle w:val="ListBullet"/>
      </w:pPr>
      <w:r>
        <w:rPr>
          <w:b w:val="0"/>
          <w:i w:val="0"/>
          <w:sz w:val="20"/>
        </w:rPr>
        <w:t>Which dataset seemed most decisive — forest source, roads, PAs, slope?</w:t>
      </w:r>
    </w:p>
    <w:p>
      <w:pPr>
        <w:pStyle w:val="ListBullet"/>
      </w:pPr>
      <w:r>
        <w:rPr>
          <w:b w:val="0"/>
          <w:i w:val="0"/>
          <w:sz w:val="20"/>
        </w:rPr>
        <w:t>Where does the tool clearly get it wrong, and why?</w:t>
      </w:r>
    </w:p>
    <w:p>
      <w:pPr>
        <w:pStyle w:val="ListBullet"/>
      </w:pPr>
      <w:r>
        <w:rPr>
          <w:b w:val="0"/>
          <w:i w:val="0"/>
          <w:sz w:val="20"/>
        </w:rPr>
        <w:t>Would national data be needed to improve the result?</w:t>
      </w:r>
    </w:p>
    <w:p>
      <w:pPr>
        <w:pStyle w:val="Heading1"/>
      </w:pPr>
      <w:r>
        <w:rPr>
          <w:rFonts w:ascii="Calibri" w:hAnsi="Calibri"/>
        </w:rPr>
        <w:t>Suggested time budget (≈ 60 min)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2C5282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5256"/>
            <w:shd w:val="clear" w:color="auto" w:fill="2C5282"/>
          </w:tcPr>
          <w:p>
            <w:r/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1. Run with defaults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5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2. Tree Cover + Refine input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12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3. Human Influence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10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4. Refine Output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4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5. Reference layers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5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6. Stats at different resolutions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8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7. Compare two years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8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8. Save config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2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Discussion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6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Total core</w:t>
            </w:r>
          </w:p>
        </w:tc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≈ 60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/>
                <w:sz w:val="18"/>
              </w:rPr>
              <w:t>Optional — GEE asset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+ 10 min</w:t>
            </w:r>
          </w:p>
        </w:tc>
      </w:tr>
    </w:tbl>
    <w:p/>
    <w:p>
      <w:r>
        <w:rPr>
          <w:b w:val="0"/>
          <w:i/>
          <w:sz w:val="20"/>
        </w:rPr>
        <w:t>Workshop walkthrough · 2026-05-12 · pff_4.js v4.15.7-beta.1 · companion to QGIS Workflow Guide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QGIS_Workflow_Ann_Rotich_V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