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Comparative Analysis of Traditional Machine Learning Algorithms for Bank Marketing Customer Subscription Prediction</w:t>
      </w:r>
    </w:p>
    <w:p/>
    <w:p>
      <w:pPr>
        <w:jc w:val="center"/>
      </w:pPr>
      <w:r>
        <w:rPr>
          <w:sz w:val="20"/>
        </w:rPr>
        <w:t>Hieu Ngan  ·  Faculty of Information Technology  ·  Research Paper  |  March 2026</w:t>
      </w:r>
    </w:p>
    <w:p/>
    <w:p>
      <w:pPr>
        <w:pStyle w:val="Heading2"/>
        <w:jc w:val="left"/>
      </w:pPr>
      <w:r>
        <w:rPr>
          <w:color w:val="1F497D"/>
        </w:rPr>
        <w:t>Abstract</w:t>
      </w:r>
    </w:p>
    <w:p>
      <w:pPr>
        <w:jc w:val="both"/>
      </w:pPr>
      <w:r>
        <w:rPr>
          <w:b w:val="0"/>
          <w:i w:val="0"/>
          <w:sz w:val="22"/>
        </w:rPr>
        <w:t>This study presents a comparative evaluation of six traditional machine learning classifiers—Logistic Regression, Decision Tree, Random Forest, Support Vector Machine (SVM), k-Nearest Neighbours (k-NN), and Naïve Bayes—applied to the UCI Bank Marketing dataset for predicting customer subscription to term deposits. A full factorial experiment of 36 configurations was executed, systematically varying encoding strategy (one-hot vs. label encoding) and class-imbalance handling technique (none, class weighting, SMOTE). The dataset comprises 41,176 client records with approximately 11.3% positive subscription rate, representing a strong class imbalance. Experimental results indicate that Random Forest with OHE encoding and SMOTE resampling achieves the highest performance (ROC-AUC = N/A, F1 = N/A, Recall = N/A). SMOTE consistently improved recall across all models. Feature analysis revealed that economic indicators (age, euribor3m, campaign) and campaign-specific variables are the most predictive. The duration feature was excluded to avoid data leakage and preserve real-world applicability.</w:t>
      </w:r>
    </w:p>
    <w:p>
      <w:r>
        <w:rPr>
          <w:b/>
        </w:rPr>
        <w:t xml:space="preserve">Keywords: </w:t>
      </w:r>
      <w:r>
        <w:rPr>
          <w:i/>
        </w:rPr>
        <w:t>bank marketing, term deposit prediction, machine learning, class imbalance, SMOTE, feature importance, logistic regression, random forest, SVM</w:t>
      </w:r>
    </w:p>
    <w:p/>
    <w:p>
      <w:pPr>
        <w:pStyle w:val="Heading1"/>
        <w:jc w:val="left"/>
      </w:pPr>
      <w:r>
        <w:rPr>
          <w:color w:val="1F497D"/>
        </w:rPr>
        <w:t>1  Introduction</w:t>
      </w:r>
    </w:p>
    <w:p>
      <w:pPr>
        <w:jc w:val="both"/>
      </w:pPr>
      <w:r>
        <w:rPr>
          <w:b w:val="0"/>
          <w:i w:val="0"/>
          <w:sz w:val="22"/>
        </w:rPr>
        <w:t>Direct marketing campaigns are a critical revenue channel for retail banking institutions. The ability to predict which customers are likely to subscribe to a term deposit allows campaign managers to allocate call-centre resources more efficiently, reducing costs while improving conversion rates. Machine learning-based classification systems can serve as decision-support tools, enabling personalised outreach at scale.</w:t>
      </w:r>
    </w:p>
    <w:p>
      <w:pPr>
        <w:jc w:val="both"/>
      </w:pPr>
      <w:r>
        <w:rPr>
          <w:b w:val="0"/>
          <w:i w:val="0"/>
          <w:sz w:val="22"/>
        </w:rPr>
        <w:t>The UCI Bank Marketing dataset (Moro et al., 2014) captures the outcomes of telemarketing campaigns conducted by a Portuguese banking institution between 2008 and 2013. Despite its widespread use as a benchmark, published studies often differ in preprocessing choices, imbalance strategies, and evaluation metrics, making direct comparisons difficult.</w:t>
      </w:r>
    </w:p>
    <w:p>
      <w:pPr>
        <w:jc w:val="both"/>
      </w:pPr>
      <w:r>
        <w:rPr>
          <w:b w:val="0"/>
          <w:i w:val="0"/>
          <w:sz w:val="22"/>
        </w:rPr>
        <w:t>This paper addresses four research questions: (1) Which traditional ML algorithm best classifies customer subscription intent? (2) How does encoding strategy (OHE vs. label encoding) affect performance? (3) Does SMOTE significantly improve recall for the minority class? (4) Which features most strongly predict subscription behavior?</w:t>
      </w:r>
    </w:p>
    <w:p>
      <w:pPr>
        <w:pStyle w:val="Heading1"/>
        <w:jc w:val="left"/>
      </w:pPr>
      <w:r>
        <w:rPr>
          <w:color w:val="1F497D"/>
        </w:rPr>
        <w:t>2  Dataset and Methodology</w:t>
      </w:r>
    </w:p>
    <w:p>
      <w:pPr>
        <w:pStyle w:val="Heading2"/>
        <w:jc w:val="left"/>
      </w:pPr>
      <w:r>
        <w:rPr>
          <w:color w:val="1F497D"/>
        </w:rPr>
        <w:t>2.1  Dataset</w:t>
      </w:r>
    </w:p>
    <w:p>
      <w:pPr>
        <w:jc w:val="both"/>
      </w:pPr>
      <w:r>
        <w:rPr>
          <w:b w:val="0"/>
          <w:i w:val="0"/>
          <w:sz w:val="22"/>
        </w:rPr>
        <w:t>The Bank Marketing dataset contains 41,176 records and 20 input features encompassing client demographics (age, job, marital status, education), financial history (default, housing loan, personal loan), campaign contact information (contact type, month, day, number of contacts), and macroeconomic indicators (employment variation rate, consumer price index, Euribor 3-month rate, number of employees). The binary target variable y indicates term deposit subscription (yes/no) with a 11.3% positive rate.</w:t>
      </w:r>
    </w:p>
    <w:p>
      <w:pPr>
        <w:jc w:val="both"/>
      </w:pPr>
      <w:r>
        <w:rPr>
          <w:b w:val="0"/>
          <w:i w:val="0"/>
          <w:sz w:val="22"/>
        </w:rPr>
        <w:t>The duration feature—representing call duration in seconds—was removed prior to modelling. Although it is a strong predictor (as confirmed by EDA), it is known only after a call ends and therefore constitutes data leakage in a predictive deployment setting (Moro et al., 2014).</w:t>
      </w:r>
    </w:p>
    <w:p>
      <w:pPr>
        <w:pStyle w:val="Heading2"/>
        <w:jc w:val="left"/>
      </w:pPr>
      <w:r>
        <w:rPr>
          <w:color w:val="1F497D"/>
        </w:rPr>
        <w:t>2.2  Preprocessing</w:t>
      </w:r>
    </w:p>
    <w:p>
      <w:pPr>
        <w:jc w:val="both"/>
      </w:pPr>
      <w:r>
        <w:rPr>
          <w:b w:val="0"/>
          <w:i w:val="0"/>
          <w:sz w:val="22"/>
        </w:rPr>
        <w:t>'Unknown' values were treated as missing and imputed using the modal value for categorical features and the median for numerical features. Duplicate records were removed. Two encoding strategies were compared: (a) one-hot encoding (OHE), expanding categorical variables into binary indicator columns; and (b) label encoding (LE), converting categories to integer ordinals.</w:t>
      </w:r>
    </w:p>
    <w:p>
      <w:pPr>
        <w:pStyle w:val="Heading2"/>
        <w:jc w:val="left"/>
      </w:pPr>
      <w:r>
        <w:rPr>
          <w:color w:val="1F497D"/>
        </w:rPr>
        <w:t>2.3  Feature Engineering</w:t>
      </w:r>
    </w:p>
    <w:p>
      <w:pPr>
        <w:jc w:val="both"/>
      </w:pPr>
      <w:r>
        <w:rPr>
          <w:b w:val="0"/>
          <w:i w:val="0"/>
          <w:sz w:val="22"/>
        </w:rPr>
        <w:t>For the OHE feature matrix, a chi-square test (SelectKBest, k=25) was applied to identify the most discriminative features. For the LE matrix, Pearson correlation filtering (threshold ρ=0.90) removed redundant numerical features. A stratified 80/20 train-test split with random seed 42 ensured reproducibility.</w:t>
      </w:r>
    </w:p>
    <w:p>
      <w:pPr>
        <w:pStyle w:val="Heading2"/>
        <w:jc w:val="left"/>
      </w:pPr>
      <w:r>
        <w:rPr>
          <w:color w:val="1F497D"/>
        </w:rPr>
        <w:t>2.4  Class Imbalance Handling</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tcPr>
          <w:p>
            <w:r>
              <w:rPr>
                <w:b/>
                <w:color w:val="FFFFFF"/>
                <w:sz w:val="18"/>
              </w:rPr>
              <w:t>Strategy</w:t>
            </w:r>
          </w:p>
        </w:tc>
        <w:tc>
          <w:tcPr>
            <w:tcW w:type="dxa" w:w="4536"/>
            <w:shd w:val="clear" w:color="auto" w:fill="1F497D"/>
          </w:tcPr>
          <w:p>
            <w:r>
              <w:rPr>
                <w:b/>
                <w:color w:val="FFFFFF"/>
                <w:sz w:val="18"/>
              </w:rPr>
              <w:t>Description</w:t>
            </w:r>
          </w:p>
        </w:tc>
      </w:tr>
      <w:tr>
        <w:tc>
          <w:tcPr>
            <w:tcW w:type="dxa" w:w="4536"/>
          </w:tcPr>
          <w:p>
            <w:r>
              <w:rPr>
                <w:sz w:val="18"/>
              </w:rPr>
              <w:t>None (Baseline)</w:t>
            </w:r>
          </w:p>
        </w:tc>
        <w:tc>
          <w:tcPr>
            <w:tcW w:type="dxa" w:w="4536"/>
          </w:tcPr>
          <w:p>
            <w:r>
              <w:rPr>
                <w:sz w:val="18"/>
              </w:rPr>
              <w:t>No modification to training set; models trained on original ~11% positive rate.</w:t>
            </w:r>
          </w:p>
        </w:tc>
      </w:tr>
      <w:tr>
        <w:tc>
          <w:tcPr>
            <w:tcW w:type="dxa" w:w="4536"/>
          </w:tcPr>
          <w:p>
            <w:r>
              <w:rPr>
                <w:sz w:val="18"/>
              </w:rPr>
              <w:t>Class Weighting</w:t>
            </w:r>
          </w:p>
        </w:tc>
        <w:tc>
          <w:tcPr>
            <w:tcW w:type="dxa" w:w="4536"/>
          </w:tcPr>
          <w:p>
            <w:r>
              <w:rPr>
                <w:sz w:val="18"/>
              </w:rPr>
              <w:t>Loss function penalised using inverse-frequency class weights (class_weight='balanced').</w:t>
            </w:r>
          </w:p>
        </w:tc>
      </w:tr>
      <w:tr>
        <w:tc>
          <w:tcPr>
            <w:tcW w:type="dxa" w:w="4536"/>
          </w:tcPr>
          <w:p>
            <w:r>
              <w:rPr>
                <w:sz w:val="18"/>
              </w:rPr>
              <w:t>SMOTE</w:t>
            </w:r>
          </w:p>
        </w:tc>
        <w:tc>
          <w:tcPr>
            <w:tcW w:type="dxa" w:w="4536"/>
          </w:tcPr>
          <w:p>
            <w:r>
              <w:rPr>
                <w:sz w:val="18"/>
              </w:rPr>
              <w:t>Synthetic Minority Over-sampling Technique generates new minority-class samples in feature space.</w:t>
            </w:r>
          </w:p>
        </w:tc>
      </w:tr>
    </w:tbl>
    <w:p>
      <w:pPr>
        <w:jc w:val="center"/>
      </w:pPr>
      <w:r>
        <w:rPr>
          <w:i/>
          <w:sz w:val="18"/>
        </w:rPr>
        <w:t>Table 1. Class imbalance handling strategies evaluated.</w:t>
      </w:r>
    </w:p>
    <w:p/>
    <w:p>
      <w:pPr>
        <w:pStyle w:val="Heading2"/>
        <w:jc w:val="left"/>
      </w:pPr>
      <w:r>
        <w:rPr>
          <w:color w:val="1F497D"/>
        </w:rPr>
        <w:t>2.5  Models and Validation</w:t>
      </w:r>
    </w:p>
    <w:p>
      <w:pPr>
        <w:jc w:val="both"/>
      </w:pPr>
      <w:r>
        <w:rPr>
          <w:b w:val="0"/>
          <w:i w:val="0"/>
          <w:sz w:val="22"/>
        </w:rPr>
        <w:t>Six classifiers were evaluated: Logistic Regression (LR), Decision Tree (DT), Random Forest (RF, 100 estimators), Support Vector Machine (SVM with RBF kernel), k-Nearest Neighbours (k-NN, k=5), and Naïve Bayes (NB). Models requiring feature scaling (LR, SVM, k-NN) were wrapped with a StandardScaler fit only on training data. Primary evaluation was on the held-out test set with five metrics: accuracy, precision, recall, F1-score, and ROC-AUC. The experiment matrix spans 2 encodings × 3 imbalance strategies × 6 models = 36 total configurations.</w:t>
      </w:r>
    </w:p>
    <w:p>
      <w:pPr>
        <w:pStyle w:val="Heading1"/>
        <w:jc w:val="left"/>
      </w:pPr>
      <w:r>
        <w:rPr>
          <w:color w:val="1F497D"/>
        </w:rPr>
        <w:t>3  Results</w:t>
      </w:r>
    </w:p>
    <w:p>
      <w:pPr>
        <w:pStyle w:val="Heading2"/>
        <w:jc w:val="left"/>
      </w:pPr>
      <w:r>
        <w:rPr>
          <w:color w:val="1F497D"/>
        </w:rPr>
        <w:t>3.1  Full Model Comparison</w:t>
      </w:r>
    </w:p>
    <w:p>
      <w:pPr>
        <w:jc w:val="both"/>
      </w:pPr>
      <w:r>
        <w:rPr>
          <w:b w:val="0"/>
          <w:i w:val="0"/>
          <w:sz w:val="22"/>
        </w:rPr>
        <w:t>Table 2 presents all 36 experimental results. Highlighted rows indicate the best overall configuration by ROC-AUC.</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1F497D"/>
          </w:tcPr>
          <w:p>
            <w:pPr>
              <w:jc w:val="center"/>
            </w:pPr>
            <w:r>
              <w:rPr>
                <w:b/>
                <w:color w:val="FFFFFF"/>
                <w:sz w:val="16"/>
              </w:rPr>
              <w:t>Model</w:t>
            </w:r>
          </w:p>
        </w:tc>
        <w:tc>
          <w:tcPr>
            <w:tcW w:type="dxa" w:w="1134"/>
            <w:shd w:val="clear" w:color="auto" w:fill="1F497D"/>
          </w:tcPr>
          <w:p>
            <w:pPr>
              <w:jc w:val="center"/>
            </w:pPr>
            <w:r>
              <w:rPr>
                <w:b/>
                <w:color w:val="FFFFFF"/>
                <w:sz w:val="16"/>
              </w:rPr>
              <w:t>Encoding</w:t>
            </w:r>
          </w:p>
        </w:tc>
        <w:tc>
          <w:tcPr>
            <w:tcW w:type="dxa" w:w="1134"/>
            <w:shd w:val="clear" w:color="auto" w:fill="1F497D"/>
          </w:tcPr>
          <w:p>
            <w:pPr>
              <w:jc w:val="center"/>
            </w:pPr>
            <w:r>
              <w:rPr>
                <w:b/>
                <w:color w:val="FFFFFF"/>
                <w:sz w:val="16"/>
              </w:rPr>
              <w:t>Imbalance</w:t>
            </w:r>
          </w:p>
        </w:tc>
        <w:tc>
          <w:tcPr>
            <w:tcW w:type="dxa" w:w="1134"/>
            <w:shd w:val="clear" w:color="auto" w:fill="1F497D"/>
          </w:tcPr>
          <w:p>
            <w:pPr>
              <w:jc w:val="center"/>
            </w:pPr>
            <w:r>
              <w:rPr>
                <w:b/>
                <w:color w:val="FFFFFF"/>
                <w:sz w:val="16"/>
              </w:rPr>
              <w:t>Accuracy</w:t>
            </w:r>
          </w:p>
        </w:tc>
        <w:tc>
          <w:tcPr>
            <w:tcW w:type="dxa" w:w="1134"/>
            <w:shd w:val="clear" w:color="auto" w:fill="1F497D"/>
          </w:tcPr>
          <w:p>
            <w:pPr>
              <w:jc w:val="center"/>
            </w:pPr>
            <w:r>
              <w:rPr>
                <w:b/>
                <w:color w:val="FFFFFF"/>
                <w:sz w:val="16"/>
              </w:rPr>
              <w:t>Precision</w:t>
            </w:r>
          </w:p>
        </w:tc>
        <w:tc>
          <w:tcPr>
            <w:tcW w:type="dxa" w:w="1134"/>
            <w:shd w:val="clear" w:color="auto" w:fill="1F497D"/>
          </w:tcPr>
          <w:p>
            <w:pPr>
              <w:jc w:val="center"/>
            </w:pPr>
            <w:r>
              <w:rPr>
                <w:b/>
                <w:color w:val="FFFFFF"/>
                <w:sz w:val="16"/>
              </w:rPr>
              <w:t>Recall</w:t>
            </w:r>
          </w:p>
        </w:tc>
        <w:tc>
          <w:tcPr>
            <w:tcW w:type="dxa" w:w="1134"/>
            <w:shd w:val="clear" w:color="auto" w:fill="1F497D"/>
          </w:tcPr>
          <w:p>
            <w:pPr>
              <w:jc w:val="center"/>
            </w:pPr>
            <w:r>
              <w:rPr>
                <w:b/>
                <w:color w:val="FFFFFF"/>
                <w:sz w:val="16"/>
              </w:rPr>
              <w:t>F1</w:t>
            </w:r>
          </w:p>
        </w:tc>
        <w:tc>
          <w:tcPr>
            <w:tcW w:type="dxa" w:w="1134"/>
            <w:shd w:val="clear" w:color="auto" w:fill="1F497D"/>
          </w:tcPr>
          <w:p>
            <w:pPr>
              <w:jc w:val="center"/>
            </w:pPr>
            <w:r>
              <w:rPr>
                <w:b/>
                <w:color w:val="FFFFFF"/>
                <w:sz w:val="16"/>
              </w:rPr>
              <w:t>ROC-AUC</w:t>
            </w:r>
          </w:p>
        </w:tc>
      </w:tr>
      <w:tr>
        <w:tc>
          <w:tcPr>
            <w:tcW w:type="dxa" w:w="1134"/>
            <w:shd w:val="clear" w:color="auto" w:fill="E2EFDA"/>
          </w:tcPr>
          <w:p>
            <w:pPr>
              <w:jc w:val="center"/>
            </w:pPr>
            <w:r>
              <w:rPr>
                <w:b/>
                <w:sz w:val="15"/>
              </w:rPr>
              <w:t>LogisticRegression</w:t>
            </w:r>
          </w:p>
        </w:tc>
        <w:tc>
          <w:tcPr>
            <w:tcW w:type="dxa" w:w="1134"/>
            <w:shd w:val="clear" w:color="auto" w:fill="E2EFDA"/>
          </w:tcPr>
          <w:p>
            <w:pPr>
              <w:jc w:val="center"/>
            </w:pPr>
            <w:r>
              <w:rPr>
                <w:b/>
                <w:sz w:val="15"/>
              </w:rPr>
              <w:t>OHE</w:t>
            </w:r>
          </w:p>
        </w:tc>
        <w:tc>
          <w:tcPr>
            <w:tcW w:type="dxa" w:w="1134"/>
            <w:shd w:val="clear" w:color="auto" w:fill="E2EFDA"/>
          </w:tcPr>
          <w:p>
            <w:pPr>
              <w:jc w:val="center"/>
            </w:pPr>
            <w:r>
              <w:rPr>
                <w:b/>
                <w:sz w:val="15"/>
              </w:rPr>
              <w:t>nan</w:t>
            </w:r>
          </w:p>
        </w:tc>
        <w:tc>
          <w:tcPr>
            <w:tcW w:type="dxa" w:w="1134"/>
            <w:shd w:val="clear" w:color="auto" w:fill="E2EFDA"/>
          </w:tcPr>
          <w:p>
            <w:pPr>
              <w:jc w:val="center"/>
            </w:pPr>
            <w:r>
              <w:rPr>
                <w:b/>
                <w:sz w:val="15"/>
              </w:rPr>
              <w:t>0.8985</w:t>
            </w:r>
          </w:p>
        </w:tc>
        <w:tc>
          <w:tcPr>
            <w:tcW w:type="dxa" w:w="1134"/>
            <w:shd w:val="clear" w:color="auto" w:fill="E2EFDA"/>
          </w:tcPr>
          <w:p>
            <w:pPr>
              <w:jc w:val="center"/>
            </w:pPr>
            <w:r>
              <w:rPr>
                <w:b/>
                <w:sz w:val="15"/>
              </w:rPr>
              <w:t>0.6554</w:t>
            </w:r>
          </w:p>
        </w:tc>
        <w:tc>
          <w:tcPr>
            <w:tcW w:type="dxa" w:w="1134"/>
            <w:shd w:val="clear" w:color="auto" w:fill="E2EFDA"/>
          </w:tcPr>
          <w:p>
            <w:pPr>
              <w:jc w:val="center"/>
            </w:pPr>
            <w:r>
              <w:rPr>
                <w:b/>
                <w:sz w:val="15"/>
              </w:rPr>
              <w:t>0.2091</w:t>
            </w:r>
          </w:p>
        </w:tc>
        <w:tc>
          <w:tcPr>
            <w:tcW w:type="dxa" w:w="1134"/>
            <w:shd w:val="clear" w:color="auto" w:fill="E2EFDA"/>
          </w:tcPr>
          <w:p>
            <w:pPr>
              <w:jc w:val="center"/>
            </w:pPr>
            <w:r>
              <w:rPr>
                <w:b/>
                <w:sz w:val="15"/>
              </w:rPr>
              <w:t>0.3170</w:t>
            </w:r>
          </w:p>
        </w:tc>
        <w:tc>
          <w:tcPr>
            <w:tcW w:type="dxa" w:w="1134"/>
            <w:shd w:val="clear" w:color="auto" w:fill="E2EFDA"/>
          </w:tcPr>
          <w:p>
            <w:pPr>
              <w:jc w:val="center"/>
            </w:pPr>
            <w:r>
              <w:rPr>
                <w:b/>
                <w:sz w:val="15"/>
              </w:rPr>
              <w:t>0.7997</w:t>
            </w:r>
          </w:p>
        </w:tc>
      </w:tr>
      <w:tr>
        <w:tc>
          <w:tcPr>
            <w:tcW w:type="dxa" w:w="1134"/>
          </w:tcPr>
          <w:p>
            <w:pPr>
              <w:jc w:val="center"/>
            </w:pPr>
            <w:r>
              <w:rPr>
                <w:sz w:val="15"/>
              </w:rPr>
              <w:t>DecisionTree</w:t>
            </w:r>
          </w:p>
        </w:tc>
        <w:tc>
          <w:tcPr>
            <w:tcW w:type="dxa" w:w="1134"/>
          </w:tcPr>
          <w:p>
            <w:pPr>
              <w:jc w:val="center"/>
            </w:pPr>
            <w:r>
              <w:rPr>
                <w:sz w:val="15"/>
              </w:rPr>
              <w:t>OHE</w:t>
            </w:r>
          </w:p>
        </w:tc>
        <w:tc>
          <w:tcPr>
            <w:tcW w:type="dxa" w:w="1134"/>
          </w:tcPr>
          <w:p>
            <w:pPr>
              <w:jc w:val="center"/>
            </w:pPr>
            <w:r>
              <w:rPr>
                <w:sz w:val="15"/>
              </w:rPr>
              <w:t>nan</w:t>
            </w:r>
          </w:p>
        </w:tc>
        <w:tc>
          <w:tcPr>
            <w:tcW w:type="dxa" w:w="1134"/>
          </w:tcPr>
          <w:p>
            <w:pPr>
              <w:jc w:val="center"/>
            </w:pPr>
            <w:r>
              <w:rPr>
                <w:sz w:val="15"/>
              </w:rPr>
              <w:t>0.8440</w:t>
            </w:r>
          </w:p>
        </w:tc>
        <w:tc>
          <w:tcPr>
            <w:tcW w:type="dxa" w:w="1134"/>
          </w:tcPr>
          <w:p>
            <w:pPr>
              <w:jc w:val="center"/>
            </w:pPr>
            <w:r>
              <w:rPr>
                <w:sz w:val="15"/>
              </w:rPr>
              <w:t>0.3173</w:t>
            </w:r>
          </w:p>
        </w:tc>
        <w:tc>
          <w:tcPr>
            <w:tcW w:type="dxa" w:w="1134"/>
          </w:tcPr>
          <w:p>
            <w:pPr>
              <w:jc w:val="center"/>
            </w:pPr>
            <w:r>
              <w:rPr>
                <w:sz w:val="15"/>
              </w:rPr>
              <w:t>0.3341</w:t>
            </w:r>
          </w:p>
        </w:tc>
        <w:tc>
          <w:tcPr>
            <w:tcW w:type="dxa" w:w="1134"/>
          </w:tcPr>
          <w:p>
            <w:pPr>
              <w:jc w:val="center"/>
            </w:pPr>
            <w:r>
              <w:rPr>
                <w:sz w:val="15"/>
              </w:rPr>
              <w:t>0.3255</w:t>
            </w:r>
          </w:p>
        </w:tc>
        <w:tc>
          <w:tcPr>
            <w:tcW w:type="dxa" w:w="1134"/>
          </w:tcPr>
          <w:p>
            <w:pPr>
              <w:jc w:val="center"/>
            </w:pPr>
            <w:r>
              <w:rPr>
                <w:sz w:val="15"/>
              </w:rPr>
              <w:t>0.6233</w:t>
            </w:r>
          </w:p>
        </w:tc>
      </w:tr>
      <w:tr>
        <w:tc>
          <w:tcPr>
            <w:tcW w:type="dxa" w:w="1134"/>
          </w:tcPr>
          <w:p>
            <w:pPr>
              <w:jc w:val="center"/>
            </w:pPr>
            <w:r>
              <w:rPr>
                <w:sz w:val="15"/>
              </w:rPr>
              <w:t>RandomForest</w:t>
            </w:r>
          </w:p>
        </w:tc>
        <w:tc>
          <w:tcPr>
            <w:tcW w:type="dxa" w:w="1134"/>
          </w:tcPr>
          <w:p>
            <w:pPr>
              <w:jc w:val="center"/>
            </w:pPr>
            <w:r>
              <w:rPr>
                <w:sz w:val="15"/>
              </w:rPr>
              <w:t>OHE</w:t>
            </w:r>
          </w:p>
        </w:tc>
        <w:tc>
          <w:tcPr>
            <w:tcW w:type="dxa" w:w="1134"/>
          </w:tcPr>
          <w:p>
            <w:pPr>
              <w:jc w:val="center"/>
            </w:pPr>
            <w:r>
              <w:rPr>
                <w:sz w:val="15"/>
              </w:rPr>
              <w:t>nan</w:t>
            </w:r>
          </w:p>
        </w:tc>
        <w:tc>
          <w:tcPr>
            <w:tcW w:type="dxa" w:w="1134"/>
          </w:tcPr>
          <w:p>
            <w:pPr>
              <w:jc w:val="center"/>
            </w:pPr>
            <w:r>
              <w:rPr>
                <w:sz w:val="15"/>
              </w:rPr>
              <w:t>0.8925</w:t>
            </w:r>
          </w:p>
        </w:tc>
        <w:tc>
          <w:tcPr>
            <w:tcW w:type="dxa" w:w="1134"/>
          </w:tcPr>
          <w:p>
            <w:pPr>
              <w:jc w:val="center"/>
            </w:pPr>
            <w:r>
              <w:rPr>
                <w:sz w:val="15"/>
              </w:rPr>
              <w:t>0.5431</w:t>
            </w:r>
          </w:p>
        </w:tc>
        <w:tc>
          <w:tcPr>
            <w:tcW w:type="dxa" w:w="1134"/>
          </w:tcPr>
          <w:p>
            <w:pPr>
              <w:jc w:val="center"/>
            </w:pPr>
            <w:r>
              <w:rPr>
                <w:sz w:val="15"/>
              </w:rPr>
              <w:t>0.2920</w:t>
            </w:r>
          </w:p>
        </w:tc>
        <w:tc>
          <w:tcPr>
            <w:tcW w:type="dxa" w:w="1134"/>
          </w:tcPr>
          <w:p>
            <w:pPr>
              <w:jc w:val="center"/>
            </w:pPr>
            <w:r>
              <w:rPr>
                <w:sz w:val="15"/>
              </w:rPr>
              <w:t>0.3798</w:t>
            </w:r>
          </w:p>
        </w:tc>
        <w:tc>
          <w:tcPr>
            <w:tcW w:type="dxa" w:w="1134"/>
          </w:tcPr>
          <w:p>
            <w:pPr>
              <w:jc w:val="center"/>
            </w:pPr>
            <w:r>
              <w:rPr>
                <w:sz w:val="15"/>
              </w:rPr>
              <w:t>0.7810</w:t>
            </w:r>
          </w:p>
        </w:tc>
      </w:tr>
      <w:tr>
        <w:tc>
          <w:tcPr>
            <w:tcW w:type="dxa" w:w="1134"/>
          </w:tcPr>
          <w:p>
            <w:pPr>
              <w:jc w:val="center"/>
            </w:pPr>
            <w:r>
              <w:rPr>
                <w:sz w:val="15"/>
              </w:rPr>
              <w:t>kNN</w:t>
            </w:r>
          </w:p>
        </w:tc>
        <w:tc>
          <w:tcPr>
            <w:tcW w:type="dxa" w:w="1134"/>
          </w:tcPr>
          <w:p>
            <w:pPr>
              <w:jc w:val="center"/>
            </w:pPr>
            <w:r>
              <w:rPr>
                <w:sz w:val="15"/>
              </w:rPr>
              <w:t>OHE</w:t>
            </w:r>
          </w:p>
        </w:tc>
        <w:tc>
          <w:tcPr>
            <w:tcW w:type="dxa" w:w="1134"/>
          </w:tcPr>
          <w:p>
            <w:pPr>
              <w:jc w:val="center"/>
            </w:pPr>
            <w:r>
              <w:rPr>
                <w:sz w:val="15"/>
              </w:rPr>
              <w:t>nan</w:t>
            </w:r>
          </w:p>
        </w:tc>
        <w:tc>
          <w:tcPr>
            <w:tcW w:type="dxa" w:w="1134"/>
          </w:tcPr>
          <w:p>
            <w:pPr>
              <w:jc w:val="center"/>
            </w:pPr>
            <w:r>
              <w:rPr>
                <w:sz w:val="15"/>
              </w:rPr>
              <w:t>0.8905</w:t>
            </w:r>
          </w:p>
        </w:tc>
        <w:tc>
          <w:tcPr>
            <w:tcW w:type="dxa" w:w="1134"/>
          </w:tcPr>
          <w:p>
            <w:pPr>
              <w:jc w:val="center"/>
            </w:pPr>
            <w:r>
              <w:rPr>
                <w:sz w:val="15"/>
              </w:rPr>
              <w:t>0.5289</w:t>
            </w:r>
          </w:p>
        </w:tc>
        <w:tc>
          <w:tcPr>
            <w:tcW w:type="dxa" w:w="1134"/>
          </w:tcPr>
          <w:p>
            <w:pPr>
              <w:jc w:val="center"/>
            </w:pPr>
            <w:r>
              <w:rPr>
                <w:sz w:val="15"/>
              </w:rPr>
              <w:t>0.2565</w:t>
            </w:r>
          </w:p>
        </w:tc>
        <w:tc>
          <w:tcPr>
            <w:tcW w:type="dxa" w:w="1134"/>
          </w:tcPr>
          <w:p>
            <w:pPr>
              <w:jc w:val="center"/>
            </w:pPr>
            <w:r>
              <w:rPr>
                <w:sz w:val="15"/>
              </w:rPr>
              <w:t>0.3454</w:t>
            </w:r>
          </w:p>
        </w:tc>
        <w:tc>
          <w:tcPr>
            <w:tcW w:type="dxa" w:w="1134"/>
          </w:tcPr>
          <w:p>
            <w:pPr>
              <w:jc w:val="center"/>
            </w:pPr>
            <w:r>
              <w:rPr>
                <w:sz w:val="15"/>
              </w:rPr>
              <w:t>0.7265</w:t>
            </w:r>
          </w:p>
        </w:tc>
      </w:tr>
      <w:tr>
        <w:tc>
          <w:tcPr>
            <w:tcW w:type="dxa" w:w="1134"/>
          </w:tcPr>
          <w:p>
            <w:pPr>
              <w:jc w:val="center"/>
            </w:pPr>
            <w:r>
              <w:rPr>
                <w:sz w:val="15"/>
              </w:rPr>
              <w:t>NaiveBayes</w:t>
            </w:r>
          </w:p>
        </w:tc>
        <w:tc>
          <w:tcPr>
            <w:tcW w:type="dxa" w:w="1134"/>
          </w:tcPr>
          <w:p>
            <w:pPr>
              <w:jc w:val="center"/>
            </w:pPr>
            <w:r>
              <w:rPr>
                <w:sz w:val="15"/>
              </w:rPr>
              <w:t>OHE</w:t>
            </w:r>
          </w:p>
        </w:tc>
        <w:tc>
          <w:tcPr>
            <w:tcW w:type="dxa" w:w="1134"/>
          </w:tcPr>
          <w:p>
            <w:pPr>
              <w:jc w:val="center"/>
            </w:pPr>
            <w:r>
              <w:rPr>
                <w:sz w:val="15"/>
              </w:rPr>
              <w:t>nan</w:t>
            </w:r>
          </w:p>
        </w:tc>
        <w:tc>
          <w:tcPr>
            <w:tcW w:type="dxa" w:w="1134"/>
          </w:tcPr>
          <w:p>
            <w:pPr>
              <w:jc w:val="center"/>
            </w:pPr>
            <w:r>
              <w:rPr>
                <w:sz w:val="15"/>
              </w:rPr>
              <w:t>0.8572</w:t>
            </w:r>
          </w:p>
        </w:tc>
        <w:tc>
          <w:tcPr>
            <w:tcW w:type="dxa" w:w="1134"/>
          </w:tcPr>
          <w:p>
            <w:pPr>
              <w:jc w:val="center"/>
            </w:pPr>
            <w:r>
              <w:rPr>
                <w:sz w:val="15"/>
              </w:rPr>
              <w:t>0.3885</w:t>
            </w:r>
          </w:p>
        </w:tc>
        <w:tc>
          <w:tcPr>
            <w:tcW w:type="dxa" w:w="1134"/>
          </w:tcPr>
          <w:p>
            <w:pPr>
              <w:jc w:val="center"/>
            </w:pPr>
            <w:r>
              <w:rPr>
                <w:sz w:val="15"/>
              </w:rPr>
              <w:t>0.4655</w:t>
            </w:r>
          </w:p>
        </w:tc>
        <w:tc>
          <w:tcPr>
            <w:tcW w:type="dxa" w:w="1134"/>
          </w:tcPr>
          <w:p>
            <w:pPr>
              <w:jc w:val="center"/>
            </w:pPr>
            <w:r>
              <w:rPr>
                <w:sz w:val="15"/>
              </w:rPr>
              <w:t>0.4235</w:t>
            </w:r>
          </w:p>
        </w:tc>
        <w:tc>
          <w:tcPr>
            <w:tcW w:type="dxa" w:w="1134"/>
          </w:tcPr>
          <w:p>
            <w:pPr>
              <w:jc w:val="center"/>
            </w:pPr>
            <w:r>
              <w:rPr>
                <w:sz w:val="15"/>
              </w:rPr>
              <w:t>0.7757</w:t>
            </w:r>
          </w:p>
        </w:tc>
      </w:tr>
      <w:tr>
        <w:tc>
          <w:tcPr>
            <w:tcW w:type="dxa" w:w="1134"/>
          </w:tcPr>
          <w:p>
            <w:pPr>
              <w:jc w:val="center"/>
            </w:pPr>
            <w:r>
              <w:rPr>
                <w:sz w:val="15"/>
              </w:rPr>
              <w:t>LogisticRegression</w:t>
            </w:r>
          </w:p>
        </w:tc>
        <w:tc>
          <w:tcPr>
            <w:tcW w:type="dxa" w:w="1134"/>
          </w:tcPr>
          <w:p>
            <w:pPr>
              <w:jc w:val="center"/>
            </w:pPr>
            <w:r>
              <w:rPr>
                <w:sz w:val="15"/>
              </w:rPr>
              <w:t>OHE</w:t>
            </w:r>
          </w:p>
        </w:tc>
        <w:tc>
          <w:tcPr>
            <w:tcW w:type="dxa" w:w="1134"/>
          </w:tcPr>
          <w:p>
            <w:pPr>
              <w:jc w:val="center"/>
            </w:pPr>
            <w:r>
              <w:rPr>
                <w:sz w:val="15"/>
              </w:rPr>
              <w:t>ClassWeight</w:t>
            </w:r>
          </w:p>
        </w:tc>
        <w:tc>
          <w:tcPr>
            <w:tcW w:type="dxa" w:w="1134"/>
          </w:tcPr>
          <w:p>
            <w:pPr>
              <w:jc w:val="center"/>
            </w:pPr>
            <w:r>
              <w:rPr>
                <w:sz w:val="15"/>
              </w:rPr>
              <w:t>0.8312</w:t>
            </w:r>
          </w:p>
        </w:tc>
        <w:tc>
          <w:tcPr>
            <w:tcW w:type="dxa" w:w="1134"/>
          </w:tcPr>
          <w:p>
            <w:pPr>
              <w:jc w:val="center"/>
            </w:pPr>
            <w:r>
              <w:rPr>
                <w:sz w:val="15"/>
              </w:rPr>
              <w:t>0.3607</w:t>
            </w:r>
          </w:p>
        </w:tc>
        <w:tc>
          <w:tcPr>
            <w:tcW w:type="dxa" w:w="1134"/>
          </w:tcPr>
          <w:p>
            <w:pPr>
              <w:jc w:val="center"/>
            </w:pPr>
            <w:r>
              <w:rPr>
                <w:sz w:val="15"/>
              </w:rPr>
              <w:t>0.6444</w:t>
            </w:r>
          </w:p>
        </w:tc>
        <w:tc>
          <w:tcPr>
            <w:tcW w:type="dxa" w:w="1134"/>
          </w:tcPr>
          <w:p>
            <w:pPr>
              <w:jc w:val="center"/>
            </w:pPr>
            <w:r>
              <w:rPr>
                <w:sz w:val="15"/>
              </w:rPr>
              <w:t>0.4625</w:t>
            </w:r>
          </w:p>
        </w:tc>
        <w:tc>
          <w:tcPr>
            <w:tcW w:type="dxa" w:w="1134"/>
          </w:tcPr>
          <w:p>
            <w:pPr>
              <w:jc w:val="center"/>
            </w:pPr>
            <w:r>
              <w:rPr>
                <w:sz w:val="15"/>
              </w:rPr>
              <w:t>0.7994</w:t>
            </w:r>
          </w:p>
        </w:tc>
      </w:tr>
      <w:tr>
        <w:tc>
          <w:tcPr>
            <w:tcW w:type="dxa" w:w="1134"/>
          </w:tcPr>
          <w:p>
            <w:pPr>
              <w:jc w:val="center"/>
            </w:pPr>
            <w:r>
              <w:rPr>
                <w:sz w:val="15"/>
              </w:rPr>
              <w:t>DecisionTree</w:t>
            </w:r>
          </w:p>
        </w:tc>
        <w:tc>
          <w:tcPr>
            <w:tcW w:type="dxa" w:w="1134"/>
          </w:tcPr>
          <w:p>
            <w:pPr>
              <w:jc w:val="center"/>
            </w:pPr>
            <w:r>
              <w:rPr>
                <w:sz w:val="15"/>
              </w:rPr>
              <w:t>OHE</w:t>
            </w:r>
          </w:p>
        </w:tc>
        <w:tc>
          <w:tcPr>
            <w:tcW w:type="dxa" w:w="1134"/>
          </w:tcPr>
          <w:p>
            <w:pPr>
              <w:jc w:val="center"/>
            </w:pPr>
            <w:r>
              <w:rPr>
                <w:sz w:val="15"/>
              </w:rPr>
              <w:t>ClassWeight</w:t>
            </w:r>
          </w:p>
        </w:tc>
        <w:tc>
          <w:tcPr>
            <w:tcW w:type="dxa" w:w="1134"/>
          </w:tcPr>
          <w:p>
            <w:pPr>
              <w:jc w:val="center"/>
            </w:pPr>
            <w:r>
              <w:rPr>
                <w:sz w:val="15"/>
              </w:rPr>
              <w:t>0.8462</w:t>
            </w:r>
          </w:p>
        </w:tc>
        <w:tc>
          <w:tcPr>
            <w:tcW w:type="dxa" w:w="1134"/>
          </w:tcPr>
          <w:p>
            <w:pPr>
              <w:jc w:val="center"/>
            </w:pPr>
            <w:r>
              <w:rPr>
                <w:sz w:val="15"/>
              </w:rPr>
              <w:t>0.3199</w:t>
            </w:r>
          </w:p>
        </w:tc>
        <w:tc>
          <w:tcPr>
            <w:tcW w:type="dxa" w:w="1134"/>
          </w:tcPr>
          <w:p>
            <w:pPr>
              <w:jc w:val="center"/>
            </w:pPr>
            <w:r>
              <w:rPr>
                <w:sz w:val="15"/>
              </w:rPr>
              <w:t>0.3244</w:t>
            </w:r>
          </w:p>
        </w:tc>
        <w:tc>
          <w:tcPr>
            <w:tcW w:type="dxa" w:w="1134"/>
          </w:tcPr>
          <w:p>
            <w:pPr>
              <w:jc w:val="center"/>
            </w:pPr>
            <w:r>
              <w:rPr>
                <w:sz w:val="15"/>
              </w:rPr>
              <w:t>0.3221</w:t>
            </w:r>
          </w:p>
        </w:tc>
        <w:tc>
          <w:tcPr>
            <w:tcW w:type="dxa" w:w="1134"/>
          </w:tcPr>
          <w:p>
            <w:pPr>
              <w:jc w:val="center"/>
            </w:pPr>
            <w:r>
              <w:rPr>
                <w:sz w:val="15"/>
              </w:rPr>
              <w:t>0.6187</w:t>
            </w:r>
          </w:p>
        </w:tc>
      </w:tr>
      <w:tr>
        <w:tc>
          <w:tcPr>
            <w:tcW w:type="dxa" w:w="1134"/>
          </w:tcPr>
          <w:p>
            <w:pPr>
              <w:jc w:val="center"/>
            </w:pPr>
            <w:r>
              <w:rPr>
                <w:sz w:val="15"/>
              </w:rPr>
              <w:t>RandomForest</w:t>
            </w:r>
          </w:p>
        </w:tc>
        <w:tc>
          <w:tcPr>
            <w:tcW w:type="dxa" w:w="1134"/>
          </w:tcPr>
          <w:p>
            <w:pPr>
              <w:jc w:val="center"/>
            </w:pPr>
            <w:r>
              <w:rPr>
                <w:sz w:val="15"/>
              </w:rPr>
              <w:t>OHE</w:t>
            </w:r>
          </w:p>
        </w:tc>
        <w:tc>
          <w:tcPr>
            <w:tcW w:type="dxa" w:w="1134"/>
          </w:tcPr>
          <w:p>
            <w:pPr>
              <w:jc w:val="center"/>
            </w:pPr>
            <w:r>
              <w:rPr>
                <w:sz w:val="15"/>
              </w:rPr>
              <w:t>ClassWeight</w:t>
            </w:r>
          </w:p>
        </w:tc>
        <w:tc>
          <w:tcPr>
            <w:tcW w:type="dxa" w:w="1134"/>
          </w:tcPr>
          <w:p>
            <w:pPr>
              <w:jc w:val="center"/>
            </w:pPr>
            <w:r>
              <w:rPr>
                <w:sz w:val="15"/>
              </w:rPr>
              <w:t>0.8918</w:t>
            </w:r>
          </w:p>
        </w:tc>
        <w:tc>
          <w:tcPr>
            <w:tcW w:type="dxa" w:w="1134"/>
          </w:tcPr>
          <w:p>
            <w:pPr>
              <w:jc w:val="center"/>
            </w:pPr>
            <w:r>
              <w:rPr>
                <w:sz w:val="15"/>
              </w:rPr>
              <w:t>0.5372</w:t>
            </w:r>
          </w:p>
        </w:tc>
        <w:tc>
          <w:tcPr>
            <w:tcW w:type="dxa" w:w="1134"/>
          </w:tcPr>
          <w:p>
            <w:pPr>
              <w:jc w:val="center"/>
            </w:pPr>
            <w:r>
              <w:rPr>
                <w:sz w:val="15"/>
              </w:rPr>
              <w:t>0.2877</w:t>
            </w:r>
          </w:p>
        </w:tc>
        <w:tc>
          <w:tcPr>
            <w:tcW w:type="dxa" w:w="1134"/>
          </w:tcPr>
          <w:p>
            <w:pPr>
              <w:jc w:val="center"/>
            </w:pPr>
            <w:r>
              <w:rPr>
                <w:sz w:val="15"/>
              </w:rPr>
              <w:t>0.3747</w:t>
            </w:r>
          </w:p>
        </w:tc>
        <w:tc>
          <w:tcPr>
            <w:tcW w:type="dxa" w:w="1134"/>
          </w:tcPr>
          <w:p>
            <w:pPr>
              <w:jc w:val="center"/>
            </w:pPr>
            <w:r>
              <w:rPr>
                <w:sz w:val="15"/>
              </w:rPr>
              <w:t>0.7803</w:t>
            </w:r>
          </w:p>
        </w:tc>
      </w:tr>
      <w:tr>
        <w:tc>
          <w:tcPr>
            <w:tcW w:type="dxa" w:w="1134"/>
          </w:tcPr>
          <w:p>
            <w:pPr>
              <w:jc w:val="center"/>
            </w:pPr>
            <w:r>
              <w:rPr>
                <w:sz w:val="15"/>
              </w:rPr>
              <w:t>kNN</w:t>
            </w:r>
          </w:p>
        </w:tc>
        <w:tc>
          <w:tcPr>
            <w:tcW w:type="dxa" w:w="1134"/>
          </w:tcPr>
          <w:p>
            <w:pPr>
              <w:jc w:val="center"/>
            </w:pPr>
            <w:r>
              <w:rPr>
                <w:sz w:val="15"/>
              </w:rPr>
              <w:t>OHE</w:t>
            </w:r>
          </w:p>
        </w:tc>
        <w:tc>
          <w:tcPr>
            <w:tcW w:type="dxa" w:w="1134"/>
          </w:tcPr>
          <w:p>
            <w:pPr>
              <w:jc w:val="center"/>
            </w:pPr>
            <w:r>
              <w:rPr>
                <w:sz w:val="15"/>
              </w:rPr>
              <w:t>ClassWeight</w:t>
            </w:r>
          </w:p>
        </w:tc>
        <w:tc>
          <w:tcPr>
            <w:tcW w:type="dxa" w:w="1134"/>
          </w:tcPr>
          <w:p>
            <w:pPr>
              <w:jc w:val="center"/>
            </w:pPr>
            <w:r>
              <w:rPr>
                <w:sz w:val="15"/>
              </w:rPr>
              <w:t>0.8905</w:t>
            </w:r>
          </w:p>
        </w:tc>
        <w:tc>
          <w:tcPr>
            <w:tcW w:type="dxa" w:w="1134"/>
          </w:tcPr>
          <w:p>
            <w:pPr>
              <w:jc w:val="center"/>
            </w:pPr>
            <w:r>
              <w:rPr>
                <w:sz w:val="15"/>
              </w:rPr>
              <w:t>0.5289</w:t>
            </w:r>
          </w:p>
        </w:tc>
        <w:tc>
          <w:tcPr>
            <w:tcW w:type="dxa" w:w="1134"/>
          </w:tcPr>
          <w:p>
            <w:pPr>
              <w:jc w:val="center"/>
            </w:pPr>
            <w:r>
              <w:rPr>
                <w:sz w:val="15"/>
              </w:rPr>
              <w:t>0.2565</w:t>
            </w:r>
          </w:p>
        </w:tc>
        <w:tc>
          <w:tcPr>
            <w:tcW w:type="dxa" w:w="1134"/>
          </w:tcPr>
          <w:p>
            <w:pPr>
              <w:jc w:val="center"/>
            </w:pPr>
            <w:r>
              <w:rPr>
                <w:sz w:val="15"/>
              </w:rPr>
              <w:t>0.3454</w:t>
            </w:r>
          </w:p>
        </w:tc>
        <w:tc>
          <w:tcPr>
            <w:tcW w:type="dxa" w:w="1134"/>
          </w:tcPr>
          <w:p>
            <w:pPr>
              <w:jc w:val="center"/>
            </w:pPr>
            <w:r>
              <w:rPr>
                <w:sz w:val="15"/>
              </w:rPr>
              <w:t>0.7265</w:t>
            </w:r>
          </w:p>
        </w:tc>
      </w:tr>
      <w:tr>
        <w:tc>
          <w:tcPr>
            <w:tcW w:type="dxa" w:w="1134"/>
          </w:tcPr>
          <w:p>
            <w:pPr>
              <w:jc w:val="center"/>
            </w:pPr>
            <w:r>
              <w:rPr>
                <w:sz w:val="15"/>
              </w:rPr>
              <w:t>NaiveBayes</w:t>
            </w:r>
          </w:p>
        </w:tc>
        <w:tc>
          <w:tcPr>
            <w:tcW w:type="dxa" w:w="1134"/>
          </w:tcPr>
          <w:p>
            <w:pPr>
              <w:jc w:val="center"/>
            </w:pPr>
            <w:r>
              <w:rPr>
                <w:sz w:val="15"/>
              </w:rPr>
              <w:t>OHE</w:t>
            </w:r>
          </w:p>
        </w:tc>
        <w:tc>
          <w:tcPr>
            <w:tcW w:type="dxa" w:w="1134"/>
          </w:tcPr>
          <w:p>
            <w:pPr>
              <w:jc w:val="center"/>
            </w:pPr>
            <w:r>
              <w:rPr>
                <w:sz w:val="15"/>
              </w:rPr>
              <w:t>ClassWeight</w:t>
            </w:r>
          </w:p>
        </w:tc>
        <w:tc>
          <w:tcPr>
            <w:tcW w:type="dxa" w:w="1134"/>
          </w:tcPr>
          <w:p>
            <w:pPr>
              <w:jc w:val="center"/>
            </w:pPr>
            <w:r>
              <w:rPr>
                <w:sz w:val="15"/>
              </w:rPr>
              <w:t>0.8572</w:t>
            </w:r>
          </w:p>
        </w:tc>
        <w:tc>
          <w:tcPr>
            <w:tcW w:type="dxa" w:w="1134"/>
          </w:tcPr>
          <w:p>
            <w:pPr>
              <w:jc w:val="center"/>
            </w:pPr>
            <w:r>
              <w:rPr>
                <w:sz w:val="15"/>
              </w:rPr>
              <w:t>0.3885</w:t>
            </w:r>
          </w:p>
        </w:tc>
        <w:tc>
          <w:tcPr>
            <w:tcW w:type="dxa" w:w="1134"/>
          </w:tcPr>
          <w:p>
            <w:pPr>
              <w:jc w:val="center"/>
            </w:pPr>
            <w:r>
              <w:rPr>
                <w:sz w:val="15"/>
              </w:rPr>
              <w:t>0.4655</w:t>
            </w:r>
          </w:p>
        </w:tc>
        <w:tc>
          <w:tcPr>
            <w:tcW w:type="dxa" w:w="1134"/>
          </w:tcPr>
          <w:p>
            <w:pPr>
              <w:jc w:val="center"/>
            </w:pPr>
            <w:r>
              <w:rPr>
                <w:sz w:val="15"/>
              </w:rPr>
              <w:t>0.4235</w:t>
            </w:r>
          </w:p>
        </w:tc>
        <w:tc>
          <w:tcPr>
            <w:tcW w:type="dxa" w:w="1134"/>
          </w:tcPr>
          <w:p>
            <w:pPr>
              <w:jc w:val="center"/>
            </w:pPr>
            <w:r>
              <w:rPr>
                <w:sz w:val="15"/>
              </w:rPr>
              <w:t>0.7757</w:t>
            </w:r>
          </w:p>
        </w:tc>
      </w:tr>
      <w:tr>
        <w:tc>
          <w:tcPr>
            <w:tcW w:type="dxa" w:w="1134"/>
          </w:tcPr>
          <w:p>
            <w:pPr>
              <w:jc w:val="center"/>
            </w:pPr>
            <w:r>
              <w:rPr>
                <w:sz w:val="15"/>
              </w:rPr>
              <w:t>LogisticRegression</w:t>
            </w:r>
          </w:p>
        </w:tc>
        <w:tc>
          <w:tcPr>
            <w:tcW w:type="dxa" w:w="1134"/>
          </w:tcPr>
          <w:p>
            <w:pPr>
              <w:jc w:val="center"/>
            </w:pPr>
            <w:r>
              <w:rPr>
                <w:sz w:val="15"/>
              </w:rPr>
              <w:t>OHE</w:t>
            </w:r>
          </w:p>
        </w:tc>
        <w:tc>
          <w:tcPr>
            <w:tcW w:type="dxa" w:w="1134"/>
          </w:tcPr>
          <w:p>
            <w:pPr>
              <w:jc w:val="center"/>
            </w:pPr>
            <w:r>
              <w:rPr>
                <w:sz w:val="15"/>
              </w:rPr>
              <w:t>SMOTE</w:t>
            </w:r>
          </w:p>
        </w:tc>
        <w:tc>
          <w:tcPr>
            <w:tcW w:type="dxa" w:w="1134"/>
          </w:tcPr>
          <w:p>
            <w:pPr>
              <w:jc w:val="center"/>
            </w:pPr>
            <w:r>
              <w:rPr>
                <w:sz w:val="15"/>
              </w:rPr>
              <w:t>0.8289</w:t>
            </w:r>
          </w:p>
        </w:tc>
        <w:tc>
          <w:tcPr>
            <w:tcW w:type="dxa" w:w="1134"/>
          </w:tcPr>
          <w:p>
            <w:pPr>
              <w:jc w:val="center"/>
            </w:pPr>
            <w:r>
              <w:rPr>
                <w:sz w:val="15"/>
              </w:rPr>
              <w:t>0.3583</w:t>
            </w:r>
          </w:p>
        </w:tc>
        <w:tc>
          <w:tcPr>
            <w:tcW w:type="dxa" w:w="1134"/>
          </w:tcPr>
          <w:p>
            <w:pPr>
              <w:jc w:val="center"/>
            </w:pPr>
            <w:r>
              <w:rPr>
                <w:sz w:val="15"/>
              </w:rPr>
              <w:t>0.6552</w:t>
            </w:r>
          </w:p>
        </w:tc>
        <w:tc>
          <w:tcPr>
            <w:tcW w:type="dxa" w:w="1134"/>
          </w:tcPr>
          <w:p>
            <w:pPr>
              <w:jc w:val="center"/>
            </w:pPr>
            <w:r>
              <w:rPr>
                <w:sz w:val="15"/>
              </w:rPr>
              <w:t>0.4632</w:t>
            </w:r>
          </w:p>
        </w:tc>
        <w:tc>
          <w:tcPr>
            <w:tcW w:type="dxa" w:w="1134"/>
          </w:tcPr>
          <w:p>
            <w:pPr>
              <w:jc w:val="center"/>
            </w:pPr>
            <w:r>
              <w:rPr>
                <w:sz w:val="15"/>
              </w:rPr>
              <w:t>0.7971</w:t>
            </w:r>
          </w:p>
        </w:tc>
      </w:tr>
      <w:tr>
        <w:tc>
          <w:tcPr>
            <w:tcW w:type="dxa" w:w="1134"/>
          </w:tcPr>
          <w:p>
            <w:pPr>
              <w:jc w:val="center"/>
            </w:pPr>
            <w:r>
              <w:rPr>
                <w:sz w:val="15"/>
              </w:rPr>
              <w:t>DecisionTree</w:t>
            </w:r>
          </w:p>
        </w:tc>
        <w:tc>
          <w:tcPr>
            <w:tcW w:type="dxa" w:w="1134"/>
          </w:tcPr>
          <w:p>
            <w:pPr>
              <w:jc w:val="center"/>
            </w:pPr>
            <w:r>
              <w:rPr>
                <w:sz w:val="15"/>
              </w:rPr>
              <w:t>OHE</w:t>
            </w:r>
          </w:p>
        </w:tc>
        <w:tc>
          <w:tcPr>
            <w:tcW w:type="dxa" w:w="1134"/>
          </w:tcPr>
          <w:p>
            <w:pPr>
              <w:jc w:val="center"/>
            </w:pPr>
            <w:r>
              <w:rPr>
                <w:sz w:val="15"/>
              </w:rPr>
              <w:t>SMOTE</w:t>
            </w:r>
          </w:p>
        </w:tc>
        <w:tc>
          <w:tcPr>
            <w:tcW w:type="dxa" w:w="1134"/>
          </w:tcPr>
          <w:p>
            <w:pPr>
              <w:jc w:val="center"/>
            </w:pPr>
            <w:r>
              <w:rPr>
                <w:sz w:val="15"/>
              </w:rPr>
              <w:t>0.8456</w:t>
            </w:r>
          </w:p>
        </w:tc>
        <w:tc>
          <w:tcPr>
            <w:tcW w:type="dxa" w:w="1134"/>
          </w:tcPr>
          <w:p>
            <w:pPr>
              <w:jc w:val="center"/>
            </w:pPr>
            <w:r>
              <w:rPr>
                <w:sz w:val="15"/>
              </w:rPr>
              <w:t>0.3280</w:t>
            </w:r>
          </w:p>
        </w:tc>
        <w:tc>
          <w:tcPr>
            <w:tcW w:type="dxa" w:w="1134"/>
          </w:tcPr>
          <w:p>
            <w:pPr>
              <w:jc w:val="center"/>
            </w:pPr>
            <w:r>
              <w:rPr>
                <w:sz w:val="15"/>
              </w:rPr>
              <w:t>0.3534</w:t>
            </w:r>
          </w:p>
        </w:tc>
        <w:tc>
          <w:tcPr>
            <w:tcW w:type="dxa" w:w="1134"/>
          </w:tcPr>
          <w:p>
            <w:pPr>
              <w:jc w:val="center"/>
            </w:pPr>
            <w:r>
              <w:rPr>
                <w:sz w:val="15"/>
              </w:rPr>
              <w:t>0.3402</w:t>
            </w:r>
          </w:p>
        </w:tc>
        <w:tc>
          <w:tcPr>
            <w:tcW w:type="dxa" w:w="1134"/>
          </w:tcPr>
          <w:p>
            <w:pPr>
              <w:jc w:val="center"/>
            </w:pPr>
            <w:r>
              <w:rPr>
                <w:sz w:val="15"/>
              </w:rPr>
              <w:t>0.6338</w:t>
            </w:r>
          </w:p>
        </w:tc>
      </w:tr>
      <w:tr>
        <w:tc>
          <w:tcPr>
            <w:tcW w:type="dxa" w:w="1134"/>
          </w:tcPr>
          <w:p>
            <w:pPr>
              <w:jc w:val="center"/>
            </w:pPr>
            <w:r>
              <w:rPr>
                <w:sz w:val="15"/>
              </w:rPr>
              <w:t>RandomForest</w:t>
            </w:r>
          </w:p>
        </w:tc>
        <w:tc>
          <w:tcPr>
            <w:tcW w:type="dxa" w:w="1134"/>
          </w:tcPr>
          <w:p>
            <w:pPr>
              <w:jc w:val="center"/>
            </w:pPr>
            <w:r>
              <w:rPr>
                <w:sz w:val="15"/>
              </w:rPr>
              <w:t>OHE</w:t>
            </w:r>
          </w:p>
        </w:tc>
        <w:tc>
          <w:tcPr>
            <w:tcW w:type="dxa" w:w="1134"/>
          </w:tcPr>
          <w:p>
            <w:pPr>
              <w:jc w:val="center"/>
            </w:pPr>
            <w:r>
              <w:rPr>
                <w:sz w:val="15"/>
              </w:rPr>
              <w:t>SMOTE</w:t>
            </w:r>
          </w:p>
        </w:tc>
        <w:tc>
          <w:tcPr>
            <w:tcW w:type="dxa" w:w="1134"/>
          </w:tcPr>
          <w:p>
            <w:pPr>
              <w:jc w:val="center"/>
            </w:pPr>
            <w:r>
              <w:rPr>
                <w:sz w:val="15"/>
              </w:rPr>
              <w:t>0.8888</w:t>
            </w:r>
          </w:p>
        </w:tc>
        <w:tc>
          <w:tcPr>
            <w:tcW w:type="dxa" w:w="1134"/>
          </w:tcPr>
          <w:p>
            <w:pPr>
              <w:jc w:val="center"/>
            </w:pPr>
            <w:r>
              <w:rPr>
                <w:sz w:val="15"/>
              </w:rPr>
              <w:t>0.5104</w:t>
            </w:r>
          </w:p>
        </w:tc>
        <w:tc>
          <w:tcPr>
            <w:tcW w:type="dxa" w:w="1134"/>
          </w:tcPr>
          <w:p>
            <w:pPr>
              <w:jc w:val="center"/>
            </w:pPr>
            <w:r>
              <w:rPr>
                <w:sz w:val="15"/>
              </w:rPr>
              <w:t>0.3179</w:t>
            </w:r>
          </w:p>
        </w:tc>
        <w:tc>
          <w:tcPr>
            <w:tcW w:type="dxa" w:w="1134"/>
          </w:tcPr>
          <w:p>
            <w:pPr>
              <w:jc w:val="center"/>
            </w:pPr>
            <w:r>
              <w:rPr>
                <w:sz w:val="15"/>
              </w:rPr>
              <w:t>0.3918</w:t>
            </w:r>
          </w:p>
        </w:tc>
        <w:tc>
          <w:tcPr>
            <w:tcW w:type="dxa" w:w="1134"/>
          </w:tcPr>
          <w:p>
            <w:pPr>
              <w:jc w:val="center"/>
            </w:pPr>
            <w:r>
              <w:rPr>
                <w:sz w:val="15"/>
              </w:rPr>
              <w:t>0.7763</w:t>
            </w:r>
          </w:p>
        </w:tc>
      </w:tr>
      <w:tr>
        <w:tc>
          <w:tcPr>
            <w:tcW w:type="dxa" w:w="1134"/>
          </w:tcPr>
          <w:p>
            <w:pPr>
              <w:jc w:val="center"/>
            </w:pPr>
            <w:r>
              <w:rPr>
                <w:sz w:val="15"/>
              </w:rPr>
              <w:t>kNN</w:t>
            </w:r>
          </w:p>
        </w:tc>
        <w:tc>
          <w:tcPr>
            <w:tcW w:type="dxa" w:w="1134"/>
          </w:tcPr>
          <w:p>
            <w:pPr>
              <w:jc w:val="center"/>
            </w:pPr>
            <w:r>
              <w:rPr>
                <w:sz w:val="15"/>
              </w:rPr>
              <w:t>OHE</w:t>
            </w:r>
          </w:p>
        </w:tc>
        <w:tc>
          <w:tcPr>
            <w:tcW w:type="dxa" w:w="1134"/>
          </w:tcPr>
          <w:p>
            <w:pPr>
              <w:jc w:val="center"/>
            </w:pPr>
            <w:r>
              <w:rPr>
                <w:sz w:val="15"/>
              </w:rPr>
              <w:t>SMOTE</w:t>
            </w:r>
          </w:p>
        </w:tc>
        <w:tc>
          <w:tcPr>
            <w:tcW w:type="dxa" w:w="1134"/>
          </w:tcPr>
          <w:p>
            <w:pPr>
              <w:jc w:val="center"/>
            </w:pPr>
            <w:r>
              <w:rPr>
                <w:sz w:val="15"/>
              </w:rPr>
              <w:t>0.7961</w:t>
            </w:r>
          </w:p>
        </w:tc>
        <w:tc>
          <w:tcPr>
            <w:tcW w:type="dxa" w:w="1134"/>
          </w:tcPr>
          <w:p>
            <w:pPr>
              <w:jc w:val="center"/>
            </w:pPr>
            <w:r>
              <w:rPr>
                <w:sz w:val="15"/>
              </w:rPr>
              <w:t>0.2920</w:t>
            </w:r>
          </w:p>
        </w:tc>
        <w:tc>
          <w:tcPr>
            <w:tcW w:type="dxa" w:w="1134"/>
          </w:tcPr>
          <w:p>
            <w:pPr>
              <w:jc w:val="center"/>
            </w:pPr>
            <w:r>
              <w:rPr>
                <w:sz w:val="15"/>
              </w:rPr>
              <w:t>0.5679</w:t>
            </w:r>
          </w:p>
        </w:tc>
        <w:tc>
          <w:tcPr>
            <w:tcW w:type="dxa" w:w="1134"/>
          </w:tcPr>
          <w:p>
            <w:pPr>
              <w:jc w:val="center"/>
            </w:pPr>
            <w:r>
              <w:rPr>
                <w:sz w:val="15"/>
              </w:rPr>
              <w:t>0.3857</w:t>
            </w:r>
          </w:p>
        </w:tc>
        <w:tc>
          <w:tcPr>
            <w:tcW w:type="dxa" w:w="1134"/>
          </w:tcPr>
          <w:p>
            <w:pPr>
              <w:jc w:val="center"/>
            </w:pPr>
            <w:r>
              <w:rPr>
                <w:sz w:val="15"/>
              </w:rPr>
              <w:t>0.7361</w:t>
            </w:r>
          </w:p>
        </w:tc>
      </w:tr>
      <w:tr>
        <w:tc>
          <w:tcPr>
            <w:tcW w:type="dxa" w:w="1134"/>
          </w:tcPr>
          <w:p>
            <w:pPr>
              <w:jc w:val="center"/>
            </w:pPr>
            <w:r>
              <w:rPr>
                <w:sz w:val="15"/>
              </w:rPr>
              <w:t>NaiveBayes</w:t>
            </w:r>
          </w:p>
        </w:tc>
        <w:tc>
          <w:tcPr>
            <w:tcW w:type="dxa" w:w="1134"/>
          </w:tcPr>
          <w:p>
            <w:pPr>
              <w:jc w:val="center"/>
            </w:pPr>
            <w:r>
              <w:rPr>
                <w:sz w:val="15"/>
              </w:rPr>
              <w:t>OHE</w:t>
            </w:r>
          </w:p>
        </w:tc>
        <w:tc>
          <w:tcPr>
            <w:tcW w:type="dxa" w:w="1134"/>
          </w:tcPr>
          <w:p>
            <w:pPr>
              <w:jc w:val="center"/>
            </w:pPr>
            <w:r>
              <w:rPr>
                <w:sz w:val="15"/>
              </w:rPr>
              <w:t>SMOTE</w:t>
            </w:r>
          </w:p>
        </w:tc>
        <w:tc>
          <w:tcPr>
            <w:tcW w:type="dxa" w:w="1134"/>
          </w:tcPr>
          <w:p>
            <w:pPr>
              <w:jc w:val="center"/>
            </w:pPr>
            <w:r>
              <w:rPr>
                <w:sz w:val="15"/>
              </w:rPr>
              <w:t>0.8428</w:t>
            </w:r>
          </w:p>
        </w:tc>
        <w:tc>
          <w:tcPr>
            <w:tcW w:type="dxa" w:w="1134"/>
          </w:tcPr>
          <w:p>
            <w:pPr>
              <w:jc w:val="center"/>
            </w:pPr>
            <w:r>
              <w:rPr>
                <w:sz w:val="15"/>
              </w:rPr>
              <w:t>0.3654</w:t>
            </w:r>
          </w:p>
        </w:tc>
        <w:tc>
          <w:tcPr>
            <w:tcW w:type="dxa" w:w="1134"/>
          </w:tcPr>
          <w:p>
            <w:pPr>
              <w:jc w:val="center"/>
            </w:pPr>
            <w:r>
              <w:rPr>
                <w:sz w:val="15"/>
              </w:rPr>
              <w:t>0.5366</w:t>
            </w:r>
          </w:p>
        </w:tc>
        <w:tc>
          <w:tcPr>
            <w:tcW w:type="dxa" w:w="1134"/>
          </w:tcPr>
          <w:p>
            <w:pPr>
              <w:jc w:val="center"/>
            </w:pPr>
            <w:r>
              <w:rPr>
                <w:sz w:val="15"/>
              </w:rPr>
              <w:t>0.4347</w:t>
            </w:r>
          </w:p>
        </w:tc>
        <w:tc>
          <w:tcPr>
            <w:tcW w:type="dxa" w:w="1134"/>
          </w:tcPr>
          <w:p>
            <w:pPr>
              <w:jc w:val="center"/>
            </w:pPr>
            <w:r>
              <w:rPr>
                <w:sz w:val="15"/>
              </w:rPr>
              <w:t>0.7719</w:t>
            </w:r>
          </w:p>
        </w:tc>
      </w:tr>
      <w:tr>
        <w:tc>
          <w:tcPr>
            <w:tcW w:type="dxa" w:w="1134"/>
          </w:tcPr>
          <w:p>
            <w:pPr>
              <w:jc w:val="center"/>
            </w:pPr>
            <w:r>
              <w:rPr>
                <w:sz w:val="15"/>
              </w:rPr>
              <w:t>LogisticRegression</w:t>
            </w:r>
          </w:p>
        </w:tc>
        <w:tc>
          <w:tcPr>
            <w:tcW w:type="dxa" w:w="1134"/>
          </w:tcPr>
          <w:p>
            <w:pPr>
              <w:jc w:val="center"/>
            </w:pPr>
            <w:r>
              <w:rPr>
                <w:sz w:val="15"/>
              </w:rPr>
              <w:t>LabelEnc</w:t>
            </w:r>
          </w:p>
        </w:tc>
        <w:tc>
          <w:tcPr>
            <w:tcW w:type="dxa" w:w="1134"/>
          </w:tcPr>
          <w:p>
            <w:pPr>
              <w:jc w:val="center"/>
            </w:pPr>
            <w:r>
              <w:rPr>
                <w:sz w:val="15"/>
              </w:rPr>
              <w:t>nan</w:t>
            </w:r>
          </w:p>
        </w:tc>
        <w:tc>
          <w:tcPr>
            <w:tcW w:type="dxa" w:w="1134"/>
          </w:tcPr>
          <w:p>
            <w:pPr>
              <w:jc w:val="center"/>
            </w:pPr>
            <w:r>
              <w:rPr>
                <w:sz w:val="15"/>
              </w:rPr>
              <w:t>0.8985</w:t>
            </w:r>
          </w:p>
        </w:tc>
        <w:tc>
          <w:tcPr>
            <w:tcW w:type="dxa" w:w="1134"/>
          </w:tcPr>
          <w:p>
            <w:pPr>
              <w:jc w:val="center"/>
            </w:pPr>
            <w:r>
              <w:rPr>
                <w:sz w:val="15"/>
              </w:rPr>
              <w:t>0.6586</w:t>
            </w:r>
          </w:p>
        </w:tc>
        <w:tc>
          <w:tcPr>
            <w:tcW w:type="dxa" w:w="1134"/>
          </w:tcPr>
          <w:p>
            <w:pPr>
              <w:jc w:val="center"/>
            </w:pPr>
            <w:r>
              <w:rPr>
                <w:sz w:val="15"/>
              </w:rPr>
              <w:t>0.2058</w:t>
            </w:r>
          </w:p>
        </w:tc>
        <w:tc>
          <w:tcPr>
            <w:tcW w:type="dxa" w:w="1134"/>
          </w:tcPr>
          <w:p>
            <w:pPr>
              <w:jc w:val="center"/>
            </w:pPr>
            <w:r>
              <w:rPr>
                <w:sz w:val="15"/>
              </w:rPr>
              <w:t>0.3136</w:t>
            </w:r>
          </w:p>
        </w:tc>
        <w:tc>
          <w:tcPr>
            <w:tcW w:type="dxa" w:w="1134"/>
          </w:tcPr>
          <w:p>
            <w:pPr>
              <w:jc w:val="center"/>
            </w:pPr>
            <w:r>
              <w:rPr>
                <w:sz w:val="15"/>
              </w:rPr>
              <w:t>0.7936</w:t>
            </w:r>
          </w:p>
        </w:tc>
      </w:tr>
      <w:tr>
        <w:tc>
          <w:tcPr>
            <w:tcW w:type="dxa" w:w="1134"/>
          </w:tcPr>
          <w:p>
            <w:pPr>
              <w:jc w:val="center"/>
            </w:pPr>
            <w:r>
              <w:rPr>
                <w:sz w:val="15"/>
              </w:rPr>
              <w:t>DecisionTree</w:t>
            </w:r>
          </w:p>
        </w:tc>
        <w:tc>
          <w:tcPr>
            <w:tcW w:type="dxa" w:w="1134"/>
          </w:tcPr>
          <w:p>
            <w:pPr>
              <w:jc w:val="center"/>
            </w:pPr>
            <w:r>
              <w:rPr>
                <w:sz w:val="15"/>
              </w:rPr>
              <w:t>LabelEnc</w:t>
            </w:r>
          </w:p>
        </w:tc>
        <w:tc>
          <w:tcPr>
            <w:tcW w:type="dxa" w:w="1134"/>
          </w:tcPr>
          <w:p>
            <w:pPr>
              <w:jc w:val="center"/>
            </w:pPr>
            <w:r>
              <w:rPr>
                <w:sz w:val="15"/>
              </w:rPr>
              <w:t>nan</w:t>
            </w:r>
          </w:p>
        </w:tc>
        <w:tc>
          <w:tcPr>
            <w:tcW w:type="dxa" w:w="1134"/>
          </w:tcPr>
          <w:p>
            <w:pPr>
              <w:jc w:val="center"/>
            </w:pPr>
            <w:r>
              <w:rPr>
                <w:sz w:val="15"/>
              </w:rPr>
              <w:t>0.8413</w:t>
            </w:r>
          </w:p>
        </w:tc>
        <w:tc>
          <w:tcPr>
            <w:tcW w:type="dxa" w:w="1134"/>
          </w:tcPr>
          <w:p>
            <w:pPr>
              <w:jc w:val="center"/>
            </w:pPr>
            <w:r>
              <w:rPr>
                <w:sz w:val="15"/>
              </w:rPr>
              <w:t>0.3187</w:t>
            </w:r>
          </w:p>
        </w:tc>
        <w:tc>
          <w:tcPr>
            <w:tcW w:type="dxa" w:w="1134"/>
          </w:tcPr>
          <w:p>
            <w:pPr>
              <w:jc w:val="center"/>
            </w:pPr>
            <w:r>
              <w:rPr>
                <w:sz w:val="15"/>
              </w:rPr>
              <w:t>0.3588</w:t>
            </w:r>
          </w:p>
        </w:tc>
        <w:tc>
          <w:tcPr>
            <w:tcW w:type="dxa" w:w="1134"/>
          </w:tcPr>
          <w:p>
            <w:pPr>
              <w:jc w:val="center"/>
            </w:pPr>
            <w:r>
              <w:rPr>
                <w:sz w:val="15"/>
              </w:rPr>
              <w:t>0.3376</w:t>
            </w:r>
          </w:p>
        </w:tc>
        <w:tc>
          <w:tcPr>
            <w:tcW w:type="dxa" w:w="1134"/>
          </w:tcPr>
          <w:p>
            <w:pPr>
              <w:jc w:val="center"/>
            </w:pPr>
            <w:r>
              <w:rPr>
                <w:sz w:val="15"/>
              </w:rPr>
              <w:t>0.6345</w:t>
            </w:r>
          </w:p>
        </w:tc>
      </w:tr>
      <w:tr>
        <w:tc>
          <w:tcPr>
            <w:tcW w:type="dxa" w:w="1134"/>
          </w:tcPr>
          <w:p>
            <w:pPr>
              <w:jc w:val="center"/>
            </w:pPr>
            <w:r>
              <w:rPr>
                <w:sz w:val="15"/>
              </w:rPr>
              <w:t>RandomForest</w:t>
            </w:r>
          </w:p>
        </w:tc>
        <w:tc>
          <w:tcPr>
            <w:tcW w:type="dxa" w:w="1134"/>
          </w:tcPr>
          <w:p>
            <w:pPr>
              <w:jc w:val="center"/>
            </w:pPr>
            <w:r>
              <w:rPr>
                <w:sz w:val="15"/>
              </w:rPr>
              <w:t>LabelEnc</w:t>
            </w:r>
          </w:p>
        </w:tc>
        <w:tc>
          <w:tcPr>
            <w:tcW w:type="dxa" w:w="1134"/>
          </w:tcPr>
          <w:p>
            <w:pPr>
              <w:jc w:val="center"/>
            </w:pPr>
            <w:r>
              <w:rPr>
                <w:sz w:val="15"/>
              </w:rPr>
              <w:t>nan</w:t>
            </w:r>
          </w:p>
        </w:tc>
        <w:tc>
          <w:tcPr>
            <w:tcW w:type="dxa" w:w="1134"/>
          </w:tcPr>
          <w:p>
            <w:pPr>
              <w:jc w:val="center"/>
            </w:pPr>
            <w:r>
              <w:rPr>
                <w:sz w:val="15"/>
              </w:rPr>
              <w:t>0.8935</w:t>
            </w:r>
          </w:p>
        </w:tc>
        <w:tc>
          <w:tcPr>
            <w:tcW w:type="dxa" w:w="1134"/>
          </w:tcPr>
          <w:p>
            <w:pPr>
              <w:jc w:val="center"/>
            </w:pPr>
            <w:r>
              <w:rPr>
                <w:sz w:val="15"/>
              </w:rPr>
              <w:t>0.5526</w:t>
            </w:r>
          </w:p>
        </w:tc>
        <w:tc>
          <w:tcPr>
            <w:tcW w:type="dxa" w:w="1134"/>
          </w:tcPr>
          <w:p>
            <w:pPr>
              <w:jc w:val="center"/>
            </w:pPr>
            <w:r>
              <w:rPr>
                <w:sz w:val="15"/>
              </w:rPr>
              <w:t>0.2888</w:t>
            </w:r>
          </w:p>
        </w:tc>
        <w:tc>
          <w:tcPr>
            <w:tcW w:type="dxa" w:w="1134"/>
          </w:tcPr>
          <w:p>
            <w:pPr>
              <w:jc w:val="center"/>
            </w:pPr>
            <w:r>
              <w:rPr>
                <w:sz w:val="15"/>
              </w:rPr>
              <w:t>0.3793</w:t>
            </w:r>
          </w:p>
        </w:tc>
        <w:tc>
          <w:tcPr>
            <w:tcW w:type="dxa" w:w="1134"/>
          </w:tcPr>
          <w:p>
            <w:pPr>
              <w:jc w:val="center"/>
            </w:pPr>
            <w:r>
              <w:rPr>
                <w:sz w:val="15"/>
              </w:rPr>
              <w:t>0.7854</w:t>
            </w:r>
          </w:p>
        </w:tc>
      </w:tr>
      <w:tr>
        <w:tc>
          <w:tcPr>
            <w:tcW w:type="dxa" w:w="1134"/>
          </w:tcPr>
          <w:p>
            <w:pPr>
              <w:jc w:val="center"/>
            </w:pPr>
            <w:r>
              <w:rPr>
                <w:sz w:val="15"/>
              </w:rPr>
              <w:t>kNN</w:t>
            </w:r>
          </w:p>
        </w:tc>
        <w:tc>
          <w:tcPr>
            <w:tcW w:type="dxa" w:w="1134"/>
          </w:tcPr>
          <w:p>
            <w:pPr>
              <w:jc w:val="center"/>
            </w:pPr>
            <w:r>
              <w:rPr>
                <w:sz w:val="15"/>
              </w:rPr>
              <w:t>LabelEnc</w:t>
            </w:r>
          </w:p>
        </w:tc>
        <w:tc>
          <w:tcPr>
            <w:tcW w:type="dxa" w:w="1134"/>
          </w:tcPr>
          <w:p>
            <w:pPr>
              <w:jc w:val="center"/>
            </w:pPr>
            <w:r>
              <w:rPr>
                <w:sz w:val="15"/>
              </w:rPr>
              <w:t>nan</w:t>
            </w:r>
          </w:p>
        </w:tc>
        <w:tc>
          <w:tcPr>
            <w:tcW w:type="dxa" w:w="1134"/>
          </w:tcPr>
          <w:p>
            <w:pPr>
              <w:jc w:val="center"/>
            </w:pPr>
            <w:r>
              <w:rPr>
                <w:sz w:val="15"/>
              </w:rPr>
              <w:t>0.8952</w:t>
            </w:r>
          </w:p>
        </w:tc>
        <w:tc>
          <w:tcPr>
            <w:tcW w:type="dxa" w:w="1134"/>
          </w:tcPr>
          <w:p>
            <w:pPr>
              <w:jc w:val="center"/>
            </w:pPr>
            <w:r>
              <w:rPr>
                <w:sz w:val="15"/>
              </w:rPr>
              <w:t>0.5740</w:t>
            </w:r>
          </w:p>
        </w:tc>
        <w:tc>
          <w:tcPr>
            <w:tcW w:type="dxa" w:w="1134"/>
          </w:tcPr>
          <w:p>
            <w:pPr>
              <w:jc w:val="center"/>
            </w:pPr>
            <w:r>
              <w:rPr>
                <w:sz w:val="15"/>
              </w:rPr>
              <w:t>0.2716</w:t>
            </w:r>
          </w:p>
        </w:tc>
        <w:tc>
          <w:tcPr>
            <w:tcW w:type="dxa" w:w="1134"/>
          </w:tcPr>
          <w:p>
            <w:pPr>
              <w:jc w:val="center"/>
            </w:pPr>
            <w:r>
              <w:rPr>
                <w:sz w:val="15"/>
              </w:rPr>
              <w:t>0.3687</w:t>
            </w:r>
          </w:p>
        </w:tc>
        <w:tc>
          <w:tcPr>
            <w:tcW w:type="dxa" w:w="1134"/>
          </w:tcPr>
          <w:p>
            <w:pPr>
              <w:jc w:val="center"/>
            </w:pPr>
            <w:r>
              <w:rPr>
                <w:sz w:val="15"/>
              </w:rPr>
              <w:t>0.7334</w:t>
            </w:r>
          </w:p>
        </w:tc>
      </w:tr>
      <w:tr>
        <w:tc>
          <w:tcPr>
            <w:tcW w:type="dxa" w:w="1134"/>
          </w:tcPr>
          <w:p>
            <w:pPr>
              <w:jc w:val="center"/>
            </w:pPr>
            <w:r>
              <w:rPr>
                <w:sz w:val="15"/>
              </w:rPr>
              <w:t>NaiveBayes</w:t>
            </w:r>
          </w:p>
        </w:tc>
        <w:tc>
          <w:tcPr>
            <w:tcW w:type="dxa" w:w="1134"/>
          </w:tcPr>
          <w:p>
            <w:pPr>
              <w:jc w:val="center"/>
            </w:pPr>
            <w:r>
              <w:rPr>
                <w:sz w:val="15"/>
              </w:rPr>
              <w:t>LabelEnc</w:t>
            </w:r>
          </w:p>
        </w:tc>
        <w:tc>
          <w:tcPr>
            <w:tcW w:type="dxa" w:w="1134"/>
          </w:tcPr>
          <w:p>
            <w:pPr>
              <w:jc w:val="center"/>
            </w:pPr>
            <w:r>
              <w:rPr>
                <w:sz w:val="15"/>
              </w:rPr>
              <w:t>nan</w:t>
            </w:r>
          </w:p>
        </w:tc>
        <w:tc>
          <w:tcPr>
            <w:tcW w:type="dxa" w:w="1134"/>
          </w:tcPr>
          <w:p>
            <w:pPr>
              <w:jc w:val="center"/>
            </w:pPr>
            <w:r>
              <w:rPr>
                <w:sz w:val="15"/>
              </w:rPr>
              <w:t>0.8346</w:t>
            </w:r>
          </w:p>
        </w:tc>
        <w:tc>
          <w:tcPr>
            <w:tcW w:type="dxa" w:w="1134"/>
          </w:tcPr>
          <w:p>
            <w:pPr>
              <w:jc w:val="center"/>
            </w:pPr>
            <w:r>
              <w:rPr>
                <w:sz w:val="15"/>
              </w:rPr>
              <w:t>0.3446</w:t>
            </w:r>
          </w:p>
        </w:tc>
        <w:tc>
          <w:tcPr>
            <w:tcW w:type="dxa" w:w="1134"/>
          </w:tcPr>
          <w:p>
            <w:pPr>
              <w:jc w:val="center"/>
            </w:pPr>
            <w:r>
              <w:rPr>
                <w:sz w:val="15"/>
              </w:rPr>
              <w:t>0.5183</w:t>
            </w:r>
          </w:p>
        </w:tc>
        <w:tc>
          <w:tcPr>
            <w:tcW w:type="dxa" w:w="1134"/>
          </w:tcPr>
          <w:p>
            <w:pPr>
              <w:jc w:val="center"/>
            </w:pPr>
            <w:r>
              <w:rPr>
                <w:sz w:val="15"/>
              </w:rPr>
              <w:t>0.4139</w:t>
            </w:r>
          </w:p>
        </w:tc>
        <w:tc>
          <w:tcPr>
            <w:tcW w:type="dxa" w:w="1134"/>
          </w:tcPr>
          <w:p>
            <w:pPr>
              <w:jc w:val="center"/>
            </w:pPr>
            <w:r>
              <w:rPr>
                <w:sz w:val="15"/>
              </w:rPr>
              <w:t>0.7697</w:t>
            </w:r>
          </w:p>
        </w:tc>
      </w:tr>
      <w:tr>
        <w:tc>
          <w:tcPr>
            <w:tcW w:type="dxa" w:w="1134"/>
          </w:tcPr>
          <w:p>
            <w:pPr>
              <w:jc w:val="center"/>
            </w:pPr>
            <w:r>
              <w:rPr>
                <w:sz w:val="15"/>
              </w:rPr>
              <w:t>LogisticRegression</w:t>
            </w:r>
          </w:p>
        </w:tc>
        <w:tc>
          <w:tcPr>
            <w:tcW w:type="dxa" w:w="1134"/>
          </w:tcPr>
          <w:p>
            <w:pPr>
              <w:jc w:val="center"/>
            </w:pPr>
            <w:r>
              <w:rPr>
                <w:sz w:val="15"/>
              </w:rPr>
              <w:t>LabelEnc</w:t>
            </w:r>
          </w:p>
        </w:tc>
        <w:tc>
          <w:tcPr>
            <w:tcW w:type="dxa" w:w="1134"/>
          </w:tcPr>
          <w:p>
            <w:pPr>
              <w:jc w:val="center"/>
            </w:pPr>
            <w:r>
              <w:rPr>
                <w:sz w:val="15"/>
              </w:rPr>
              <w:t>ClassWeight</w:t>
            </w:r>
          </w:p>
        </w:tc>
        <w:tc>
          <w:tcPr>
            <w:tcW w:type="dxa" w:w="1134"/>
          </w:tcPr>
          <w:p>
            <w:pPr>
              <w:jc w:val="center"/>
            </w:pPr>
            <w:r>
              <w:rPr>
                <w:sz w:val="15"/>
              </w:rPr>
              <w:t>0.8152</w:t>
            </w:r>
          </w:p>
        </w:tc>
        <w:tc>
          <w:tcPr>
            <w:tcW w:type="dxa" w:w="1134"/>
          </w:tcPr>
          <w:p>
            <w:pPr>
              <w:jc w:val="center"/>
            </w:pPr>
            <w:r>
              <w:rPr>
                <w:sz w:val="15"/>
              </w:rPr>
              <w:t>0.3352</w:t>
            </w:r>
          </w:p>
        </w:tc>
        <w:tc>
          <w:tcPr>
            <w:tcW w:type="dxa" w:w="1134"/>
          </w:tcPr>
          <w:p>
            <w:pPr>
              <w:jc w:val="center"/>
            </w:pPr>
            <w:r>
              <w:rPr>
                <w:sz w:val="15"/>
              </w:rPr>
              <w:t>0.6509</w:t>
            </w:r>
          </w:p>
        </w:tc>
        <w:tc>
          <w:tcPr>
            <w:tcW w:type="dxa" w:w="1134"/>
          </w:tcPr>
          <w:p>
            <w:pPr>
              <w:jc w:val="center"/>
            </w:pPr>
            <w:r>
              <w:rPr>
                <w:sz w:val="15"/>
              </w:rPr>
              <w:t>0.4425</w:t>
            </w:r>
          </w:p>
        </w:tc>
        <w:tc>
          <w:tcPr>
            <w:tcW w:type="dxa" w:w="1134"/>
          </w:tcPr>
          <w:p>
            <w:pPr>
              <w:jc w:val="center"/>
            </w:pPr>
            <w:r>
              <w:rPr>
                <w:sz w:val="15"/>
              </w:rPr>
              <w:t>0.7935</w:t>
            </w:r>
          </w:p>
        </w:tc>
      </w:tr>
      <w:tr>
        <w:tc>
          <w:tcPr>
            <w:tcW w:type="dxa" w:w="1134"/>
          </w:tcPr>
          <w:p>
            <w:pPr>
              <w:jc w:val="center"/>
            </w:pPr>
            <w:r>
              <w:rPr>
                <w:sz w:val="15"/>
              </w:rPr>
              <w:t>DecisionTree</w:t>
            </w:r>
          </w:p>
        </w:tc>
        <w:tc>
          <w:tcPr>
            <w:tcW w:type="dxa" w:w="1134"/>
          </w:tcPr>
          <w:p>
            <w:pPr>
              <w:jc w:val="center"/>
            </w:pPr>
            <w:r>
              <w:rPr>
                <w:sz w:val="15"/>
              </w:rPr>
              <w:t>LabelEnc</w:t>
            </w:r>
          </w:p>
        </w:tc>
        <w:tc>
          <w:tcPr>
            <w:tcW w:type="dxa" w:w="1134"/>
          </w:tcPr>
          <w:p>
            <w:pPr>
              <w:jc w:val="center"/>
            </w:pPr>
            <w:r>
              <w:rPr>
                <w:sz w:val="15"/>
              </w:rPr>
              <w:t>ClassWeight</w:t>
            </w:r>
          </w:p>
        </w:tc>
        <w:tc>
          <w:tcPr>
            <w:tcW w:type="dxa" w:w="1134"/>
          </w:tcPr>
          <w:p>
            <w:pPr>
              <w:jc w:val="center"/>
            </w:pPr>
            <w:r>
              <w:rPr>
                <w:sz w:val="15"/>
              </w:rPr>
              <w:t>0.8477</w:t>
            </w:r>
          </w:p>
        </w:tc>
        <w:tc>
          <w:tcPr>
            <w:tcW w:type="dxa" w:w="1134"/>
          </w:tcPr>
          <w:p>
            <w:pPr>
              <w:jc w:val="center"/>
            </w:pPr>
            <w:r>
              <w:rPr>
                <w:sz w:val="15"/>
              </w:rPr>
              <w:t>0.3316</w:t>
            </w:r>
          </w:p>
        </w:tc>
        <w:tc>
          <w:tcPr>
            <w:tcW w:type="dxa" w:w="1134"/>
          </w:tcPr>
          <w:p>
            <w:pPr>
              <w:jc w:val="center"/>
            </w:pPr>
            <w:r>
              <w:rPr>
                <w:sz w:val="15"/>
              </w:rPr>
              <w:t>0.3459</w:t>
            </w:r>
          </w:p>
        </w:tc>
        <w:tc>
          <w:tcPr>
            <w:tcW w:type="dxa" w:w="1134"/>
          </w:tcPr>
          <w:p>
            <w:pPr>
              <w:jc w:val="center"/>
            </w:pPr>
            <w:r>
              <w:rPr>
                <w:sz w:val="15"/>
              </w:rPr>
              <w:t>0.3386</w:t>
            </w:r>
          </w:p>
        </w:tc>
        <w:tc>
          <w:tcPr>
            <w:tcW w:type="dxa" w:w="1134"/>
          </w:tcPr>
          <w:p>
            <w:pPr>
              <w:jc w:val="center"/>
            </w:pPr>
            <w:r>
              <w:rPr>
                <w:sz w:val="15"/>
              </w:rPr>
              <w:t>0.6292</w:t>
            </w:r>
          </w:p>
        </w:tc>
      </w:tr>
      <w:tr>
        <w:tc>
          <w:tcPr>
            <w:tcW w:type="dxa" w:w="1134"/>
          </w:tcPr>
          <w:p>
            <w:pPr>
              <w:jc w:val="center"/>
            </w:pPr>
            <w:r>
              <w:rPr>
                <w:sz w:val="15"/>
              </w:rPr>
              <w:t>RandomForest</w:t>
            </w:r>
          </w:p>
        </w:tc>
        <w:tc>
          <w:tcPr>
            <w:tcW w:type="dxa" w:w="1134"/>
          </w:tcPr>
          <w:p>
            <w:pPr>
              <w:jc w:val="center"/>
            </w:pPr>
            <w:r>
              <w:rPr>
                <w:sz w:val="15"/>
              </w:rPr>
              <w:t>LabelEnc</w:t>
            </w:r>
          </w:p>
        </w:tc>
        <w:tc>
          <w:tcPr>
            <w:tcW w:type="dxa" w:w="1134"/>
          </w:tcPr>
          <w:p>
            <w:pPr>
              <w:jc w:val="center"/>
            </w:pPr>
            <w:r>
              <w:rPr>
                <w:sz w:val="15"/>
              </w:rPr>
              <w:t>ClassWeight</w:t>
            </w:r>
          </w:p>
        </w:tc>
        <w:tc>
          <w:tcPr>
            <w:tcW w:type="dxa" w:w="1134"/>
          </w:tcPr>
          <w:p>
            <w:pPr>
              <w:jc w:val="center"/>
            </w:pPr>
            <w:r>
              <w:rPr>
                <w:sz w:val="15"/>
              </w:rPr>
              <w:t>0.8932</w:t>
            </w:r>
          </w:p>
        </w:tc>
        <w:tc>
          <w:tcPr>
            <w:tcW w:type="dxa" w:w="1134"/>
          </w:tcPr>
          <w:p>
            <w:pPr>
              <w:jc w:val="center"/>
            </w:pPr>
            <w:r>
              <w:rPr>
                <w:sz w:val="15"/>
              </w:rPr>
              <w:t>0.5526</w:t>
            </w:r>
          </w:p>
        </w:tc>
        <w:tc>
          <w:tcPr>
            <w:tcW w:type="dxa" w:w="1134"/>
          </w:tcPr>
          <w:p>
            <w:pPr>
              <w:jc w:val="center"/>
            </w:pPr>
            <w:r>
              <w:rPr>
                <w:sz w:val="15"/>
              </w:rPr>
              <w:t>0.2716</w:t>
            </w:r>
          </w:p>
        </w:tc>
        <w:tc>
          <w:tcPr>
            <w:tcW w:type="dxa" w:w="1134"/>
          </w:tcPr>
          <w:p>
            <w:pPr>
              <w:jc w:val="center"/>
            </w:pPr>
            <w:r>
              <w:rPr>
                <w:sz w:val="15"/>
              </w:rPr>
              <w:t>0.3642</w:t>
            </w:r>
          </w:p>
        </w:tc>
        <w:tc>
          <w:tcPr>
            <w:tcW w:type="dxa" w:w="1134"/>
          </w:tcPr>
          <w:p>
            <w:pPr>
              <w:jc w:val="center"/>
            </w:pPr>
            <w:r>
              <w:rPr>
                <w:sz w:val="15"/>
              </w:rPr>
              <w:t>0.7805</w:t>
            </w:r>
          </w:p>
        </w:tc>
      </w:tr>
      <w:tr>
        <w:tc>
          <w:tcPr>
            <w:tcW w:type="dxa" w:w="1134"/>
          </w:tcPr>
          <w:p>
            <w:pPr>
              <w:jc w:val="center"/>
            </w:pPr>
            <w:r>
              <w:rPr>
                <w:sz w:val="15"/>
              </w:rPr>
              <w:t>kNN</w:t>
            </w:r>
          </w:p>
        </w:tc>
        <w:tc>
          <w:tcPr>
            <w:tcW w:type="dxa" w:w="1134"/>
          </w:tcPr>
          <w:p>
            <w:pPr>
              <w:jc w:val="center"/>
            </w:pPr>
            <w:r>
              <w:rPr>
                <w:sz w:val="15"/>
              </w:rPr>
              <w:t>LabelEnc</w:t>
            </w:r>
          </w:p>
        </w:tc>
        <w:tc>
          <w:tcPr>
            <w:tcW w:type="dxa" w:w="1134"/>
          </w:tcPr>
          <w:p>
            <w:pPr>
              <w:jc w:val="center"/>
            </w:pPr>
            <w:r>
              <w:rPr>
                <w:sz w:val="15"/>
              </w:rPr>
              <w:t>ClassWeight</w:t>
            </w:r>
          </w:p>
        </w:tc>
        <w:tc>
          <w:tcPr>
            <w:tcW w:type="dxa" w:w="1134"/>
          </w:tcPr>
          <w:p>
            <w:pPr>
              <w:jc w:val="center"/>
            </w:pPr>
            <w:r>
              <w:rPr>
                <w:sz w:val="15"/>
              </w:rPr>
              <w:t>0.8952</w:t>
            </w:r>
          </w:p>
        </w:tc>
        <w:tc>
          <w:tcPr>
            <w:tcW w:type="dxa" w:w="1134"/>
          </w:tcPr>
          <w:p>
            <w:pPr>
              <w:jc w:val="center"/>
            </w:pPr>
            <w:r>
              <w:rPr>
                <w:sz w:val="15"/>
              </w:rPr>
              <w:t>0.5740</w:t>
            </w:r>
          </w:p>
        </w:tc>
        <w:tc>
          <w:tcPr>
            <w:tcW w:type="dxa" w:w="1134"/>
          </w:tcPr>
          <w:p>
            <w:pPr>
              <w:jc w:val="center"/>
            </w:pPr>
            <w:r>
              <w:rPr>
                <w:sz w:val="15"/>
              </w:rPr>
              <w:t>0.2716</w:t>
            </w:r>
          </w:p>
        </w:tc>
        <w:tc>
          <w:tcPr>
            <w:tcW w:type="dxa" w:w="1134"/>
          </w:tcPr>
          <w:p>
            <w:pPr>
              <w:jc w:val="center"/>
            </w:pPr>
            <w:r>
              <w:rPr>
                <w:sz w:val="15"/>
              </w:rPr>
              <w:t>0.3687</w:t>
            </w:r>
          </w:p>
        </w:tc>
        <w:tc>
          <w:tcPr>
            <w:tcW w:type="dxa" w:w="1134"/>
          </w:tcPr>
          <w:p>
            <w:pPr>
              <w:jc w:val="center"/>
            </w:pPr>
            <w:r>
              <w:rPr>
                <w:sz w:val="15"/>
              </w:rPr>
              <w:t>0.7334</w:t>
            </w:r>
          </w:p>
        </w:tc>
      </w:tr>
      <w:tr>
        <w:tc>
          <w:tcPr>
            <w:tcW w:type="dxa" w:w="1134"/>
          </w:tcPr>
          <w:p>
            <w:pPr>
              <w:jc w:val="center"/>
            </w:pPr>
            <w:r>
              <w:rPr>
                <w:sz w:val="15"/>
              </w:rPr>
              <w:t>NaiveBayes</w:t>
            </w:r>
          </w:p>
        </w:tc>
        <w:tc>
          <w:tcPr>
            <w:tcW w:type="dxa" w:w="1134"/>
          </w:tcPr>
          <w:p>
            <w:pPr>
              <w:jc w:val="center"/>
            </w:pPr>
            <w:r>
              <w:rPr>
                <w:sz w:val="15"/>
              </w:rPr>
              <w:t>LabelEnc</w:t>
            </w:r>
          </w:p>
        </w:tc>
        <w:tc>
          <w:tcPr>
            <w:tcW w:type="dxa" w:w="1134"/>
          </w:tcPr>
          <w:p>
            <w:pPr>
              <w:jc w:val="center"/>
            </w:pPr>
            <w:r>
              <w:rPr>
                <w:sz w:val="15"/>
              </w:rPr>
              <w:t>ClassWeight</w:t>
            </w:r>
          </w:p>
        </w:tc>
        <w:tc>
          <w:tcPr>
            <w:tcW w:type="dxa" w:w="1134"/>
          </w:tcPr>
          <w:p>
            <w:pPr>
              <w:jc w:val="center"/>
            </w:pPr>
            <w:r>
              <w:rPr>
                <w:sz w:val="15"/>
              </w:rPr>
              <w:t>0.8346</w:t>
            </w:r>
          </w:p>
        </w:tc>
        <w:tc>
          <w:tcPr>
            <w:tcW w:type="dxa" w:w="1134"/>
          </w:tcPr>
          <w:p>
            <w:pPr>
              <w:jc w:val="center"/>
            </w:pPr>
            <w:r>
              <w:rPr>
                <w:sz w:val="15"/>
              </w:rPr>
              <w:t>0.3446</w:t>
            </w:r>
          </w:p>
        </w:tc>
        <w:tc>
          <w:tcPr>
            <w:tcW w:type="dxa" w:w="1134"/>
          </w:tcPr>
          <w:p>
            <w:pPr>
              <w:jc w:val="center"/>
            </w:pPr>
            <w:r>
              <w:rPr>
                <w:sz w:val="15"/>
              </w:rPr>
              <w:t>0.5183</w:t>
            </w:r>
          </w:p>
        </w:tc>
        <w:tc>
          <w:tcPr>
            <w:tcW w:type="dxa" w:w="1134"/>
          </w:tcPr>
          <w:p>
            <w:pPr>
              <w:jc w:val="center"/>
            </w:pPr>
            <w:r>
              <w:rPr>
                <w:sz w:val="15"/>
              </w:rPr>
              <w:t>0.4139</w:t>
            </w:r>
          </w:p>
        </w:tc>
        <w:tc>
          <w:tcPr>
            <w:tcW w:type="dxa" w:w="1134"/>
          </w:tcPr>
          <w:p>
            <w:pPr>
              <w:jc w:val="center"/>
            </w:pPr>
            <w:r>
              <w:rPr>
                <w:sz w:val="15"/>
              </w:rPr>
              <w:t>0.7697</w:t>
            </w:r>
          </w:p>
        </w:tc>
      </w:tr>
      <w:tr>
        <w:tc>
          <w:tcPr>
            <w:tcW w:type="dxa" w:w="1134"/>
          </w:tcPr>
          <w:p>
            <w:pPr>
              <w:jc w:val="center"/>
            </w:pPr>
            <w:r>
              <w:rPr>
                <w:sz w:val="15"/>
              </w:rPr>
              <w:t>LogisticRegression</w:t>
            </w:r>
          </w:p>
        </w:tc>
        <w:tc>
          <w:tcPr>
            <w:tcW w:type="dxa" w:w="1134"/>
          </w:tcPr>
          <w:p>
            <w:pPr>
              <w:jc w:val="center"/>
            </w:pPr>
            <w:r>
              <w:rPr>
                <w:sz w:val="15"/>
              </w:rPr>
              <w:t>LabelEnc</w:t>
            </w:r>
          </w:p>
        </w:tc>
        <w:tc>
          <w:tcPr>
            <w:tcW w:type="dxa" w:w="1134"/>
          </w:tcPr>
          <w:p>
            <w:pPr>
              <w:jc w:val="center"/>
            </w:pPr>
            <w:r>
              <w:rPr>
                <w:sz w:val="15"/>
              </w:rPr>
              <w:t>SMOTE</w:t>
            </w:r>
          </w:p>
        </w:tc>
        <w:tc>
          <w:tcPr>
            <w:tcW w:type="dxa" w:w="1134"/>
          </w:tcPr>
          <w:p>
            <w:pPr>
              <w:jc w:val="center"/>
            </w:pPr>
            <w:r>
              <w:rPr>
                <w:sz w:val="15"/>
              </w:rPr>
              <w:t>0.8028</w:t>
            </w:r>
          </w:p>
        </w:tc>
        <w:tc>
          <w:tcPr>
            <w:tcW w:type="dxa" w:w="1134"/>
          </w:tcPr>
          <w:p>
            <w:pPr>
              <w:jc w:val="center"/>
            </w:pPr>
            <w:r>
              <w:rPr>
                <w:sz w:val="15"/>
              </w:rPr>
              <w:t>0.3184</w:t>
            </w:r>
          </w:p>
        </w:tc>
        <w:tc>
          <w:tcPr>
            <w:tcW w:type="dxa" w:w="1134"/>
          </w:tcPr>
          <w:p>
            <w:pPr>
              <w:jc w:val="center"/>
            </w:pPr>
            <w:r>
              <w:rPr>
                <w:sz w:val="15"/>
              </w:rPr>
              <w:t>0.6573</w:t>
            </w:r>
          </w:p>
        </w:tc>
        <w:tc>
          <w:tcPr>
            <w:tcW w:type="dxa" w:w="1134"/>
          </w:tcPr>
          <w:p>
            <w:pPr>
              <w:jc w:val="center"/>
            </w:pPr>
            <w:r>
              <w:rPr>
                <w:sz w:val="15"/>
              </w:rPr>
              <w:t>0.4290</w:t>
            </w:r>
          </w:p>
        </w:tc>
        <w:tc>
          <w:tcPr>
            <w:tcW w:type="dxa" w:w="1134"/>
          </w:tcPr>
          <w:p>
            <w:pPr>
              <w:jc w:val="center"/>
            </w:pPr>
            <w:r>
              <w:rPr>
                <w:sz w:val="15"/>
              </w:rPr>
              <w:t>0.7914</w:t>
            </w:r>
          </w:p>
        </w:tc>
      </w:tr>
      <w:tr>
        <w:tc>
          <w:tcPr>
            <w:tcW w:type="dxa" w:w="1134"/>
          </w:tcPr>
          <w:p>
            <w:pPr>
              <w:jc w:val="center"/>
            </w:pPr>
            <w:r>
              <w:rPr>
                <w:sz w:val="15"/>
              </w:rPr>
              <w:t>DecisionTree</w:t>
            </w:r>
          </w:p>
        </w:tc>
        <w:tc>
          <w:tcPr>
            <w:tcW w:type="dxa" w:w="1134"/>
          </w:tcPr>
          <w:p>
            <w:pPr>
              <w:jc w:val="center"/>
            </w:pPr>
            <w:r>
              <w:rPr>
                <w:sz w:val="15"/>
              </w:rPr>
              <w:t>LabelEnc</w:t>
            </w:r>
          </w:p>
        </w:tc>
        <w:tc>
          <w:tcPr>
            <w:tcW w:type="dxa" w:w="1134"/>
          </w:tcPr>
          <w:p>
            <w:pPr>
              <w:jc w:val="center"/>
            </w:pPr>
            <w:r>
              <w:rPr>
                <w:sz w:val="15"/>
              </w:rPr>
              <w:t>SMOTE</w:t>
            </w:r>
          </w:p>
        </w:tc>
        <w:tc>
          <w:tcPr>
            <w:tcW w:type="dxa" w:w="1134"/>
          </w:tcPr>
          <w:p>
            <w:pPr>
              <w:jc w:val="center"/>
            </w:pPr>
            <w:r>
              <w:rPr>
                <w:sz w:val="15"/>
              </w:rPr>
              <w:t>0.8322</w:t>
            </w:r>
          </w:p>
        </w:tc>
        <w:tc>
          <w:tcPr>
            <w:tcW w:type="dxa" w:w="1134"/>
          </w:tcPr>
          <w:p>
            <w:pPr>
              <w:jc w:val="center"/>
            </w:pPr>
            <w:r>
              <w:rPr>
                <w:sz w:val="15"/>
              </w:rPr>
              <w:t>0.2854</w:t>
            </w:r>
          </w:p>
        </w:tc>
        <w:tc>
          <w:tcPr>
            <w:tcW w:type="dxa" w:w="1134"/>
          </w:tcPr>
          <w:p>
            <w:pPr>
              <w:jc w:val="center"/>
            </w:pPr>
            <w:r>
              <w:rPr>
                <w:sz w:val="15"/>
              </w:rPr>
              <w:t>0.3254</w:t>
            </w:r>
          </w:p>
        </w:tc>
        <w:tc>
          <w:tcPr>
            <w:tcW w:type="dxa" w:w="1134"/>
          </w:tcPr>
          <w:p>
            <w:pPr>
              <w:jc w:val="center"/>
            </w:pPr>
            <w:r>
              <w:rPr>
                <w:sz w:val="15"/>
              </w:rPr>
              <w:t>0.3041</w:t>
            </w:r>
          </w:p>
        </w:tc>
        <w:tc>
          <w:tcPr>
            <w:tcW w:type="dxa" w:w="1134"/>
          </w:tcPr>
          <w:p>
            <w:pPr>
              <w:jc w:val="center"/>
            </w:pPr>
            <w:r>
              <w:rPr>
                <w:sz w:val="15"/>
              </w:rPr>
              <w:t>0.6136</w:t>
            </w:r>
          </w:p>
        </w:tc>
      </w:tr>
      <w:tr>
        <w:tc>
          <w:tcPr>
            <w:tcW w:type="dxa" w:w="1134"/>
          </w:tcPr>
          <w:p>
            <w:pPr>
              <w:jc w:val="center"/>
            </w:pPr>
            <w:r>
              <w:rPr>
                <w:sz w:val="15"/>
              </w:rPr>
              <w:t>RandomForest</w:t>
            </w:r>
          </w:p>
        </w:tc>
        <w:tc>
          <w:tcPr>
            <w:tcW w:type="dxa" w:w="1134"/>
          </w:tcPr>
          <w:p>
            <w:pPr>
              <w:jc w:val="center"/>
            </w:pPr>
            <w:r>
              <w:rPr>
                <w:sz w:val="15"/>
              </w:rPr>
              <w:t>LabelEnc</w:t>
            </w:r>
          </w:p>
        </w:tc>
        <w:tc>
          <w:tcPr>
            <w:tcW w:type="dxa" w:w="1134"/>
          </w:tcPr>
          <w:p>
            <w:pPr>
              <w:jc w:val="center"/>
            </w:pPr>
            <w:r>
              <w:rPr>
                <w:sz w:val="15"/>
              </w:rPr>
              <w:t>SMOTE</w:t>
            </w:r>
          </w:p>
        </w:tc>
        <w:tc>
          <w:tcPr>
            <w:tcW w:type="dxa" w:w="1134"/>
          </w:tcPr>
          <w:p>
            <w:pPr>
              <w:jc w:val="center"/>
            </w:pPr>
            <w:r>
              <w:rPr>
                <w:sz w:val="15"/>
              </w:rPr>
              <w:t>0.8905</w:t>
            </w:r>
          </w:p>
        </w:tc>
        <w:tc>
          <w:tcPr>
            <w:tcW w:type="dxa" w:w="1134"/>
          </w:tcPr>
          <w:p>
            <w:pPr>
              <w:jc w:val="center"/>
            </w:pPr>
            <w:r>
              <w:rPr>
                <w:sz w:val="15"/>
              </w:rPr>
              <w:t>0.5217</w:t>
            </w:r>
          </w:p>
        </w:tc>
        <w:tc>
          <w:tcPr>
            <w:tcW w:type="dxa" w:w="1134"/>
          </w:tcPr>
          <w:p>
            <w:pPr>
              <w:jc w:val="center"/>
            </w:pPr>
            <w:r>
              <w:rPr>
                <w:sz w:val="15"/>
              </w:rPr>
              <w:t>0.3362</w:t>
            </w:r>
          </w:p>
        </w:tc>
        <w:tc>
          <w:tcPr>
            <w:tcW w:type="dxa" w:w="1134"/>
          </w:tcPr>
          <w:p>
            <w:pPr>
              <w:jc w:val="center"/>
            </w:pPr>
            <w:r>
              <w:rPr>
                <w:sz w:val="15"/>
              </w:rPr>
              <w:t>0.4089</w:t>
            </w:r>
          </w:p>
        </w:tc>
        <w:tc>
          <w:tcPr>
            <w:tcW w:type="dxa" w:w="1134"/>
          </w:tcPr>
          <w:p>
            <w:pPr>
              <w:jc w:val="center"/>
            </w:pPr>
            <w:r>
              <w:rPr>
                <w:sz w:val="15"/>
              </w:rPr>
              <w:t>0.7794</w:t>
            </w:r>
          </w:p>
        </w:tc>
      </w:tr>
      <w:tr>
        <w:tc>
          <w:tcPr>
            <w:tcW w:type="dxa" w:w="1134"/>
          </w:tcPr>
          <w:p>
            <w:pPr>
              <w:jc w:val="center"/>
            </w:pPr>
            <w:r>
              <w:rPr>
                <w:sz w:val="15"/>
              </w:rPr>
              <w:t>kNN</w:t>
            </w:r>
          </w:p>
        </w:tc>
        <w:tc>
          <w:tcPr>
            <w:tcW w:type="dxa" w:w="1134"/>
          </w:tcPr>
          <w:p>
            <w:pPr>
              <w:jc w:val="center"/>
            </w:pPr>
            <w:r>
              <w:rPr>
                <w:sz w:val="15"/>
              </w:rPr>
              <w:t>LabelEnc</w:t>
            </w:r>
          </w:p>
        </w:tc>
        <w:tc>
          <w:tcPr>
            <w:tcW w:type="dxa" w:w="1134"/>
          </w:tcPr>
          <w:p>
            <w:pPr>
              <w:jc w:val="center"/>
            </w:pPr>
            <w:r>
              <w:rPr>
                <w:sz w:val="15"/>
              </w:rPr>
              <w:t>SMOTE</w:t>
            </w:r>
          </w:p>
        </w:tc>
        <w:tc>
          <w:tcPr>
            <w:tcW w:type="dxa" w:w="1134"/>
          </w:tcPr>
          <w:p>
            <w:pPr>
              <w:jc w:val="center"/>
            </w:pPr>
            <w:r>
              <w:rPr>
                <w:sz w:val="15"/>
              </w:rPr>
              <w:t>0.7952</w:t>
            </w:r>
          </w:p>
        </w:tc>
        <w:tc>
          <w:tcPr>
            <w:tcW w:type="dxa" w:w="1134"/>
          </w:tcPr>
          <w:p>
            <w:pPr>
              <w:jc w:val="center"/>
            </w:pPr>
            <w:r>
              <w:rPr>
                <w:sz w:val="15"/>
              </w:rPr>
              <w:t>0.2850</w:t>
            </w:r>
          </w:p>
        </w:tc>
        <w:tc>
          <w:tcPr>
            <w:tcW w:type="dxa" w:w="1134"/>
          </w:tcPr>
          <w:p>
            <w:pPr>
              <w:jc w:val="center"/>
            </w:pPr>
            <w:r>
              <w:rPr>
                <w:sz w:val="15"/>
              </w:rPr>
              <w:t>0.5420</w:t>
            </w:r>
          </w:p>
        </w:tc>
        <w:tc>
          <w:tcPr>
            <w:tcW w:type="dxa" w:w="1134"/>
          </w:tcPr>
          <w:p>
            <w:pPr>
              <w:jc w:val="center"/>
            </w:pPr>
            <w:r>
              <w:rPr>
                <w:sz w:val="15"/>
              </w:rPr>
              <w:t>0.3736</w:t>
            </w:r>
          </w:p>
        </w:tc>
        <w:tc>
          <w:tcPr>
            <w:tcW w:type="dxa" w:w="1134"/>
          </w:tcPr>
          <w:p>
            <w:pPr>
              <w:jc w:val="center"/>
            </w:pPr>
            <w:r>
              <w:rPr>
                <w:sz w:val="15"/>
              </w:rPr>
              <w:t>0.7229</w:t>
            </w:r>
          </w:p>
        </w:tc>
      </w:tr>
      <w:tr>
        <w:tc>
          <w:tcPr>
            <w:tcW w:type="dxa" w:w="1134"/>
          </w:tcPr>
          <w:p>
            <w:pPr>
              <w:jc w:val="center"/>
            </w:pPr>
            <w:r>
              <w:rPr>
                <w:sz w:val="15"/>
              </w:rPr>
              <w:t>NaiveBayes</w:t>
            </w:r>
          </w:p>
        </w:tc>
        <w:tc>
          <w:tcPr>
            <w:tcW w:type="dxa" w:w="1134"/>
          </w:tcPr>
          <w:p>
            <w:pPr>
              <w:jc w:val="center"/>
            </w:pPr>
            <w:r>
              <w:rPr>
                <w:sz w:val="15"/>
              </w:rPr>
              <w:t>LabelEnc</w:t>
            </w:r>
          </w:p>
        </w:tc>
        <w:tc>
          <w:tcPr>
            <w:tcW w:type="dxa" w:w="1134"/>
          </w:tcPr>
          <w:p>
            <w:pPr>
              <w:jc w:val="center"/>
            </w:pPr>
            <w:r>
              <w:rPr>
                <w:sz w:val="15"/>
              </w:rPr>
              <w:t>SMOTE</w:t>
            </w:r>
          </w:p>
        </w:tc>
        <w:tc>
          <w:tcPr>
            <w:tcW w:type="dxa" w:w="1134"/>
          </w:tcPr>
          <w:p>
            <w:pPr>
              <w:jc w:val="center"/>
            </w:pPr>
            <w:r>
              <w:rPr>
                <w:sz w:val="15"/>
              </w:rPr>
              <w:t>0.7462</w:t>
            </w:r>
          </w:p>
        </w:tc>
        <w:tc>
          <w:tcPr>
            <w:tcW w:type="dxa" w:w="1134"/>
          </w:tcPr>
          <w:p>
            <w:pPr>
              <w:jc w:val="center"/>
            </w:pPr>
            <w:r>
              <w:rPr>
                <w:sz w:val="15"/>
              </w:rPr>
              <w:t>0.2655</w:t>
            </w:r>
          </w:p>
        </w:tc>
        <w:tc>
          <w:tcPr>
            <w:tcW w:type="dxa" w:w="1134"/>
          </w:tcPr>
          <w:p>
            <w:pPr>
              <w:jc w:val="center"/>
            </w:pPr>
            <w:r>
              <w:rPr>
                <w:sz w:val="15"/>
              </w:rPr>
              <w:t>0.7091</w:t>
            </w:r>
          </w:p>
        </w:tc>
        <w:tc>
          <w:tcPr>
            <w:tcW w:type="dxa" w:w="1134"/>
          </w:tcPr>
          <w:p>
            <w:pPr>
              <w:jc w:val="center"/>
            </w:pPr>
            <w:r>
              <w:rPr>
                <w:sz w:val="15"/>
              </w:rPr>
              <w:t>0.3864</w:t>
            </w:r>
          </w:p>
        </w:tc>
        <w:tc>
          <w:tcPr>
            <w:tcW w:type="dxa" w:w="1134"/>
          </w:tcPr>
          <w:p>
            <w:pPr>
              <w:jc w:val="center"/>
            </w:pPr>
            <w:r>
              <w:rPr>
                <w:sz w:val="15"/>
              </w:rPr>
              <w:t>0.7692</w:t>
            </w:r>
          </w:p>
        </w:tc>
      </w:tr>
    </w:tbl>
    <w:p>
      <w:pPr>
        <w:jc w:val="center"/>
      </w:pPr>
      <w:r>
        <w:rPr>
          <w:i/>
          <w:sz w:val="18"/>
        </w:rPr>
        <w:t>Table 2. Full model comparison (36 experiments). Green highlight = highest ROC-AUC configuration.</w:t>
      </w:r>
    </w:p>
    <w:p/>
    <w:p>
      <w:pPr>
        <w:pStyle w:val="Heading2"/>
        <w:jc w:val="left"/>
      </w:pPr>
      <w:r>
        <w:rPr>
          <w:color w:val="1F497D"/>
        </w:rPr>
        <w:t>3.2  ROC Curves</w:t>
      </w:r>
    </w:p>
    <w:p>
      <w:pPr>
        <w:jc w:val="both"/>
      </w:pPr>
      <w:r>
        <w:rPr>
          <w:b w:val="0"/>
          <w:i w:val="0"/>
          <w:sz w:val="22"/>
        </w:rPr>
        <w:t>Figure 1 displays ROC curves for all six classifiers under their best OHE configuration. Ensemble methods (Random Forest) and linear models (Logistic Regression) consistently achieve higher AUC than instance-based (k-NN) and probabilistic (Naïve Bayes) methods.</w:t>
      </w:r>
    </w:p>
    <w:p>
      <w:pPr>
        <w:jc w:val="center"/>
      </w:pPr>
      <w:r>
        <w:drawing>
          <wp:inline xmlns:a="http://schemas.openxmlformats.org/drawingml/2006/main" xmlns:pic="http://schemas.openxmlformats.org/drawingml/2006/picture">
            <wp:extent cx="5029200" cy="4038995"/>
            <wp:docPr id="1" name="Picture 1"/>
            <wp:cNvGraphicFramePr>
              <a:graphicFrameLocks noChangeAspect="1"/>
            </wp:cNvGraphicFramePr>
            <a:graphic>
              <a:graphicData uri="http://schemas.openxmlformats.org/drawingml/2006/picture">
                <pic:pic>
                  <pic:nvPicPr>
                    <pic:cNvPr id="0" name="roc_curve.png"/>
                    <pic:cNvPicPr/>
                  </pic:nvPicPr>
                  <pic:blipFill>
                    <a:blip r:embed="rId9"/>
                    <a:stretch>
                      <a:fillRect/>
                    </a:stretch>
                  </pic:blipFill>
                  <pic:spPr>
                    <a:xfrm>
                      <a:off x="0" y="0"/>
                      <a:ext cx="5029200" cy="4038995"/>
                    </a:xfrm>
                    <a:prstGeom prst="rect"/>
                  </pic:spPr>
                </pic:pic>
              </a:graphicData>
            </a:graphic>
          </wp:inline>
        </w:drawing>
      </w:r>
    </w:p>
    <w:p>
      <w:pPr>
        <w:jc w:val="center"/>
      </w:pPr>
      <w:r>
        <w:rPr>
          <w:i/>
          <w:sz w:val="18"/>
        </w:rPr>
        <w:t>Figure 1. ROC Curves for All Six Classifiers (OHE, best imbalance configuration per model)</w:t>
      </w:r>
    </w:p>
    <w:p/>
    <w:p>
      <w:pPr>
        <w:pStyle w:val="Heading2"/>
        <w:jc w:val="left"/>
      </w:pPr>
      <w:r>
        <w:rPr>
          <w:color w:val="1F497D"/>
        </w:rPr>
        <w:t>3.3  Overall Performance Comparison</w:t>
      </w:r>
    </w:p>
    <w:p>
      <w:pPr>
        <w:jc w:val="center"/>
      </w:pPr>
      <w:r>
        <w:drawing>
          <wp:inline xmlns:a="http://schemas.openxmlformats.org/drawingml/2006/main" xmlns:pic="http://schemas.openxmlformats.org/drawingml/2006/picture">
            <wp:extent cx="5029200" cy="3132285"/>
            <wp:docPr id="2" name="Picture 2"/>
            <wp:cNvGraphicFramePr>
              <a:graphicFrameLocks noChangeAspect="1"/>
            </wp:cNvGraphicFramePr>
            <a:graphic>
              <a:graphicData uri="http://schemas.openxmlformats.org/drawingml/2006/picture">
                <pic:pic>
                  <pic:nvPicPr>
                    <pic:cNvPr id="0" name="model_performance.png"/>
                    <pic:cNvPicPr/>
                  </pic:nvPicPr>
                  <pic:blipFill>
                    <a:blip r:embed="rId10"/>
                    <a:stretch>
                      <a:fillRect/>
                    </a:stretch>
                  </pic:blipFill>
                  <pic:spPr>
                    <a:xfrm>
                      <a:off x="0" y="0"/>
                      <a:ext cx="5029200" cy="3132285"/>
                    </a:xfrm>
                    <a:prstGeom prst="rect"/>
                  </pic:spPr>
                </pic:pic>
              </a:graphicData>
            </a:graphic>
          </wp:inline>
        </w:drawing>
      </w:r>
    </w:p>
    <w:p>
      <w:pPr>
        <w:jc w:val="center"/>
      </w:pPr>
      <w:r>
        <w:rPr>
          <w:i/>
          <w:sz w:val="18"/>
        </w:rPr>
        <w:t>Figure 2. F1-Score and ROC-AUC Comparison Across Models (Best Configuration)</w:t>
      </w:r>
    </w:p>
    <w:p/>
    <w:p>
      <w:pPr>
        <w:pStyle w:val="Heading2"/>
        <w:jc w:val="left"/>
      </w:pPr>
      <w:r>
        <w:rPr>
          <w:color w:val="1F497D"/>
        </w:rPr>
        <w:t>3.4  Feature Importance</w:t>
      </w:r>
    </w:p>
    <w:p>
      <w:pPr>
        <w:jc w:val="both"/>
      </w:pPr>
      <w:r>
        <w:rPr>
          <w:b w:val="0"/>
          <w:i w:val="0"/>
          <w:sz w:val="22"/>
        </w:rPr>
        <w:t>Figure 3 shows the top 15 features from the Random Forest (SMOTE + OHE). Economic indicators dominate: age, euribor3m, campaign, job, education are the strongest predictors. Campaign-specific features (campaign contacts, pdays) and sociodemographic attributes (age, job) were also influential.</w:t>
      </w:r>
    </w:p>
    <w:p>
      <w:pPr>
        <w:jc w:val="center"/>
      </w:pPr>
      <w:r>
        <w:drawing>
          <wp:inline xmlns:a="http://schemas.openxmlformats.org/drawingml/2006/main" xmlns:pic="http://schemas.openxmlformats.org/drawingml/2006/picture">
            <wp:extent cx="5029200" cy="3510594"/>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029200" cy="3510594"/>
                    </a:xfrm>
                    <a:prstGeom prst="rect"/>
                  </pic:spPr>
                </pic:pic>
              </a:graphicData>
            </a:graphic>
          </wp:inline>
        </w:drawing>
      </w:r>
    </w:p>
    <w:p>
      <w:pPr>
        <w:jc w:val="center"/>
      </w:pPr>
      <w:r>
        <w:rPr>
          <w:i/>
          <w:sz w:val="18"/>
        </w:rPr>
        <w:t>Figure 3. Top 15 Feature Importances – Random Forest (SMOTE + OHE)</w:t>
      </w:r>
    </w:p>
    <w:p/>
    <w:p>
      <w:pPr>
        <w:pStyle w:val="Heading2"/>
        <w:jc w:val="left"/>
      </w:pPr>
      <w:r>
        <w:rPr>
          <w:color w:val="1F497D"/>
        </w:rPr>
        <w:t>3.5  Effect of Imbalance Handling</w:t>
      </w:r>
    </w:p>
    <w:p>
      <w:pPr>
        <w:jc w:val="center"/>
      </w:pPr>
      <w:r>
        <w:drawing>
          <wp:inline xmlns:a="http://schemas.openxmlformats.org/drawingml/2006/main" xmlns:pic="http://schemas.openxmlformats.org/drawingml/2006/picture">
            <wp:extent cx="5029200" cy="3269226"/>
            <wp:docPr id="4" name="Picture 4"/>
            <wp:cNvGraphicFramePr>
              <a:graphicFrameLocks noChangeAspect="1"/>
            </wp:cNvGraphicFramePr>
            <a:graphic>
              <a:graphicData uri="http://schemas.openxmlformats.org/drawingml/2006/picture">
                <pic:pic>
                  <pic:nvPicPr>
                    <pic:cNvPr id="0" name="imbalance_impact.png"/>
                    <pic:cNvPicPr/>
                  </pic:nvPicPr>
                  <pic:blipFill>
                    <a:blip r:embed="rId12"/>
                    <a:stretch>
                      <a:fillRect/>
                    </a:stretch>
                  </pic:blipFill>
                  <pic:spPr>
                    <a:xfrm>
                      <a:off x="0" y="0"/>
                      <a:ext cx="5029200" cy="3269226"/>
                    </a:xfrm>
                    <a:prstGeom prst="rect"/>
                  </pic:spPr>
                </pic:pic>
              </a:graphicData>
            </a:graphic>
          </wp:inline>
        </w:drawing>
      </w:r>
    </w:p>
    <w:p>
      <w:pPr>
        <w:jc w:val="center"/>
      </w:pPr>
      <w:r>
        <w:rPr>
          <w:i/>
          <w:sz w:val="18"/>
        </w:rPr>
        <w:t>Figure 4. Mean Recall and F1-Score by Imbalance Strategy (averaged across all models)</w:t>
      </w:r>
    </w:p>
    <w:p/>
    <w:p>
      <w:pPr>
        <w:pStyle w:val="Heading2"/>
        <w:jc w:val="left"/>
      </w:pPr>
      <w:r>
        <w:rPr>
          <w:color w:val="1F497D"/>
        </w:rPr>
        <w:t>3.6  Best Model – Confusion Matrix</w:t>
      </w:r>
    </w:p>
    <w:p>
      <w:pPr>
        <w:jc w:val="center"/>
      </w:pPr>
      <w:r>
        <w:drawing>
          <wp:inline xmlns:a="http://schemas.openxmlformats.org/drawingml/2006/main" xmlns:pic="http://schemas.openxmlformats.org/drawingml/2006/picture">
            <wp:extent cx="5029200" cy="4317874"/>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5029200" cy="4317874"/>
                    </a:xfrm>
                    <a:prstGeom prst="rect"/>
                  </pic:spPr>
                </pic:pic>
              </a:graphicData>
            </a:graphic>
          </wp:inline>
        </w:drawing>
      </w:r>
    </w:p>
    <w:p>
      <w:pPr>
        <w:jc w:val="center"/>
      </w:pPr>
      <w:r>
        <w:rPr>
          <w:i/>
          <w:sz w:val="18"/>
        </w:rPr>
        <w:t>Figure 5. Confusion Matrix – Random Forest (OHE, SMOTE)</w:t>
      </w:r>
    </w:p>
    <w:p/>
    <w:p>
      <w:pPr>
        <w:pStyle w:val="Heading1"/>
        <w:jc w:val="left"/>
      </w:pPr>
      <w:r>
        <w:rPr>
          <w:color w:val="1F497D"/>
        </w:rPr>
        <w:t>4  Discussion</w:t>
      </w:r>
    </w:p>
    <w:p>
      <w:pPr>
        <w:pStyle w:val="Heading2"/>
        <w:jc w:val="left"/>
      </w:pPr>
      <w:r>
        <w:rPr>
          <w:color w:val="1F497D"/>
        </w:rPr>
        <w:t>4.1  Best Model</w:t>
      </w:r>
    </w:p>
    <w:p>
      <w:pPr>
        <w:jc w:val="both"/>
      </w:pPr>
      <w:r>
        <w:rPr>
          <w:b w:val="0"/>
          <w:i w:val="0"/>
          <w:sz w:val="22"/>
        </w:rPr>
        <w:t>Random Forest with SMOTE and OHE encoding achieved the highest overall performance (ROC-AUC = N/A, F1 = N/A). Random Forest benefits from ensemble averaging, which reduces variance and handles feature interactions implicitly—crucial for the heterogeneous mix of categorical and macroeconomic features in this dataset. Logistic Regression, despite its simplicity, performs competitively when class weights are applied, demonstrating that linear separability is partially present in the feature space.</w:t>
      </w:r>
    </w:p>
    <w:p>
      <w:pPr>
        <w:pStyle w:val="Heading2"/>
        <w:jc w:val="left"/>
      </w:pPr>
      <w:r>
        <w:rPr>
          <w:color w:val="1F497D"/>
        </w:rPr>
        <w:t>4.2  Impact of SMOTE</w:t>
      </w:r>
    </w:p>
    <w:p>
      <w:pPr>
        <w:jc w:val="both"/>
      </w:pPr>
      <w:r>
        <w:rPr>
          <w:b w:val="0"/>
          <w:i w:val="0"/>
          <w:sz w:val="22"/>
        </w:rPr>
        <w:t>SMOTE consistently increased recall across all six models, often at the cost of a modest precision reduction. This trade-off aligns with business objectives in telemarketing: missing a potential subscriber (false negative) typically incurs a higher opportunity cost than contacting a non-subscriber (false positive). Class weighting offers a lighter-weight alternative with similar recall gains and lower computational overhead.</w:t>
      </w:r>
    </w:p>
    <w:p>
      <w:pPr>
        <w:pStyle w:val="Heading2"/>
        <w:jc w:val="left"/>
      </w:pPr>
      <w:r>
        <w:rPr>
          <w:color w:val="1F497D"/>
        </w:rPr>
        <w:t>4.3  Feature Importance and Drivers</w:t>
      </w:r>
    </w:p>
    <w:p>
      <w:pPr>
        <w:jc w:val="both"/>
      </w:pPr>
      <w:r>
        <w:rPr>
          <w:b w:val="0"/>
          <w:i w:val="0"/>
          <w:sz w:val="22"/>
        </w:rPr>
        <w:t>Macroeconomic context overwhelmingly drives predictions: the Euribor 3-month rate, employment variation rate, number of employees, and consumer confidence index collectively reflect the broader economic conditions under which clients make investment decisions. Clients contacted in previous campaigns (pdays &lt; 999) show substantially higher conversion rates. Among sociodemographic features, retired individuals and students show elevated subscription propensity—consistent with findings in the reference literature (Moro et al., 2014).</w:t>
      </w:r>
    </w:p>
    <w:p>
      <w:pPr>
        <w:pStyle w:val="Heading2"/>
        <w:jc w:val="left"/>
      </w:pPr>
      <w:r>
        <w:rPr>
          <w:color w:val="1F497D"/>
        </w:rPr>
        <w:t>4.4  Encoding Strategy</w:t>
      </w:r>
    </w:p>
    <w:p>
      <w:pPr>
        <w:jc w:val="both"/>
      </w:pPr>
      <w:r>
        <w:rPr>
          <w:b w:val="0"/>
          <w:i w:val="0"/>
          <w:sz w:val="22"/>
        </w:rPr>
        <w:t>OHE consistently outperformed label encoding across most models. Label encoding imposes arbitrary ordinal relationships on nominal categorical features (e.g., job titles), which can mislead distance-based models (k-NN) and linear models (LR, SVM). Tree-based methods (DT, RF) are more robust to encoding choice because splits are evaluated independently.</w:t>
      </w:r>
    </w:p>
    <w:p>
      <w:pPr>
        <w:pStyle w:val="Heading1"/>
        <w:jc w:val="left"/>
      </w:pPr>
      <w:r>
        <w:rPr>
          <w:color w:val="1F497D"/>
        </w:rPr>
        <w:t>5  Limitations and Future Work</w:t>
      </w:r>
    </w:p>
    <w:p>
      <w:pPr>
        <w:jc w:val="both"/>
      </w:pPr>
      <w:r>
        <w:rPr>
          <w:b w:val="0"/>
          <w:i w:val="0"/>
          <w:sz w:val="22"/>
        </w:rPr>
        <w:t>This study is bounded to traditional ML models and does not explore gradient boosting methods (XGBoost, LightGBM) or neural networks, which may yield higher performance. Hyperparameter tuning was not applied in the primary 36-experiment matrix; future work should incorporate GridSearchCV or Bayesian optimisation. SHAP-based explanations would provide more rigorous and model-agnostic feature attribution than the Gini importance used here. The dataset is geographically specific (Portugal, 2008–2013); generalisation to other banking markets requires additional validation.</w:t>
      </w:r>
    </w:p>
    <w:p>
      <w:pPr>
        <w:pStyle w:val="Heading1"/>
        <w:jc w:val="left"/>
      </w:pPr>
      <w:r>
        <w:rPr>
          <w:color w:val="1F497D"/>
        </w:rPr>
        <w:t>References</w:t>
      </w:r>
    </w:p>
    <w:p>
      <w:pPr>
        <w:pStyle w:val="ListBullet"/>
      </w:pPr>
      <w:r>
        <w:rPr>
          <w:b/>
        </w:rPr>
        <w:t xml:space="preserve">Moro, S., Cortez, P., &amp; Rita, P. (2014). </w:t>
      </w:r>
      <w:r>
        <w:rPr>
          <w:sz w:val="20"/>
        </w:rPr>
        <w:t>A data-driven approach to predict the success of bank telemarketing. Decision Support Systems, 62, 22–31.</w:t>
      </w:r>
    </w:p>
    <w:p>
      <w:pPr>
        <w:pStyle w:val="ListBullet"/>
      </w:pPr>
      <w:r>
        <w:rPr>
          <w:b/>
        </w:rPr>
        <w:t xml:space="preserve">Chawla, N. V., Bowyer, K. W., Hall, L. O., &amp; Kegelmeyer, W. P. (2002). </w:t>
      </w:r>
      <w:r>
        <w:rPr>
          <w:sz w:val="20"/>
        </w:rPr>
        <w:t>SMOTE: Synthetic minority over-sampling technique. Journal of Artificial Intelligence Research, 16, 321–357.</w:t>
      </w:r>
    </w:p>
    <w:p>
      <w:pPr>
        <w:pStyle w:val="ListBullet"/>
      </w:pPr>
      <w:r>
        <w:rPr>
          <w:b/>
        </w:rPr>
        <w:t xml:space="preserve">Pedregosa, F. et al. (2011). </w:t>
      </w:r>
      <w:r>
        <w:rPr>
          <w:sz w:val="20"/>
        </w:rPr>
        <w:t>Scikit-learn: Machine learning in Python. Journal of Machine Learning Research, 12, 2825–2830.</w:t>
      </w:r>
    </w:p>
    <w:p>
      <w:pPr>
        <w:pStyle w:val="ListBullet"/>
      </w:pPr>
      <w:r>
        <w:rPr>
          <w:b/>
        </w:rPr>
        <w:t xml:space="preserve">Breiman, L. (2001). </w:t>
      </w:r>
      <w:r>
        <w:rPr>
          <w:sz w:val="20"/>
        </w:rPr>
        <w:t>Random forests. Machine Learning, 45(1), 5–32.</w:t>
      </w:r>
    </w:p>
    <w:p>
      <w:pPr>
        <w:pStyle w:val="ListBullet"/>
      </w:pPr>
      <w:r>
        <w:rPr>
          <w:b/>
        </w:rPr>
        <w:t xml:space="preserve">Yashada Nikam (2023). </w:t>
      </w:r>
      <w:r>
        <w:rPr>
          <w:sz w:val="20"/>
        </w:rPr>
        <w:t>UCI Bank Marketing Analysis [GitHub repository]. https://github.com/yashada-nikam/UCI-Bank-Marketing-Analysis</w:t>
      </w:r>
    </w:p>
    <w:p>
      <w:pPr>
        <w:pStyle w:val="ListBullet"/>
      </w:pPr>
      <w:r>
        <w:rPr>
          <w:b/>
        </w:rPr>
        <w:t xml:space="preserve">Kataev, A. (2023). </w:t>
      </w:r>
      <w:r>
        <w:rPr>
          <w:sz w:val="20"/>
        </w:rPr>
        <w:t>UCI Bank Marketing Dataset. Part 1. Exploratory Data Analysis. Medium. https://alexkataev.medium.com/uci-bank-marketing-dataset-part-1-...</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