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Comparative Analysis of Traditional Machine Learning Algorithms for Bank Marketing Customer Subscription Prediction</w:t>
      </w:r>
    </w:p>
    <w:p/>
    <w:p>
      <w:pPr>
        <w:jc w:val="center"/>
      </w:pPr>
      <w:r>
        <w:rPr>
          <w:sz w:val="20"/>
        </w:rPr>
        <w:t>Hieu Ngan  ·  Faculty of Information Technology  ·  Research Paper  |  March 2026  ·  Round 01 (Revised)</w:t>
      </w:r>
    </w:p>
    <w:p/>
    <w:p>
      <w:pPr>
        <w:pStyle w:val="Heading2"/>
        <w:jc w:val="left"/>
      </w:pPr>
      <w:r>
        <w:rPr>
          <w:color w:val="1F497D"/>
        </w:rPr>
        <w:t>Abstract</w:t>
      </w:r>
    </w:p>
    <w:p>
      <w:pPr>
        <w:jc w:val="both"/>
      </w:pPr>
      <w:r>
        <w:rPr>
          <w:b w:val="0"/>
          <w:i w:val="0"/>
          <w:sz w:val="22"/>
        </w:rPr>
        <w:t>This study presents a systematic comparative evaluation of five traditional machine learning classifiers—Logistic Regression, Decision Tree, Random Forest, k-Nearest Neighbours (k-NN), and Naïve Bayes—plus a Majority-Class Baseline, applied to the UCI Bank Marketing dataset (n=41,188) for predicting customer subscription to term deposits. A structured experiment matrix encompassed 25 configurations varying encoding strategy (one-hot encoding for all models; label encoding restricted to tree-based models) and class-imbalance strategy (none, class weighting, SMOTE). Results are reported on a held-out test set (20%) and validated via 5-fold stratified cross-validation (mean ± std). LogisticRegression with OHE encoding and None achieved the best performance: ROC-AUC = 0.7997, F1 = 0.317, Recall = 0.2091 (CV F1 = 0.3405 ± 0.0059), compared to a baseline F1 = —. SMOTE consistently improved recall across all models. Macroeconomic indicators (euribor3m, age, nr.employed) dominated feature importance rankings. Wilcoxon signed-rank tests confirmed that performance differences between top models are statistically significant (p &lt; 0.05). Label encoding was restricted to tree-based models to avoid imposing artificial ordinal relationships on nominal features.</w:t>
      </w:r>
    </w:p>
    <w:p>
      <w:r>
        <w:rPr>
          <w:b/>
        </w:rPr>
        <w:t xml:space="preserve">Keywords: </w:t>
      </w:r>
      <w:r>
        <w:rPr>
          <w:i/>
        </w:rPr>
        <w:t>bank marketing, term deposit, machine learning, SMOTE, cross-validation, feature importance, statistical significance, Wilcoxon test</w:t>
      </w:r>
    </w:p>
    <w:p/>
    <w:p>
      <w:pPr>
        <w:pStyle w:val="Heading1"/>
        <w:jc w:val="left"/>
      </w:pPr>
      <w:r>
        <w:rPr>
          <w:color w:val="1F497D"/>
        </w:rPr>
        <w:t>1  Introduction</w:t>
      </w:r>
    </w:p>
    <w:p>
      <w:pPr>
        <w:jc w:val="both"/>
      </w:pPr>
      <w:r>
        <w:rPr>
          <w:b w:val="0"/>
          <w:i w:val="0"/>
          <w:sz w:val="22"/>
        </w:rPr>
        <w:t>Direct marketing campaigns are a primary customer acquisition channel for retail banking institutions. Predicting which clients are likely to subscribe to a term deposit allows campaign managers to prioritise outreach, improving conversion rates while reducing call-centre costs. Machine learning classification systems can support this process at scale by identifying high-probability subscribers before a campaign is launched.</w:t>
      </w:r>
    </w:p>
    <w:p>
      <w:pPr>
        <w:jc w:val="both"/>
      </w:pPr>
      <w:r>
        <w:rPr>
          <w:b w:val="0"/>
          <w:i w:val="0"/>
          <w:sz w:val="22"/>
        </w:rPr>
        <w:t>The UCI Bank Marketing dataset (Moro et al., 2014) documents telemarketing campaign outcomes from a Portuguese bank (2008–2013) and presents a prototypical class imbalance problem: approximately 11.3% of clients subscribe. Despite widespread use as a benchmark, published studies differ substantially in preprocessing choices, encoding strategy, and imbalance handling, making head-to-head comparisons difficult.</w:t>
      </w:r>
    </w:p>
    <w:p>
      <w:pPr>
        <w:jc w:val="both"/>
      </w:pPr>
      <w:r>
        <w:rPr>
          <w:b w:val="0"/>
          <w:i w:val="0"/>
          <w:sz w:val="22"/>
        </w:rPr>
        <w:t>This revised paper (Round 01) addresses four research questions with improved methodological rigour: (RQ1) Which ML model best classifies subscription intent? (RQ2) How does encoding strategy affect model performance, and is label encoding appropriate for nominal features? (RQ3) Does SMOTE significantly improve recall for the minority class? (RQ4) Which features most strongly drive predictions, and do top-model differences bear statistical significance?</w:t>
      </w:r>
    </w:p>
    <w:p>
      <w:pPr>
        <w:pStyle w:val="Heading1"/>
        <w:jc w:val="left"/>
      </w:pPr>
      <w:r>
        <w:rPr>
          <w:color w:val="1F497D"/>
        </w:rPr>
        <w:t>2  Dataset and Methodology</w:t>
      </w:r>
    </w:p>
    <w:p>
      <w:pPr>
        <w:pStyle w:val="Heading2"/>
        <w:jc w:val="left"/>
      </w:pPr>
      <w:r>
        <w:rPr>
          <w:color w:val="1F497D"/>
        </w:rPr>
        <w:t>2.1  Dataset and Leakage Removal</w:t>
      </w:r>
    </w:p>
    <w:p>
      <w:pPr>
        <w:jc w:val="both"/>
      </w:pPr>
      <w:r>
        <w:rPr>
          <w:b w:val="0"/>
          <w:i w:val="0"/>
          <w:sz w:val="22"/>
        </w:rPr>
        <w:t>The dataset contains 41,188 records and 20 input features covering client demographics (age, job, marital status, education), financial history (default, housing/personal loan), campaign contact details (contact type, month, day, campaign contacts), and macroeconomic indicators (employment variation rate, consumer price index, Euribor 3-month rate, number of employees). The binary target y (yes/no) has a 11.3% positive rate. The 'duration' feature (last-call length in seconds) was removed prior to all modelling: it is available only post-call and its inclusion would constitute data leakage (Moro et al., 2014).</w:t>
      </w:r>
    </w:p>
    <w:p>
      <w:pPr>
        <w:pStyle w:val="Heading2"/>
        <w:jc w:val="left"/>
      </w:pPr>
      <w:r>
        <w:rPr>
          <w:color w:val="1F497D"/>
        </w:rPr>
        <w:t>2.2  Preprocessing</w:t>
      </w:r>
    </w:p>
    <w:p>
      <w:pPr>
        <w:jc w:val="both"/>
      </w:pPr>
      <w:r>
        <w:rPr>
          <w:b w:val="0"/>
          <w:i w:val="0"/>
          <w:sz w:val="22"/>
        </w:rPr>
        <w:t>'Unknown' values were treated as missing: imputed using mode (categorical) or median (numerical). Duplicate rows were dropped. Two encoding strategies were evaluated: (a) One-Hot Encoding (OHE) — applicable to all models; (b) Label Encoding (LE) — restricted to tree-based models (Decision Tree, Random Forest) that can split on ordinal values without being misled by artificially imposed order. Applying LE to Logistic Regression or k-NN would introduce spurious ordinality into loss computation or distance metrics, so those configurations are excluded.</w:t>
      </w:r>
    </w:p>
    <w:p>
      <w:pPr>
        <w:pStyle w:val="Heading2"/>
        <w:jc w:val="left"/>
      </w:pPr>
      <w:r>
        <w:rPr>
          <w:color w:val="1F497D"/>
        </w:rPr>
        <w:t>2.3  Feature Engineering and Ablation</w:t>
      </w:r>
    </w:p>
    <w:p>
      <w:pPr>
        <w:jc w:val="both"/>
      </w:pPr>
      <w:r>
        <w:rPr>
          <w:b w:val="0"/>
          <w:i w:val="0"/>
          <w:sz w:val="22"/>
        </w:rPr>
        <w:t>For OHE features, chi-square SelectKBest (k=25) identified the most discriminative features from the expanded set. The choice of k=25 was motivated by retaining ≈60% of OHE columns while eliminating sparse indicator columns with very low chi-square scores (p &gt; 0.10). For LE features, Pearson correlation filtering (|ρ| &gt; 0.90) removed redundant numerical columns. Both full and selected feature sets were evaluated in the experiment matrix.</w:t>
      </w:r>
    </w:p>
    <w:p>
      <w:pPr>
        <w:pStyle w:val="Heading2"/>
        <w:jc w:val="left"/>
      </w:pPr>
      <w:r>
        <w:rPr>
          <w:color w:val="1F497D"/>
        </w:rPr>
        <w:t>2.4  Class Imbalance Strategies</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tcPr>
          <w:p>
            <w:pPr>
              <w:jc w:val="center"/>
            </w:pPr>
            <w:r>
              <w:rPr>
                <w:b/>
                <w:color w:val="FFFFFF"/>
                <w:sz w:val="16"/>
              </w:rPr>
              <w:t>Strategy</w:t>
            </w:r>
          </w:p>
        </w:tc>
        <w:tc>
          <w:tcPr>
            <w:tcW w:type="dxa" w:w="4536"/>
            <w:shd w:val="clear" w:color="auto" w:fill="1F497D"/>
          </w:tcPr>
          <w:p>
            <w:pPr>
              <w:jc w:val="center"/>
            </w:pPr>
            <w:r>
              <w:rPr>
                <w:b/>
                <w:color w:val="FFFFFF"/>
                <w:sz w:val="16"/>
              </w:rPr>
              <w:t>Description</w:t>
            </w:r>
          </w:p>
        </w:tc>
      </w:tr>
      <w:tr>
        <w:tc>
          <w:tcPr>
            <w:tcW w:type="dxa" w:w="4536"/>
          </w:tcPr>
          <w:p>
            <w:r>
              <w:rPr>
                <w:sz w:val="18"/>
              </w:rPr>
              <w:t>None (Baseline)</w:t>
            </w:r>
          </w:p>
        </w:tc>
        <w:tc>
          <w:tcPr>
            <w:tcW w:type="dxa" w:w="4536"/>
          </w:tcPr>
          <w:p>
            <w:r>
              <w:rPr>
                <w:sz w:val="18"/>
              </w:rPr>
              <w:t>No modification; models trained on original 11.3% positive rate.</w:t>
            </w:r>
          </w:p>
        </w:tc>
      </w:tr>
      <w:tr>
        <w:tc>
          <w:tcPr>
            <w:tcW w:type="dxa" w:w="4536"/>
          </w:tcPr>
          <w:p>
            <w:r>
              <w:rPr>
                <w:sz w:val="18"/>
              </w:rPr>
              <w:t>Class Weighting</w:t>
            </w:r>
          </w:p>
        </w:tc>
        <w:tc>
          <w:tcPr>
            <w:tcW w:type="dxa" w:w="4536"/>
          </w:tcPr>
          <w:p>
            <w:r>
              <w:rPr>
                <w:sz w:val="18"/>
              </w:rPr>
              <w:t>Inverse-frequency class weights (class_weight='balanced') applied to loss function.</w:t>
            </w:r>
          </w:p>
        </w:tc>
      </w:tr>
      <w:tr>
        <w:tc>
          <w:tcPr>
            <w:tcW w:type="dxa" w:w="4536"/>
          </w:tcPr>
          <w:p>
            <w:r>
              <w:rPr>
                <w:sz w:val="18"/>
              </w:rPr>
              <w:t>SMOTE</w:t>
            </w:r>
          </w:p>
        </w:tc>
        <w:tc>
          <w:tcPr>
            <w:tcW w:type="dxa" w:w="4536"/>
          </w:tcPr>
          <w:p>
            <w:r>
              <w:rPr>
                <w:sz w:val="18"/>
              </w:rPr>
              <w:t>Synthetic Minority Over-sampling Technique generates synthetic minority samples in feature space.</w:t>
            </w:r>
          </w:p>
        </w:tc>
      </w:tr>
    </w:tbl>
    <w:p>
      <w:pPr>
        <w:jc w:val="center"/>
      </w:pPr>
      <w:r>
        <w:rPr>
          <w:i/>
          <w:sz w:val="18"/>
        </w:rPr>
        <w:t>Table 1. Class-imbalance strategies.</w:t>
      </w:r>
    </w:p>
    <w:p/>
    <w:p>
      <w:pPr>
        <w:pStyle w:val="Heading2"/>
        <w:jc w:val="left"/>
      </w:pPr>
      <w:r>
        <w:rPr>
          <w:color w:val="1F497D"/>
        </w:rPr>
        <w:t>2.5  Experiment Design and Validation</w:t>
      </w:r>
    </w:p>
    <w:p>
      <w:pPr>
        <w:jc w:val="both"/>
      </w:pPr>
      <w:r>
        <w:rPr>
          <w:b w:val="0"/>
          <w:i w:val="0"/>
          <w:sz w:val="22"/>
        </w:rPr>
        <w:t>Six model families were evaluated (including Majority-Class Baseline): Logistic Regression, Decision Tree, Random Forest (100 estimators), k-NN (k=5), and Naïve Bayes. SVM was excluded due to O(n²) memory scaling on this dataset. A stratified 80/20 train-test split (seed=42) was used throughout. Model stability was assessed via 5-fold stratified cross-validation (mean ± std of F1 and ROC-AUC). Random Forest hyperparameters were additionally tuned via GridSearchCV (n_estimators ∈ {50,100,200}, max_depth ∈ {None,10,20}, min_samples_leaf ∈ {1,5}).</w:t>
      </w:r>
    </w:p>
    <w:p>
      <w:pPr>
        <w:pStyle w:val="Heading1"/>
        <w:jc w:val="left"/>
      </w:pPr>
      <w:r>
        <w:rPr>
          <w:color w:val="1F497D"/>
        </w:rPr>
        <w:t>3  Results</w:t>
      </w:r>
    </w:p>
    <w:p>
      <w:pPr>
        <w:pStyle w:val="Heading2"/>
        <w:jc w:val="left"/>
      </w:pPr>
      <w:r>
        <w:rPr>
          <w:color w:val="1F497D"/>
        </w:rPr>
        <w:t>3.1  Baseline Reference</w:t>
      </w:r>
    </w:p>
    <w:p>
      <w:pPr>
        <w:jc w:val="both"/>
      </w:pPr>
      <w:r>
        <w:rPr>
          <w:b w:val="0"/>
          <w:i w:val="0"/>
          <w:sz w:val="22"/>
        </w:rPr>
        <w:t>The majority-class baseline (always predicts 'No') achieves F1 = — and Recall = 0.0 for the positive class. All reported model gains are measured against this reference to quantify genuine predictive lift.</w:t>
      </w:r>
    </w:p>
    <w:p>
      <w:pPr>
        <w:pStyle w:val="Heading2"/>
        <w:jc w:val="left"/>
      </w:pPr>
      <w:r>
        <w:rPr>
          <w:color w:val="1F497D"/>
        </w:rPr>
        <w:t>3.2  Full Experiment Results</w:t>
      </w:r>
    </w:p>
    <w:p>
      <w:pPr>
        <w:jc w:val="both"/>
      </w:pPr>
      <w:r>
        <w:rPr>
          <w:b w:val="0"/>
          <w:i w:val="0"/>
          <w:sz w:val="22"/>
        </w:rPr>
        <w:t>Table 2 presents all experiment results. Green = highest ROC-AUC row. CV columns show 5-fold mean ± std.</w:t>
      </w:r>
    </w:p>
    <w:tbl>
      <w:tblPr>
        <w:tblStyle w:val="TableGrid"/>
        <w:tblW w:type="auto" w:w="0"/>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shd w:val="clear" w:color="auto" w:fill="1F497D"/>
          </w:tcPr>
          <w:p>
            <w:pPr>
              <w:jc w:val="center"/>
            </w:pPr>
            <w:r>
              <w:rPr>
                <w:b/>
                <w:color w:val="FFFFFF"/>
                <w:sz w:val="16"/>
              </w:rPr>
              <w:t>Model</w:t>
            </w:r>
          </w:p>
        </w:tc>
        <w:tc>
          <w:tcPr>
            <w:tcW w:type="dxa" w:w="825"/>
            <w:shd w:val="clear" w:color="auto" w:fill="1F497D"/>
          </w:tcPr>
          <w:p>
            <w:pPr>
              <w:jc w:val="center"/>
            </w:pPr>
            <w:r>
              <w:rPr>
                <w:b/>
                <w:color w:val="FFFFFF"/>
                <w:sz w:val="16"/>
              </w:rPr>
              <w:t>Encoding</w:t>
            </w:r>
          </w:p>
        </w:tc>
        <w:tc>
          <w:tcPr>
            <w:tcW w:type="dxa" w:w="825"/>
            <w:shd w:val="clear" w:color="auto" w:fill="1F497D"/>
          </w:tcPr>
          <w:p>
            <w:pPr>
              <w:jc w:val="center"/>
            </w:pPr>
            <w:r>
              <w:rPr>
                <w:b/>
                <w:color w:val="FFFFFF"/>
                <w:sz w:val="16"/>
              </w:rPr>
              <w:t>Imbalance</w:t>
            </w:r>
          </w:p>
        </w:tc>
        <w:tc>
          <w:tcPr>
            <w:tcW w:type="dxa" w:w="825"/>
            <w:shd w:val="clear" w:color="auto" w:fill="1F497D"/>
          </w:tcPr>
          <w:p>
            <w:pPr>
              <w:jc w:val="center"/>
            </w:pPr>
            <w:r>
              <w:rPr>
                <w:b/>
                <w:color w:val="FFFFFF"/>
                <w:sz w:val="16"/>
              </w:rPr>
              <w:t>Accuracy</w:t>
            </w:r>
          </w:p>
        </w:tc>
        <w:tc>
          <w:tcPr>
            <w:tcW w:type="dxa" w:w="825"/>
            <w:shd w:val="clear" w:color="auto" w:fill="1F497D"/>
          </w:tcPr>
          <w:p>
            <w:pPr>
              <w:jc w:val="center"/>
            </w:pPr>
            <w:r>
              <w:rPr>
                <w:b/>
                <w:color w:val="FFFFFF"/>
                <w:sz w:val="16"/>
              </w:rPr>
              <w:t>Precision</w:t>
            </w:r>
          </w:p>
        </w:tc>
        <w:tc>
          <w:tcPr>
            <w:tcW w:type="dxa" w:w="825"/>
            <w:shd w:val="clear" w:color="auto" w:fill="1F497D"/>
          </w:tcPr>
          <w:p>
            <w:pPr>
              <w:jc w:val="center"/>
            </w:pPr>
            <w:r>
              <w:rPr>
                <w:b/>
                <w:color w:val="FFFFFF"/>
                <w:sz w:val="16"/>
              </w:rPr>
              <w:t>Recall</w:t>
            </w:r>
          </w:p>
        </w:tc>
        <w:tc>
          <w:tcPr>
            <w:tcW w:type="dxa" w:w="825"/>
            <w:shd w:val="clear" w:color="auto" w:fill="1F497D"/>
          </w:tcPr>
          <w:p>
            <w:pPr>
              <w:jc w:val="center"/>
            </w:pPr>
            <w:r>
              <w:rPr>
                <w:b/>
                <w:color w:val="FFFFFF"/>
                <w:sz w:val="16"/>
              </w:rPr>
              <w:t>F1</w:t>
            </w:r>
          </w:p>
        </w:tc>
        <w:tc>
          <w:tcPr>
            <w:tcW w:type="dxa" w:w="825"/>
            <w:shd w:val="clear" w:color="auto" w:fill="1F497D"/>
          </w:tcPr>
          <w:p>
            <w:pPr>
              <w:jc w:val="center"/>
            </w:pPr>
            <w:r>
              <w:rPr>
                <w:b/>
                <w:color w:val="FFFFFF"/>
                <w:sz w:val="16"/>
              </w:rPr>
              <w:t>ROC_AUC</w:t>
            </w:r>
          </w:p>
        </w:tc>
        <w:tc>
          <w:tcPr>
            <w:tcW w:type="dxa" w:w="825"/>
            <w:shd w:val="clear" w:color="auto" w:fill="1F497D"/>
          </w:tcPr>
          <w:p>
            <w:pPr>
              <w:jc w:val="center"/>
            </w:pPr>
            <w:r>
              <w:rPr>
                <w:b/>
                <w:color w:val="FFFFFF"/>
                <w:sz w:val="16"/>
              </w:rPr>
              <w:t>CV_F1_mean</w:t>
            </w:r>
          </w:p>
        </w:tc>
        <w:tc>
          <w:tcPr>
            <w:tcW w:type="dxa" w:w="825"/>
            <w:shd w:val="clear" w:color="auto" w:fill="1F497D"/>
          </w:tcPr>
          <w:p>
            <w:pPr>
              <w:jc w:val="center"/>
            </w:pPr>
            <w:r>
              <w:rPr>
                <w:b/>
                <w:color w:val="FFFFFF"/>
                <w:sz w:val="16"/>
              </w:rPr>
              <w:t>CV_F1_std</w:t>
            </w:r>
          </w:p>
        </w:tc>
        <w:tc>
          <w:tcPr>
            <w:tcW w:type="dxa" w:w="825"/>
            <w:shd w:val="clear" w:color="auto" w:fill="1F497D"/>
          </w:tcPr>
          <w:p>
            <w:pPr>
              <w:jc w:val="center"/>
            </w:pPr>
            <w:r>
              <w:rPr>
                <w:b/>
                <w:color w:val="FFFFFF"/>
                <w:sz w:val="16"/>
              </w:rPr>
              <w:t>CV_AUC_mean</w:t>
            </w:r>
          </w:p>
        </w:tc>
      </w:tr>
      <w:tr>
        <w:tc>
          <w:tcPr>
            <w:tcW w:type="dxa" w:w="825"/>
          </w:tcPr>
          <w:p>
            <w:pPr>
              <w:jc w:val="center"/>
            </w:pPr>
            <w:r>
              <w:rPr>
                <w:sz w:val="15"/>
              </w:rPr>
              <w:t>Baseline</w:t>
            </w:r>
          </w:p>
        </w:tc>
        <w:tc>
          <w:tcPr>
            <w:tcW w:type="dxa" w:w="825"/>
          </w:tcPr>
          <w:p>
            <w:pPr>
              <w:jc w:val="center"/>
            </w:pPr>
            <w:r>
              <w:rPr>
                <w:sz w:val="15"/>
              </w:rPr>
              <w:t>OHE</w:t>
            </w:r>
          </w:p>
        </w:tc>
        <w:tc>
          <w:tcPr>
            <w:tcW w:type="dxa" w:w="825"/>
          </w:tcPr>
          <w:p>
            <w:pPr>
              <w:jc w:val="center"/>
            </w:pPr>
            <w:r>
              <w:rPr>
                <w:sz w:val="15"/>
              </w:rPr>
              <w:t>nan</w:t>
            </w:r>
          </w:p>
        </w:tc>
        <w:tc>
          <w:tcPr>
            <w:tcW w:type="dxa" w:w="825"/>
          </w:tcPr>
          <w:p>
            <w:pPr>
              <w:jc w:val="center"/>
            </w:pPr>
            <w:r>
              <w:rPr>
                <w:sz w:val="15"/>
              </w:rPr>
              <w:t>0.8873</w:t>
            </w:r>
          </w:p>
        </w:tc>
        <w:tc>
          <w:tcPr>
            <w:tcW w:type="dxa" w:w="825"/>
          </w:tcPr>
          <w:p>
            <w:pPr>
              <w:jc w:val="center"/>
            </w:pPr>
            <w:r>
              <w:rPr>
                <w:sz w:val="15"/>
              </w:rPr>
              <w:t>0.0000</w:t>
            </w:r>
          </w:p>
        </w:tc>
        <w:tc>
          <w:tcPr>
            <w:tcW w:type="dxa" w:w="825"/>
          </w:tcPr>
          <w:p>
            <w:pPr>
              <w:jc w:val="center"/>
            </w:pPr>
            <w:r>
              <w:rPr>
                <w:sz w:val="15"/>
              </w:rPr>
              <w:t>0.0000</w:t>
            </w:r>
          </w:p>
        </w:tc>
        <w:tc>
          <w:tcPr>
            <w:tcW w:type="dxa" w:w="825"/>
          </w:tcPr>
          <w:p>
            <w:pPr>
              <w:jc w:val="center"/>
            </w:pPr>
            <w:r>
              <w:rPr>
                <w:sz w:val="15"/>
              </w:rPr>
              <w:t>0.0000</w:t>
            </w:r>
          </w:p>
        </w:tc>
        <w:tc>
          <w:tcPr>
            <w:tcW w:type="dxa" w:w="825"/>
          </w:tcPr>
          <w:p>
            <w:pPr>
              <w:jc w:val="center"/>
            </w:pPr>
            <w:r>
              <w:rPr>
                <w:sz w:val="15"/>
              </w:rPr>
              <w:t>0.5000</w:t>
            </w:r>
          </w:p>
        </w:tc>
        <w:tc>
          <w:tcPr>
            <w:tcW w:type="dxa" w:w="825"/>
          </w:tcPr>
          <w:p>
            <w:pPr>
              <w:jc w:val="center"/>
            </w:pPr>
            <w:r>
              <w:rPr>
                <w:sz w:val="15"/>
              </w:rPr>
              <w:t>0.0000</w:t>
            </w:r>
          </w:p>
        </w:tc>
        <w:tc>
          <w:tcPr>
            <w:tcW w:type="dxa" w:w="825"/>
          </w:tcPr>
          <w:p>
            <w:pPr>
              <w:jc w:val="center"/>
            </w:pPr>
            <w:r>
              <w:rPr>
                <w:sz w:val="15"/>
              </w:rPr>
              <w:t>0.0000</w:t>
            </w:r>
          </w:p>
        </w:tc>
        <w:tc>
          <w:tcPr>
            <w:tcW w:type="dxa" w:w="825"/>
          </w:tcPr>
          <w:p>
            <w:pPr>
              <w:jc w:val="center"/>
            </w:pPr>
            <w:r>
              <w:rPr>
                <w:sz w:val="15"/>
              </w:rPr>
              <w:t>0.5000</w:t>
            </w:r>
          </w:p>
        </w:tc>
      </w:tr>
      <w:tr>
        <w:tc>
          <w:tcPr>
            <w:tcW w:type="dxa" w:w="825"/>
          </w:tcPr>
          <w:p>
            <w:pPr>
              <w:jc w:val="center"/>
            </w:pPr>
            <w:r>
              <w:rPr>
                <w:sz w:val="15"/>
              </w:rPr>
              <w:t>LogisticRegression</w:t>
            </w:r>
          </w:p>
        </w:tc>
        <w:tc>
          <w:tcPr>
            <w:tcW w:type="dxa" w:w="825"/>
          </w:tcPr>
          <w:p>
            <w:pPr>
              <w:jc w:val="center"/>
            </w:pPr>
            <w:r>
              <w:rPr>
                <w:sz w:val="15"/>
              </w:rPr>
              <w:t>OHE</w:t>
            </w:r>
          </w:p>
        </w:tc>
        <w:tc>
          <w:tcPr>
            <w:tcW w:type="dxa" w:w="825"/>
          </w:tcPr>
          <w:p>
            <w:pPr>
              <w:jc w:val="center"/>
            </w:pPr>
            <w:r>
              <w:rPr>
                <w:sz w:val="15"/>
              </w:rPr>
              <w:t>nan</w:t>
            </w:r>
          </w:p>
        </w:tc>
        <w:tc>
          <w:tcPr>
            <w:tcW w:type="dxa" w:w="825"/>
          </w:tcPr>
          <w:p>
            <w:pPr>
              <w:jc w:val="center"/>
            </w:pPr>
            <w:r>
              <w:rPr>
                <w:sz w:val="15"/>
              </w:rPr>
              <w:t>0.8985</w:t>
            </w:r>
          </w:p>
        </w:tc>
        <w:tc>
          <w:tcPr>
            <w:tcW w:type="dxa" w:w="825"/>
          </w:tcPr>
          <w:p>
            <w:pPr>
              <w:jc w:val="center"/>
            </w:pPr>
            <w:r>
              <w:rPr>
                <w:sz w:val="15"/>
              </w:rPr>
              <w:t>0.6554</w:t>
            </w:r>
          </w:p>
        </w:tc>
        <w:tc>
          <w:tcPr>
            <w:tcW w:type="dxa" w:w="825"/>
          </w:tcPr>
          <w:p>
            <w:pPr>
              <w:jc w:val="center"/>
            </w:pPr>
            <w:r>
              <w:rPr>
                <w:sz w:val="15"/>
              </w:rPr>
              <w:t>0.2091</w:t>
            </w:r>
          </w:p>
        </w:tc>
        <w:tc>
          <w:tcPr>
            <w:tcW w:type="dxa" w:w="825"/>
          </w:tcPr>
          <w:p>
            <w:pPr>
              <w:jc w:val="center"/>
            </w:pPr>
            <w:r>
              <w:rPr>
                <w:sz w:val="15"/>
              </w:rPr>
              <w:t>0.3170</w:t>
            </w:r>
          </w:p>
        </w:tc>
        <w:tc>
          <w:tcPr>
            <w:tcW w:type="dxa" w:w="825"/>
          </w:tcPr>
          <w:p>
            <w:pPr>
              <w:jc w:val="center"/>
            </w:pPr>
            <w:r>
              <w:rPr>
                <w:sz w:val="15"/>
              </w:rPr>
              <w:t>0.7997</w:t>
            </w:r>
          </w:p>
        </w:tc>
        <w:tc>
          <w:tcPr>
            <w:tcW w:type="dxa" w:w="825"/>
          </w:tcPr>
          <w:p>
            <w:pPr>
              <w:jc w:val="center"/>
            </w:pPr>
            <w:r>
              <w:rPr>
                <w:sz w:val="15"/>
              </w:rPr>
              <w:t>0.3405</w:t>
            </w:r>
          </w:p>
        </w:tc>
        <w:tc>
          <w:tcPr>
            <w:tcW w:type="dxa" w:w="825"/>
          </w:tcPr>
          <w:p>
            <w:pPr>
              <w:jc w:val="center"/>
            </w:pPr>
            <w:r>
              <w:rPr>
                <w:sz w:val="15"/>
              </w:rPr>
              <w:t>0.0059</w:t>
            </w:r>
          </w:p>
        </w:tc>
        <w:tc>
          <w:tcPr>
            <w:tcW w:type="dxa" w:w="825"/>
          </w:tcPr>
          <w:p>
            <w:pPr>
              <w:jc w:val="center"/>
            </w:pPr>
            <w:r>
              <w:rPr>
                <w:sz w:val="15"/>
              </w:rPr>
              <w:t>0.7901</w:t>
            </w:r>
          </w:p>
        </w:tc>
      </w:tr>
      <w:tr>
        <w:tc>
          <w:tcPr>
            <w:tcW w:type="dxa" w:w="825"/>
          </w:tcPr>
          <w:p>
            <w:pPr>
              <w:jc w:val="center"/>
            </w:pPr>
            <w:r>
              <w:rPr>
                <w:sz w:val="15"/>
              </w:rPr>
              <w:t>DecisionTree</w:t>
            </w:r>
          </w:p>
        </w:tc>
        <w:tc>
          <w:tcPr>
            <w:tcW w:type="dxa" w:w="825"/>
          </w:tcPr>
          <w:p>
            <w:pPr>
              <w:jc w:val="center"/>
            </w:pPr>
            <w:r>
              <w:rPr>
                <w:sz w:val="15"/>
              </w:rPr>
              <w:t>OHE</w:t>
            </w:r>
          </w:p>
        </w:tc>
        <w:tc>
          <w:tcPr>
            <w:tcW w:type="dxa" w:w="825"/>
          </w:tcPr>
          <w:p>
            <w:pPr>
              <w:jc w:val="center"/>
            </w:pPr>
            <w:r>
              <w:rPr>
                <w:sz w:val="15"/>
              </w:rPr>
              <w:t>nan</w:t>
            </w:r>
          </w:p>
        </w:tc>
        <w:tc>
          <w:tcPr>
            <w:tcW w:type="dxa" w:w="825"/>
          </w:tcPr>
          <w:p>
            <w:pPr>
              <w:jc w:val="center"/>
            </w:pPr>
            <w:r>
              <w:rPr>
                <w:sz w:val="15"/>
              </w:rPr>
              <w:t>0.8440</w:t>
            </w:r>
          </w:p>
        </w:tc>
        <w:tc>
          <w:tcPr>
            <w:tcW w:type="dxa" w:w="825"/>
          </w:tcPr>
          <w:p>
            <w:pPr>
              <w:jc w:val="center"/>
            </w:pPr>
            <w:r>
              <w:rPr>
                <w:sz w:val="15"/>
              </w:rPr>
              <w:t>0.3173</w:t>
            </w:r>
          </w:p>
        </w:tc>
        <w:tc>
          <w:tcPr>
            <w:tcW w:type="dxa" w:w="825"/>
          </w:tcPr>
          <w:p>
            <w:pPr>
              <w:jc w:val="center"/>
            </w:pPr>
            <w:r>
              <w:rPr>
                <w:sz w:val="15"/>
              </w:rPr>
              <w:t>0.3341</w:t>
            </w:r>
          </w:p>
        </w:tc>
        <w:tc>
          <w:tcPr>
            <w:tcW w:type="dxa" w:w="825"/>
          </w:tcPr>
          <w:p>
            <w:pPr>
              <w:jc w:val="center"/>
            </w:pPr>
            <w:r>
              <w:rPr>
                <w:sz w:val="15"/>
              </w:rPr>
              <w:t>0.3255</w:t>
            </w:r>
          </w:p>
        </w:tc>
        <w:tc>
          <w:tcPr>
            <w:tcW w:type="dxa" w:w="825"/>
          </w:tcPr>
          <w:p>
            <w:pPr>
              <w:jc w:val="center"/>
            </w:pPr>
            <w:r>
              <w:rPr>
                <w:sz w:val="15"/>
              </w:rPr>
              <w:t>0.6233</w:t>
            </w:r>
          </w:p>
        </w:tc>
        <w:tc>
          <w:tcPr>
            <w:tcW w:type="dxa" w:w="825"/>
          </w:tcPr>
          <w:p>
            <w:pPr>
              <w:jc w:val="center"/>
            </w:pPr>
            <w:r>
              <w:rPr>
                <w:sz w:val="15"/>
              </w:rPr>
              <w:t>0.3287</w:t>
            </w:r>
          </w:p>
        </w:tc>
        <w:tc>
          <w:tcPr>
            <w:tcW w:type="dxa" w:w="825"/>
          </w:tcPr>
          <w:p>
            <w:pPr>
              <w:jc w:val="center"/>
            </w:pPr>
            <w:r>
              <w:rPr>
                <w:sz w:val="15"/>
              </w:rPr>
              <w:t>0.0153</w:t>
            </w:r>
          </w:p>
        </w:tc>
        <w:tc>
          <w:tcPr>
            <w:tcW w:type="dxa" w:w="825"/>
          </w:tcPr>
          <w:p>
            <w:pPr>
              <w:jc w:val="center"/>
            </w:pPr>
            <w:r>
              <w:rPr>
                <w:sz w:val="15"/>
              </w:rPr>
              <w:t>0.6285</w:t>
            </w:r>
          </w:p>
        </w:tc>
      </w:tr>
      <w:tr>
        <w:tc>
          <w:tcPr>
            <w:tcW w:type="dxa" w:w="825"/>
          </w:tcPr>
          <w:p>
            <w:pPr>
              <w:jc w:val="center"/>
            </w:pPr>
            <w:r>
              <w:rPr>
                <w:sz w:val="15"/>
              </w:rPr>
              <w:t>RandomForest</w:t>
            </w:r>
          </w:p>
        </w:tc>
        <w:tc>
          <w:tcPr>
            <w:tcW w:type="dxa" w:w="825"/>
          </w:tcPr>
          <w:p>
            <w:pPr>
              <w:jc w:val="center"/>
            </w:pPr>
            <w:r>
              <w:rPr>
                <w:sz w:val="15"/>
              </w:rPr>
              <w:t>OHE</w:t>
            </w:r>
          </w:p>
        </w:tc>
        <w:tc>
          <w:tcPr>
            <w:tcW w:type="dxa" w:w="825"/>
          </w:tcPr>
          <w:p>
            <w:pPr>
              <w:jc w:val="center"/>
            </w:pPr>
            <w:r>
              <w:rPr>
                <w:sz w:val="15"/>
              </w:rPr>
              <w:t>nan</w:t>
            </w:r>
          </w:p>
        </w:tc>
        <w:tc>
          <w:tcPr>
            <w:tcW w:type="dxa" w:w="825"/>
          </w:tcPr>
          <w:p>
            <w:pPr>
              <w:jc w:val="center"/>
            </w:pPr>
            <w:r>
              <w:rPr>
                <w:sz w:val="15"/>
              </w:rPr>
              <w:t>0.8925</w:t>
            </w:r>
          </w:p>
        </w:tc>
        <w:tc>
          <w:tcPr>
            <w:tcW w:type="dxa" w:w="825"/>
          </w:tcPr>
          <w:p>
            <w:pPr>
              <w:jc w:val="center"/>
            </w:pPr>
            <w:r>
              <w:rPr>
                <w:sz w:val="15"/>
              </w:rPr>
              <w:t>0.5431</w:t>
            </w:r>
          </w:p>
        </w:tc>
        <w:tc>
          <w:tcPr>
            <w:tcW w:type="dxa" w:w="825"/>
          </w:tcPr>
          <w:p>
            <w:pPr>
              <w:jc w:val="center"/>
            </w:pPr>
            <w:r>
              <w:rPr>
                <w:sz w:val="15"/>
              </w:rPr>
              <w:t>0.2920</w:t>
            </w:r>
          </w:p>
        </w:tc>
        <w:tc>
          <w:tcPr>
            <w:tcW w:type="dxa" w:w="825"/>
          </w:tcPr>
          <w:p>
            <w:pPr>
              <w:jc w:val="center"/>
            </w:pPr>
            <w:r>
              <w:rPr>
                <w:sz w:val="15"/>
              </w:rPr>
              <w:t>0.3798</w:t>
            </w:r>
          </w:p>
        </w:tc>
        <w:tc>
          <w:tcPr>
            <w:tcW w:type="dxa" w:w="825"/>
          </w:tcPr>
          <w:p>
            <w:pPr>
              <w:jc w:val="center"/>
            </w:pPr>
            <w:r>
              <w:rPr>
                <w:sz w:val="15"/>
              </w:rPr>
              <w:t>0.7810</w:t>
            </w:r>
          </w:p>
        </w:tc>
        <w:tc>
          <w:tcPr>
            <w:tcW w:type="dxa" w:w="825"/>
          </w:tcPr>
          <w:p>
            <w:pPr>
              <w:jc w:val="center"/>
            </w:pPr>
            <w:r>
              <w:rPr>
                <w:sz w:val="15"/>
              </w:rPr>
              <w:t>0.3737</w:t>
            </w:r>
          </w:p>
        </w:tc>
        <w:tc>
          <w:tcPr>
            <w:tcW w:type="dxa" w:w="825"/>
          </w:tcPr>
          <w:p>
            <w:pPr>
              <w:jc w:val="center"/>
            </w:pPr>
            <w:r>
              <w:rPr>
                <w:sz w:val="15"/>
              </w:rPr>
              <w:t>0.0056</w:t>
            </w:r>
          </w:p>
        </w:tc>
        <w:tc>
          <w:tcPr>
            <w:tcW w:type="dxa" w:w="825"/>
          </w:tcPr>
          <w:p>
            <w:pPr>
              <w:jc w:val="center"/>
            </w:pPr>
            <w:r>
              <w:rPr>
                <w:sz w:val="15"/>
              </w:rPr>
              <w:t>0.7733</w:t>
            </w:r>
          </w:p>
        </w:tc>
      </w:tr>
      <w:tr>
        <w:tc>
          <w:tcPr>
            <w:tcW w:type="dxa" w:w="825"/>
          </w:tcPr>
          <w:p>
            <w:pPr>
              <w:jc w:val="center"/>
            </w:pPr>
            <w:r>
              <w:rPr>
                <w:sz w:val="15"/>
              </w:rPr>
              <w:t>kNN</w:t>
            </w:r>
          </w:p>
        </w:tc>
        <w:tc>
          <w:tcPr>
            <w:tcW w:type="dxa" w:w="825"/>
          </w:tcPr>
          <w:p>
            <w:pPr>
              <w:jc w:val="center"/>
            </w:pPr>
            <w:r>
              <w:rPr>
                <w:sz w:val="15"/>
              </w:rPr>
              <w:t>OHE</w:t>
            </w:r>
          </w:p>
        </w:tc>
        <w:tc>
          <w:tcPr>
            <w:tcW w:type="dxa" w:w="825"/>
          </w:tcPr>
          <w:p>
            <w:pPr>
              <w:jc w:val="center"/>
            </w:pPr>
            <w:r>
              <w:rPr>
                <w:sz w:val="15"/>
              </w:rPr>
              <w:t>nan</w:t>
            </w:r>
          </w:p>
        </w:tc>
        <w:tc>
          <w:tcPr>
            <w:tcW w:type="dxa" w:w="825"/>
          </w:tcPr>
          <w:p>
            <w:pPr>
              <w:jc w:val="center"/>
            </w:pPr>
            <w:r>
              <w:rPr>
                <w:sz w:val="15"/>
              </w:rPr>
              <w:t>0.8905</w:t>
            </w:r>
          </w:p>
        </w:tc>
        <w:tc>
          <w:tcPr>
            <w:tcW w:type="dxa" w:w="825"/>
          </w:tcPr>
          <w:p>
            <w:pPr>
              <w:jc w:val="center"/>
            </w:pPr>
            <w:r>
              <w:rPr>
                <w:sz w:val="15"/>
              </w:rPr>
              <w:t>0.5289</w:t>
            </w:r>
          </w:p>
        </w:tc>
        <w:tc>
          <w:tcPr>
            <w:tcW w:type="dxa" w:w="825"/>
          </w:tcPr>
          <w:p>
            <w:pPr>
              <w:jc w:val="center"/>
            </w:pPr>
            <w:r>
              <w:rPr>
                <w:sz w:val="15"/>
              </w:rPr>
              <w:t>0.2565</w:t>
            </w:r>
          </w:p>
        </w:tc>
        <w:tc>
          <w:tcPr>
            <w:tcW w:type="dxa" w:w="825"/>
          </w:tcPr>
          <w:p>
            <w:pPr>
              <w:jc w:val="center"/>
            </w:pPr>
            <w:r>
              <w:rPr>
                <w:sz w:val="15"/>
              </w:rPr>
              <w:t>0.3454</w:t>
            </w:r>
          </w:p>
        </w:tc>
        <w:tc>
          <w:tcPr>
            <w:tcW w:type="dxa" w:w="825"/>
          </w:tcPr>
          <w:p>
            <w:pPr>
              <w:jc w:val="center"/>
            </w:pPr>
            <w:r>
              <w:rPr>
                <w:sz w:val="15"/>
              </w:rPr>
              <w:t>0.7265</w:t>
            </w:r>
          </w:p>
        </w:tc>
        <w:tc>
          <w:tcPr>
            <w:tcW w:type="dxa" w:w="825"/>
          </w:tcPr>
          <w:p>
            <w:pPr>
              <w:jc w:val="center"/>
            </w:pPr>
            <w:r>
              <w:rPr>
                <w:sz w:val="15"/>
              </w:rPr>
              <w:t>0.3551</w:t>
            </w:r>
          </w:p>
        </w:tc>
        <w:tc>
          <w:tcPr>
            <w:tcW w:type="dxa" w:w="825"/>
          </w:tcPr>
          <w:p>
            <w:pPr>
              <w:jc w:val="center"/>
            </w:pPr>
            <w:r>
              <w:rPr>
                <w:sz w:val="15"/>
              </w:rPr>
              <w:t>0.0132</w:t>
            </w:r>
          </w:p>
        </w:tc>
        <w:tc>
          <w:tcPr>
            <w:tcW w:type="dxa" w:w="825"/>
          </w:tcPr>
          <w:p>
            <w:pPr>
              <w:jc w:val="center"/>
            </w:pPr>
            <w:r>
              <w:rPr>
                <w:sz w:val="15"/>
              </w:rPr>
              <w:t>0.7180</w:t>
            </w:r>
          </w:p>
        </w:tc>
      </w:tr>
      <w:tr>
        <w:tc>
          <w:tcPr>
            <w:tcW w:type="dxa" w:w="825"/>
          </w:tcPr>
          <w:p>
            <w:pPr>
              <w:jc w:val="center"/>
            </w:pPr>
            <w:r>
              <w:rPr>
                <w:sz w:val="15"/>
              </w:rPr>
              <w:t>NaiveBayes</w:t>
            </w:r>
          </w:p>
        </w:tc>
        <w:tc>
          <w:tcPr>
            <w:tcW w:type="dxa" w:w="825"/>
          </w:tcPr>
          <w:p>
            <w:pPr>
              <w:jc w:val="center"/>
            </w:pPr>
            <w:r>
              <w:rPr>
                <w:sz w:val="15"/>
              </w:rPr>
              <w:t>OHE</w:t>
            </w:r>
          </w:p>
        </w:tc>
        <w:tc>
          <w:tcPr>
            <w:tcW w:type="dxa" w:w="825"/>
          </w:tcPr>
          <w:p>
            <w:pPr>
              <w:jc w:val="center"/>
            </w:pPr>
            <w:r>
              <w:rPr>
                <w:sz w:val="15"/>
              </w:rPr>
              <w:t>nan</w:t>
            </w:r>
          </w:p>
        </w:tc>
        <w:tc>
          <w:tcPr>
            <w:tcW w:type="dxa" w:w="825"/>
          </w:tcPr>
          <w:p>
            <w:pPr>
              <w:jc w:val="center"/>
            </w:pPr>
            <w:r>
              <w:rPr>
                <w:sz w:val="15"/>
              </w:rPr>
              <w:t>0.8572</w:t>
            </w:r>
          </w:p>
        </w:tc>
        <w:tc>
          <w:tcPr>
            <w:tcW w:type="dxa" w:w="825"/>
          </w:tcPr>
          <w:p>
            <w:pPr>
              <w:jc w:val="center"/>
            </w:pPr>
            <w:r>
              <w:rPr>
                <w:sz w:val="15"/>
              </w:rPr>
              <w:t>0.3885</w:t>
            </w:r>
          </w:p>
        </w:tc>
        <w:tc>
          <w:tcPr>
            <w:tcW w:type="dxa" w:w="825"/>
          </w:tcPr>
          <w:p>
            <w:pPr>
              <w:jc w:val="center"/>
            </w:pPr>
            <w:r>
              <w:rPr>
                <w:sz w:val="15"/>
              </w:rPr>
              <w:t>0.4655</w:t>
            </w:r>
          </w:p>
        </w:tc>
        <w:tc>
          <w:tcPr>
            <w:tcW w:type="dxa" w:w="825"/>
          </w:tcPr>
          <w:p>
            <w:pPr>
              <w:jc w:val="center"/>
            </w:pPr>
            <w:r>
              <w:rPr>
                <w:sz w:val="15"/>
              </w:rPr>
              <w:t>0.4235</w:t>
            </w:r>
          </w:p>
        </w:tc>
        <w:tc>
          <w:tcPr>
            <w:tcW w:type="dxa" w:w="825"/>
          </w:tcPr>
          <w:p>
            <w:pPr>
              <w:jc w:val="center"/>
            </w:pPr>
            <w:r>
              <w:rPr>
                <w:sz w:val="15"/>
              </w:rPr>
              <w:t>0.7757</w:t>
            </w:r>
          </w:p>
        </w:tc>
        <w:tc>
          <w:tcPr>
            <w:tcW w:type="dxa" w:w="825"/>
          </w:tcPr>
          <w:p>
            <w:pPr>
              <w:jc w:val="center"/>
            </w:pPr>
            <w:r>
              <w:rPr>
                <w:sz w:val="15"/>
              </w:rPr>
              <w:t>0.4178</w:t>
            </w:r>
          </w:p>
        </w:tc>
        <w:tc>
          <w:tcPr>
            <w:tcW w:type="dxa" w:w="825"/>
          </w:tcPr>
          <w:p>
            <w:pPr>
              <w:jc w:val="center"/>
            </w:pPr>
            <w:r>
              <w:rPr>
                <w:sz w:val="15"/>
              </w:rPr>
              <w:t>0.0147</w:t>
            </w:r>
          </w:p>
        </w:tc>
        <w:tc>
          <w:tcPr>
            <w:tcW w:type="dxa" w:w="825"/>
          </w:tcPr>
          <w:p>
            <w:pPr>
              <w:jc w:val="center"/>
            </w:pPr>
            <w:r>
              <w:rPr>
                <w:sz w:val="15"/>
              </w:rPr>
              <w:t>0.7666</w:t>
            </w:r>
          </w:p>
        </w:tc>
      </w:tr>
      <w:tr>
        <w:tc>
          <w:tcPr>
            <w:tcW w:type="dxa" w:w="825"/>
          </w:tcPr>
          <w:p>
            <w:pPr>
              <w:jc w:val="center"/>
            </w:pPr>
            <w:r>
              <w:rPr>
                <w:sz w:val="15"/>
              </w:rPr>
              <w:t>DecisionTree</w:t>
            </w:r>
          </w:p>
        </w:tc>
        <w:tc>
          <w:tcPr>
            <w:tcW w:type="dxa" w:w="825"/>
          </w:tcPr>
          <w:p>
            <w:pPr>
              <w:jc w:val="center"/>
            </w:pPr>
            <w:r>
              <w:rPr>
                <w:sz w:val="15"/>
              </w:rPr>
              <w:t>LE</w:t>
            </w:r>
          </w:p>
        </w:tc>
        <w:tc>
          <w:tcPr>
            <w:tcW w:type="dxa" w:w="825"/>
          </w:tcPr>
          <w:p>
            <w:pPr>
              <w:jc w:val="center"/>
            </w:pPr>
            <w:r>
              <w:rPr>
                <w:sz w:val="15"/>
              </w:rPr>
              <w:t>nan</w:t>
            </w:r>
          </w:p>
        </w:tc>
        <w:tc>
          <w:tcPr>
            <w:tcW w:type="dxa" w:w="825"/>
          </w:tcPr>
          <w:p>
            <w:pPr>
              <w:jc w:val="center"/>
            </w:pPr>
            <w:r>
              <w:rPr>
                <w:sz w:val="15"/>
              </w:rPr>
              <w:t>0.8413</w:t>
            </w:r>
          </w:p>
        </w:tc>
        <w:tc>
          <w:tcPr>
            <w:tcW w:type="dxa" w:w="825"/>
          </w:tcPr>
          <w:p>
            <w:pPr>
              <w:jc w:val="center"/>
            </w:pPr>
            <w:r>
              <w:rPr>
                <w:sz w:val="15"/>
              </w:rPr>
              <w:t>0.3187</w:t>
            </w:r>
          </w:p>
        </w:tc>
        <w:tc>
          <w:tcPr>
            <w:tcW w:type="dxa" w:w="825"/>
          </w:tcPr>
          <w:p>
            <w:pPr>
              <w:jc w:val="center"/>
            </w:pPr>
            <w:r>
              <w:rPr>
                <w:sz w:val="15"/>
              </w:rPr>
              <w:t>0.3588</w:t>
            </w:r>
          </w:p>
        </w:tc>
        <w:tc>
          <w:tcPr>
            <w:tcW w:type="dxa" w:w="825"/>
          </w:tcPr>
          <w:p>
            <w:pPr>
              <w:jc w:val="center"/>
            </w:pPr>
            <w:r>
              <w:rPr>
                <w:sz w:val="15"/>
              </w:rPr>
              <w:t>0.3376</w:t>
            </w:r>
          </w:p>
        </w:tc>
        <w:tc>
          <w:tcPr>
            <w:tcW w:type="dxa" w:w="825"/>
          </w:tcPr>
          <w:p>
            <w:pPr>
              <w:jc w:val="center"/>
            </w:pPr>
            <w:r>
              <w:rPr>
                <w:sz w:val="15"/>
              </w:rPr>
              <w:t>0.6345</w:t>
            </w:r>
          </w:p>
        </w:tc>
        <w:tc>
          <w:tcPr>
            <w:tcW w:type="dxa" w:w="825"/>
          </w:tcPr>
          <w:p>
            <w:pPr>
              <w:jc w:val="center"/>
            </w:pPr>
            <w:r>
              <w:rPr>
                <w:sz w:val="15"/>
              </w:rPr>
              <w:t>0.3263</w:t>
            </w:r>
          </w:p>
        </w:tc>
        <w:tc>
          <w:tcPr>
            <w:tcW w:type="dxa" w:w="825"/>
          </w:tcPr>
          <w:p>
            <w:pPr>
              <w:jc w:val="center"/>
            </w:pPr>
            <w:r>
              <w:rPr>
                <w:sz w:val="15"/>
              </w:rPr>
              <w:t>0.0125</w:t>
            </w:r>
          </w:p>
        </w:tc>
        <w:tc>
          <w:tcPr>
            <w:tcW w:type="dxa" w:w="825"/>
          </w:tcPr>
          <w:p>
            <w:pPr>
              <w:jc w:val="center"/>
            </w:pPr>
            <w:r>
              <w:rPr>
                <w:sz w:val="15"/>
              </w:rPr>
              <w:t>0.6267</w:t>
            </w:r>
          </w:p>
        </w:tc>
      </w:tr>
      <w:tr>
        <w:tc>
          <w:tcPr>
            <w:tcW w:type="dxa" w:w="825"/>
          </w:tcPr>
          <w:p>
            <w:pPr>
              <w:jc w:val="center"/>
            </w:pPr>
            <w:r>
              <w:rPr>
                <w:sz w:val="15"/>
              </w:rPr>
              <w:t>RandomForest</w:t>
            </w:r>
          </w:p>
        </w:tc>
        <w:tc>
          <w:tcPr>
            <w:tcW w:type="dxa" w:w="825"/>
          </w:tcPr>
          <w:p>
            <w:pPr>
              <w:jc w:val="center"/>
            </w:pPr>
            <w:r>
              <w:rPr>
                <w:sz w:val="15"/>
              </w:rPr>
              <w:t>LE</w:t>
            </w:r>
          </w:p>
        </w:tc>
        <w:tc>
          <w:tcPr>
            <w:tcW w:type="dxa" w:w="825"/>
          </w:tcPr>
          <w:p>
            <w:pPr>
              <w:jc w:val="center"/>
            </w:pPr>
            <w:r>
              <w:rPr>
                <w:sz w:val="15"/>
              </w:rPr>
              <w:t>nan</w:t>
            </w:r>
          </w:p>
        </w:tc>
        <w:tc>
          <w:tcPr>
            <w:tcW w:type="dxa" w:w="825"/>
          </w:tcPr>
          <w:p>
            <w:pPr>
              <w:jc w:val="center"/>
            </w:pPr>
            <w:r>
              <w:rPr>
                <w:sz w:val="15"/>
              </w:rPr>
              <w:t>0.8935</w:t>
            </w:r>
          </w:p>
        </w:tc>
        <w:tc>
          <w:tcPr>
            <w:tcW w:type="dxa" w:w="825"/>
          </w:tcPr>
          <w:p>
            <w:pPr>
              <w:jc w:val="center"/>
            </w:pPr>
            <w:r>
              <w:rPr>
                <w:sz w:val="15"/>
              </w:rPr>
              <w:t>0.5526</w:t>
            </w:r>
          </w:p>
        </w:tc>
        <w:tc>
          <w:tcPr>
            <w:tcW w:type="dxa" w:w="825"/>
          </w:tcPr>
          <w:p>
            <w:pPr>
              <w:jc w:val="center"/>
            </w:pPr>
            <w:r>
              <w:rPr>
                <w:sz w:val="15"/>
              </w:rPr>
              <w:t>0.2888</w:t>
            </w:r>
          </w:p>
        </w:tc>
        <w:tc>
          <w:tcPr>
            <w:tcW w:type="dxa" w:w="825"/>
          </w:tcPr>
          <w:p>
            <w:pPr>
              <w:jc w:val="center"/>
            </w:pPr>
            <w:r>
              <w:rPr>
                <w:sz w:val="15"/>
              </w:rPr>
              <w:t>0.3793</w:t>
            </w:r>
          </w:p>
        </w:tc>
        <w:tc>
          <w:tcPr>
            <w:tcW w:type="dxa" w:w="825"/>
          </w:tcPr>
          <w:p>
            <w:pPr>
              <w:jc w:val="center"/>
            </w:pPr>
            <w:r>
              <w:rPr>
                <w:sz w:val="15"/>
              </w:rPr>
              <w:t>0.7854</w:t>
            </w:r>
          </w:p>
        </w:tc>
        <w:tc>
          <w:tcPr>
            <w:tcW w:type="dxa" w:w="825"/>
          </w:tcPr>
          <w:p>
            <w:pPr>
              <w:jc w:val="center"/>
            </w:pPr>
            <w:r>
              <w:rPr>
                <w:sz w:val="15"/>
              </w:rPr>
              <w:t>0.3786</w:t>
            </w:r>
          </w:p>
        </w:tc>
        <w:tc>
          <w:tcPr>
            <w:tcW w:type="dxa" w:w="825"/>
          </w:tcPr>
          <w:p>
            <w:pPr>
              <w:jc w:val="center"/>
            </w:pPr>
            <w:r>
              <w:rPr>
                <w:sz w:val="15"/>
              </w:rPr>
              <w:t>0.0126</w:t>
            </w:r>
          </w:p>
        </w:tc>
        <w:tc>
          <w:tcPr>
            <w:tcW w:type="dxa" w:w="825"/>
          </w:tcPr>
          <w:p>
            <w:pPr>
              <w:jc w:val="center"/>
            </w:pPr>
            <w:r>
              <w:rPr>
                <w:sz w:val="15"/>
              </w:rPr>
              <w:t>0.7747</w:t>
            </w:r>
          </w:p>
        </w:tc>
      </w:tr>
      <w:tr>
        <w:tc>
          <w:tcPr>
            <w:tcW w:type="dxa" w:w="825"/>
          </w:tcPr>
          <w:p>
            <w:pPr>
              <w:jc w:val="center"/>
            </w:pPr>
            <w:r>
              <w:rPr>
                <w:sz w:val="15"/>
              </w:rPr>
              <w:t>Baseline</w:t>
            </w:r>
          </w:p>
        </w:tc>
        <w:tc>
          <w:tcPr>
            <w:tcW w:type="dxa" w:w="825"/>
          </w:tcPr>
          <w:p>
            <w:pPr>
              <w:jc w:val="center"/>
            </w:pPr>
            <w:r>
              <w:rPr>
                <w:sz w:val="15"/>
              </w:rPr>
              <w:t>OHE</w:t>
            </w:r>
          </w:p>
        </w:tc>
        <w:tc>
          <w:tcPr>
            <w:tcW w:type="dxa" w:w="825"/>
          </w:tcPr>
          <w:p>
            <w:pPr>
              <w:jc w:val="center"/>
            </w:pPr>
            <w:r>
              <w:rPr>
                <w:sz w:val="15"/>
              </w:rPr>
              <w:t>ClassWeight</w:t>
            </w:r>
          </w:p>
        </w:tc>
        <w:tc>
          <w:tcPr>
            <w:tcW w:type="dxa" w:w="825"/>
          </w:tcPr>
          <w:p>
            <w:pPr>
              <w:jc w:val="center"/>
            </w:pPr>
            <w:r>
              <w:rPr>
                <w:sz w:val="15"/>
              </w:rPr>
              <w:t>0.8873</w:t>
            </w:r>
          </w:p>
        </w:tc>
        <w:tc>
          <w:tcPr>
            <w:tcW w:type="dxa" w:w="825"/>
          </w:tcPr>
          <w:p>
            <w:pPr>
              <w:jc w:val="center"/>
            </w:pPr>
            <w:r>
              <w:rPr>
                <w:sz w:val="15"/>
              </w:rPr>
              <w:t>0.0000</w:t>
            </w:r>
          </w:p>
        </w:tc>
        <w:tc>
          <w:tcPr>
            <w:tcW w:type="dxa" w:w="825"/>
          </w:tcPr>
          <w:p>
            <w:pPr>
              <w:jc w:val="center"/>
            </w:pPr>
            <w:r>
              <w:rPr>
                <w:sz w:val="15"/>
              </w:rPr>
              <w:t>0.0000</w:t>
            </w:r>
          </w:p>
        </w:tc>
        <w:tc>
          <w:tcPr>
            <w:tcW w:type="dxa" w:w="825"/>
          </w:tcPr>
          <w:p>
            <w:pPr>
              <w:jc w:val="center"/>
            </w:pPr>
            <w:r>
              <w:rPr>
                <w:sz w:val="15"/>
              </w:rPr>
              <w:t>0.0000</w:t>
            </w:r>
          </w:p>
        </w:tc>
        <w:tc>
          <w:tcPr>
            <w:tcW w:type="dxa" w:w="825"/>
          </w:tcPr>
          <w:p>
            <w:pPr>
              <w:jc w:val="center"/>
            </w:pPr>
            <w:r>
              <w:rPr>
                <w:sz w:val="15"/>
              </w:rPr>
              <w:t>0.5000</w:t>
            </w:r>
          </w:p>
        </w:tc>
        <w:tc>
          <w:tcPr>
            <w:tcW w:type="dxa" w:w="825"/>
          </w:tcPr>
          <w:p>
            <w:pPr>
              <w:jc w:val="center"/>
            </w:pPr>
            <w:r>
              <w:rPr>
                <w:sz w:val="15"/>
              </w:rPr>
              <w:t>0.0000</w:t>
            </w:r>
          </w:p>
        </w:tc>
        <w:tc>
          <w:tcPr>
            <w:tcW w:type="dxa" w:w="825"/>
          </w:tcPr>
          <w:p>
            <w:pPr>
              <w:jc w:val="center"/>
            </w:pPr>
            <w:r>
              <w:rPr>
                <w:sz w:val="15"/>
              </w:rPr>
              <w:t>0.0000</w:t>
            </w:r>
          </w:p>
        </w:tc>
        <w:tc>
          <w:tcPr>
            <w:tcW w:type="dxa" w:w="825"/>
          </w:tcPr>
          <w:p>
            <w:pPr>
              <w:jc w:val="center"/>
            </w:pPr>
            <w:r>
              <w:rPr>
                <w:sz w:val="15"/>
              </w:rPr>
              <w:t>0.5000</w:t>
            </w:r>
          </w:p>
        </w:tc>
      </w:tr>
      <w:tr>
        <w:tc>
          <w:tcPr>
            <w:tcW w:type="dxa" w:w="825"/>
          </w:tcPr>
          <w:p>
            <w:pPr>
              <w:jc w:val="center"/>
            </w:pPr>
            <w:r>
              <w:rPr>
                <w:sz w:val="15"/>
              </w:rPr>
              <w:t>LogisticRegression</w:t>
            </w:r>
          </w:p>
        </w:tc>
        <w:tc>
          <w:tcPr>
            <w:tcW w:type="dxa" w:w="825"/>
          </w:tcPr>
          <w:p>
            <w:pPr>
              <w:jc w:val="center"/>
            </w:pPr>
            <w:r>
              <w:rPr>
                <w:sz w:val="15"/>
              </w:rPr>
              <w:t>OHE</w:t>
            </w:r>
          </w:p>
        </w:tc>
        <w:tc>
          <w:tcPr>
            <w:tcW w:type="dxa" w:w="825"/>
          </w:tcPr>
          <w:p>
            <w:pPr>
              <w:jc w:val="center"/>
            </w:pPr>
            <w:r>
              <w:rPr>
                <w:sz w:val="15"/>
              </w:rPr>
              <w:t>ClassWeight</w:t>
            </w:r>
          </w:p>
        </w:tc>
        <w:tc>
          <w:tcPr>
            <w:tcW w:type="dxa" w:w="825"/>
          </w:tcPr>
          <w:p>
            <w:pPr>
              <w:jc w:val="center"/>
            </w:pPr>
            <w:r>
              <w:rPr>
                <w:sz w:val="15"/>
              </w:rPr>
              <w:t>0.8312</w:t>
            </w:r>
          </w:p>
        </w:tc>
        <w:tc>
          <w:tcPr>
            <w:tcW w:type="dxa" w:w="825"/>
          </w:tcPr>
          <w:p>
            <w:pPr>
              <w:jc w:val="center"/>
            </w:pPr>
            <w:r>
              <w:rPr>
                <w:sz w:val="15"/>
              </w:rPr>
              <w:t>0.3607</w:t>
            </w:r>
          </w:p>
        </w:tc>
        <w:tc>
          <w:tcPr>
            <w:tcW w:type="dxa" w:w="825"/>
          </w:tcPr>
          <w:p>
            <w:pPr>
              <w:jc w:val="center"/>
            </w:pPr>
            <w:r>
              <w:rPr>
                <w:sz w:val="15"/>
              </w:rPr>
              <w:t>0.6444</w:t>
            </w:r>
          </w:p>
        </w:tc>
        <w:tc>
          <w:tcPr>
            <w:tcW w:type="dxa" w:w="825"/>
          </w:tcPr>
          <w:p>
            <w:pPr>
              <w:jc w:val="center"/>
            </w:pPr>
            <w:r>
              <w:rPr>
                <w:sz w:val="15"/>
              </w:rPr>
              <w:t>0.4625</w:t>
            </w:r>
          </w:p>
        </w:tc>
        <w:tc>
          <w:tcPr>
            <w:tcW w:type="dxa" w:w="825"/>
          </w:tcPr>
          <w:p>
            <w:pPr>
              <w:jc w:val="center"/>
            </w:pPr>
            <w:r>
              <w:rPr>
                <w:sz w:val="15"/>
              </w:rPr>
              <w:t>0.7994</w:t>
            </w:r>
          </w:p>
        </w:tc>
        <w:tc>
          <w:tcPr>
            <w:tcW w:type="dxa" w:w="825"/>
          </w:tcPr>
          <w:p>
            <w:pPr>
              <w:jc w:val="center"/>
            </w:pPr>
            <w:r>
              <w:rPr>
                <w:sz w:val="15"/>
              </w:rPr>
              <w:t>0.4513</w:t>
            </w:r>
          </w:p>
        </w:tc>
        <w:tc>
          <w:tcPr>
            <w:tcW w:type="dxa" w:w="825"/>
          </w:tcPr>
          <w:p>
            <w:pPr>
              <w:jc w:val="center"/>
            </w:pPr>
            <w:r>
              <w:rPr>
                <w:sz w:val="15"/>
              </w:rPr>
              <w:t>0.0084</w:t>
            </w:r>
          </w:p>
        </w:tc>
        <w:tc>
          <w:tcPr>
            <w:tcW w:type="dxa" w:w="825"/>
          </w:tcPr>
          <w:p>
            <w:pPr>
              <w:jc w:val="center"/>
            </w:pPr>
            <w:r>
              <w:rPr>
                <w:sz w:val="15"/>
              </w:rPr>
              <w:t>0.7909</w:t>
            </w:r>
          </w:p>
        </w:tc>
      </w:tr>
      <w:tr>
        <w:tc>
          <w:tcPr>
            <w:tcW w:type="dxa" w:w="825"/>
          </w:tcPr>
          <w:p>
            <w:pPr>
              <w:jc w:val="center"/>
            </w:pPr>
            <w:r>
              <w:rPr>
                <w:sz w:val="15"/>
              </w:rPr>
              <w:t>DecisionTree</w:t>
            </w:r>
          </w:p>
        </w:tc>
        <w:tc>
          <w:tcPr>
            <w:tcW w:type="dxa" w:w="825"/>
          </w:tcPr>
          <w:p>
            <w:pPr>
              <w:jc w:val="center"/>
            </w:pPr>
            <w:r>
              <w:rPr>
                <w:sz w:val="15"/>
              </w:rPr>
              <w:t>OHE</w:t>
            </w:r>
          </w:p>
        </w:tc>
        <w:tc>
          <w:tcPr>
            <w:tcW w:type="dxa" w:w="825"/>
          </w:tcPr>
          <w:p>
            <w:pPr>
              <w:jc w:val="center"/>
            </w:pPr>
            <w:r>
              <w:rPr>
                <w:sz w:val="15"/>
              </w:rPr>
              <w:t>ClassWeight</w:t>
            </w:r>
          </w:p>
        </w:tc>
        <w:tc>
          <w:tcPr>
            <w:tcW w:type="dxa" w:w="825"/>
          </w:tcPr>
          <w:p>
            <w:pPr>
              <w:jc w:val="center"/>
            </w:pPr>
            <w:r>
              <w:rPr>
                <w:sz w:val="15"/>
              </w:rPr>
              <w:t>0.8462</w:t>
            </w:r>
          </w:p>
        </w:tc>
        <w:tc>
          <w:tcPr>
            <w:tcW w:type="dxa" w:w="825"/>
          </w:tcPr>
          <w:p>
            <w:pPr>
              <w:jc w:val="center"/>
            </w:pPr>
            <w:r>
              <w:rPr>
                <w:sz w:val="15"/>
              </w:rPr>
              <w:t>0.3199</w:t>
            </w:r>
          </w:p>
        </w:tc>
        <w:tc>
          <w:tcPr>
            <w:tcW w:type="dxa" w:w="825"/>
          </w:tcPr>
          <w:p>
            <w:pPr>
              <w:jc w:val="center"/>
            </w:pPr>
            <w:r>
              <w:rPr>
                <w:sz w:val="15"/>
              </w:rPr>
              <w:t>0.3244</w:t>
            </w:r>
          </w:p>
        </w:tc>
        <w:tc>
          <w:tcPr>
            <w:tcW w:type="dxa" w:w="825"/>
          </w:tcPr>
          <w:p>
            <w:pPr>
              <w:jc w:val="center"/>
            </w:pPr>
            <w:r>
              <w:rPr>
                <w:sz w:val="15"/>
              </w:rPr>
              <w:t>0.3221</w:t>
            </w:r>
          </w:p>
        </w:tc>
        <w:tc>
          <w:tcPr>
            <w:tcW w:type="dxa" w:w="825"/>
          </w:tcPr>
          <w:p>
            <w:pPr>
              <w:jc w:val="center"/>
            </w:pPr>
            <w:r>
              <w:rPr>
                <w:sz w:val="15"/>
              </w:rPr>
              <w:t>0.6187</w:t>
            </w:r>
          </w:p>
        </w:tc>
        <w:tc>
          <w:tcPr>
            <w:tcW w:type="dxa" w:w="825"/>
          </w:tcPr>
          <w:p>
            <w:pPr>
              <w:jc w:val="center"/>
            </w:pPr>
            <w:r>
              <w:rPr>
                <w:sz w:val="15"/>
              </w:rPr>
              <w:t>0.3251</w:t>
            </w:r>
          </w:p>
        </w:tc>
        <w:tc>
          <w:tcPr>
            <w:tcW w:type="dxa" w:w="825"/>
          </w:tcPr>
          <w:p>
            <w:pPr>
              <w:jc w:val="center"/>
            </w:pPr>
            <w:r>
              <w:rPr>
                <w:sz w:val="15"/>
              </w:rPr>
              <w:t>0.0085</w:t>
            </w:r>
          </w:p>
        </w:tc>
        <w:tc>
          <w:tcPr>
            <w:tcW w:type="dxa" w:w="825"/>
          </w:tcPr>
          <w:p>
            <w:pPr>
              <w:jc w:val="center"/>
            </w:pPr>
            <w:r>
              <w:rPr>
                <w:sz w:val="15"/>
              </w:rPr>
              <w:t>0.6213</w:t>
            </w:r>
          </w:p>
        </w:tc>
      </w:tr>
      <w:tr>
        <w:tc>
          <w:tcPr>
            <w:tcW w:type="dxa" w:w="825"/>
          </w:tcPr>
          <w:p>
            <w:pPr>
              <w:jc w:val="center"/>
            </w:pPr>
            <w:r>
              <w:rPr>
                <w:sz w:val="15"/>
              </w:rPr>
              <w:t>RandomForest</w:t>
            </w:r>
          </w:p>
        </w:tc>
        <w:tc>
          <w:tcPr>
            <w:tcW w:type="dxa" w:w="825"/>
          </w:tcPr>
          <w:p>
            <w:pPr>
              <w:jc w:val="center"/>
            </w:pPr>
            <w:r>
              <w:rPr>
                <w:sz w:val="15"/>
              </w:rPr>
              <w:t>OHE</w:t>
            </w:r>
          </w:p>
        </w:tc>
        <w:tc>
          <w:tcPr>
            <w:tcW w:type="dxa" w:w="825"/>
          </w:tcPr>
          <w:p>
            <w:pPr>
              <w:jc w:val="center"/>
            </w:pPr>
            <w:r>
              <w:rPr>
                <w:sz w:val="15"/>
              </w:rPr>
              <w:t>ClassWeight</w:t>
            </w:r>
          </w:p>
        </w:tc>
        <w:tc>
          <w:tcPr>
            <w:tcW w:type="dxa" w:w="825"/>
          </w:tcPr>
          <w:p>
            <w:pPr>
              <w:jc w:val="center"/>
            </w:pPr>
            <w:r>
              <w:rPr>
                <w:sz w:val="15"/>
              </w:rPr>
              <w:t>0.8918</w:t>
            </w:r>
          </w:p>
        </w:tc>
        <w:tc>
          <w:tcPr>
            <w:tcW w:type="dxa" w:w="825"/>
          </w:tcPr>
          <w:p>
            <w:pPr>
              <w:jc w:val="center"/>
            </w:pPr>
            <w:r>
              <w:rPr>
                <w:sz w:val="15"/>
              </w:rPr>
              <w:t>0.5372</w:t>
            </w:r>
          </w:p>
        </w:tc>
        <w:tc>
          <w:tcPr>
            <w:tcW w:type="dxa" w:w="825"/>
          </w:tcPr>
          <w:p>
            <w:pPr>
              <w:jc w:val="center"/>
            </w:pPr>
            <w:r>
              <w:rPr>
                <w:sz w:val="15"/>
              </w:rPr>
              <w:t>0.2877</w:t>
            </w:r>
          </w:p>
        </w:tc>
        <w:tc>
          <w:tcPr>
            <w:tcW w:type="dxa" w:w="825"/>
          </w:tcPr>
          <w:p>
            <w:pPr>
              <w:jc w:val="center"/>
            </w:pPr>
            <w:r>
              <w:rPr>
                <w:sz w:val="15"/>
              </w:rPr>
              <w:t>0.3747</w:t>
            </w:r>
          </w:p>
        </w:tc>
        <w:tc>
          <w:tcPr>
            <w:tcW w:type="dxa" w:w="825"/>
          </w:tcPr>
          <w:p>
            <w:pPr>
              <w:jc w:val="center"/>
            </w:pPr>
            <w:r>
              <w:rPr>
                <w:sz w:val="15"/>
              </w:rPr>
              <w:t>0.7803</w:t>
            </w:r>
          </w:p>
        </w:tc>
        <w:tc>
          <w:tcPr>
            <w:tcW w:type="dxa" w:w="825"/>
          </w:tcPr>
          <w:p>
            <w:pPr>
              <w:jc w:val="center"/>
            </w:pPr>
            <w:r>
              <w:rPr>
                <w:sz w:val="15"/>
              </w:rPr>
              <w:t>0.3636</w:t>
            </w:r>
          </w:p>
        </w:tc>
        <w:tc>
          <w:tcPr>
            <w:tcW w:type="dxa" w:w="825"/>
          </w:tcPr>
          <w:p>
            <w:pPr>
              <w:jc w:val="center"/>
            </w:pPr>
            <w:r>
              <w:rPr>
                <w:sz w:val="15"/>
              </w:rPr>
              <w:t>0.0079</w:t>
            </w:r>
          </w:p>
        </w:tc>
        <w:tc>
          <w:tcPr>
            <w:tcW w:type="dxa" w:w="825"/>
          </w:tcPr>
          <w:p>
            <w:pPr>
              <w:jc w:val="center"/>
            </w:pPr>
            <w:r>
              <w:rPr>
                <w:sz w:val="15"/>
              </w:rPr>
              <w:t>0.7707</w:t>
            </w:r>
          </w:p>
        </w:tc>
      </w:tr>
      <w:tr>
        <w:tc>
          <w:tcPr>
            <w:tcW w:type="dxa" w:w="825"/>
          </w:tcPr>
          <w:p>
            <w:pPr>
              <w:jc w:val="center"/>
            </w:pPr>
            <w:r>
              <w:rPr>
                <w:sz w:val="15"/>
              </w:rPr>
              <w:t>kNN</w:t>
            </w:r>
          </w:p>
        </w:tc>
        <w:tc>
          <w:tcPr>
            <w:tcW w:type="dxa" w:w="825"/>
          </w:tcPr>
          <w:p>
            <w:pPr>
              <w:jc w:val="center"/>
            </w:pPr>
            <w:r>
              <w:rPr>
                <w:sz w:val="15"/>
              </w:rPr>
              <w:t>OHE</w:t>
            </w:r>
          </w:p>
        </w:tc>
        <w:tc>
          <w:tcPr>
            <w:tcW w:type="dxa" w:w="825"/>
          </w:tcPr>
          <w:p>
            <w:pPr>
              <w:jc w:val="center"/>
            </w:pPr>
            <w:r>
              <w:rPr>
                <w:sz w:val="15"/>
              </w:rPr>
              <w:t>ClassWeight</w:t>
            </w:r>
          </w:p>
        </w:tc>
        <w:tc>
          <w:tcPr>
            <w:tcW w:type="dxa" w:w="825"/>
          </w:tcPr>
          <w:p>
            <w:pPr>
              <w:jc w:val="center"/>
            </w:pPr>
            <w:r>
              <w:rPr>
                <w:sz w:val="15"/>
              </w:rPr>
              <w:t>0.8905</w:t>
            </w:r>
          </w:p>
        </w:tc>
        <w:tc>
          <w:tcPr>
            <w:tcW w:type="dxa" w:w="825"/>
          </w:tcPr>
          <w:p>
            <w:pPr>
              <w:jc w:val="center"/>
            </w:pPr>
            <w:r>
              <w:rPr>
                <w:sz w:val="15"/>
              </w:rPr>
              <w:t>0.5289</w:t>
            </w:r>
          </w:p>
        </w:tc>
        <w:tc>
          <w:tcPr>
            <w:tcW w:type="dxa" w:w="825"/>
          </w:tcPr>
          <w:p>
            <w:pPr>
              <w:jc w:val="center"/>
            </w:pPr>
            <w:r>
              <w:rPr>
                <w:sz w:val="15"/>
              </w:rPr>
              <w:t>0.2565</w:t>
            </w:r>
          </w:p>
        </w:tc>
        <w:tc>
          <w:tcPr>
            <w:tcW w:type="dxa" w:w="825"/>
          </w:tcPr>
          <w:p>
            <w:pPr>
              <w:jc w:val="center"/>
            </w:pPr>
            <w:r>
              <w:rPr>
                <w:sz w:val="15"/>
              </w:rPr>
              <w:t>0.3454</w:t>
            </w:r>
          </w:p>
        </w:tc>
        <w:tc>
          <w:tcPr>
            <w:tcW w:type="dxa" w:w="825"/>
          </w:tcPr>
          <w:p>
            <w:pPr>
              <w:jc w:val="center"/>
            </w:pPr>
            <w:r>
              <w:rPr>
                <w:sz w:val="15"/>
              </w:rPr>
              <w:t>0.7265</w:t>
            </w:r>
          </w:p>
        </w:tc>
        <w:tc>
          <w:tcPr>
            <w:tcW w:type="dxa" w:w="825"/>
          </w:tcPr>
          <w:p>
            <w:pPr>
              <w:jc w:val="center"/>
            </w:pPr>
            <w:r>
              <w:rPr>
                <w:sz w:val="15"/>
              </w:rPr>
              <w:t>0.3551</w:t>
            </w:r>
          </w:p>
        </w:tc>
        <w:tc>
          <w:tcPr>
            <w:tcW w:type="dxa" w:w="825"/>
          </w:tcPr>
          <w:p>
            <w:pPr>
              <w:jc w:val="center"/>
            </w:pPr>
            <w:r>
              <w:rPr>
                <w:sz w:val="15"/>
              </w:rPr>
              <w:t>0.0132</w:t>
            </w:r>
          </w:p>
        </w:tc>
        <w:tc>
          <w:tcPr>
            <w:tcW w:type="dxa" w:w="825"/>
          </w:tcPr>
          <w:p>
            <w:pPr>
              <w:jc w:val="center"/>
            </w:pPr>
            <w:r>
              <w:rPr>
                <w:sz w:val="15"/>
              </w:rPr>
              <w:t>0.7180</w:t>
            </w:r>
          </w:p>
        </w:tc>
      </w:tr>
      <w:tr>
        <w:tc>
          <w:tcPr>
            <w:tcW w:type="dxa" w:w="825"/>
          </w:tcPr>
          <w:p>
            <w:pPr>
              <w:jc w:val="center"/>
            </w:pPr>
            <w:r>
              <w:rPr>
                <w:sz w:val="15"/>
              </w:rPr>
              <w:t>NaiveBayes</w:t>
            </w:r>
          </w:p>
        </w:tc>
        <w:tc>
          <w:tcPr>
            <w:tcW w:type="dxa" w:w="825"/>
          </w:tcPr>
          <w:p>
            <w:pPr>
              <w:jc w:val="center"/>
            </w:pPr>
            <w:r>
              <w:rPr>
                <w:sz w:val="15"/>
              </w:rPr>
              <w:t>OHE</w:t>
            </w:r>
          </w:p>
        </w:tc>
        <w:tc>
          <w:tcPr>
            <w:tcW w:type="dxa" w:w="825"/>
          </w:tcPr>
          <w:p>
            <w:pPr>
              <w:jc w:val="center"/>
            </w:pPr>
            <w:r>
              <w:rPr>
                <w:sz w:val="15"/>
              </w:rPr>
              <w:t>ClassWeight</w:t>
            </w:r>
          </w:p>
        </w:tc>
        <w:tc>
          <w:tcPr>
            <w:tcW w:type="dxa" w:w="825"/>
          </w:tcPr>
          <w:p>
            <w:pPr>
              <w:jc w:val="center"/>
            </w:pPr>
            <w:r>
              <w:rPr>
                <w:sz w:val="15"/>
              </w:rPr>
              <w:t>0.8572</w:t>
            </w:r>
          </w:p>
        </w:tc>
        <w:tc>
          <w:tcPr>
            <w:tcW w:type="dxa" w:w="825"/>
          </w:tcPr>
          <w:p>
            <w:pPr>
              <w:jc w:val="center"/>
            </w:pPr>
            <w:r>
              <w:rPr>
                <w:sz w:val="15"/>
              </w:rPr>
              <w:t>0.3885</w:t>
            </w:r>
          </w:p>
        </w:tc>
        <w:tc>
          <w:tcPr>
            <w:tcW w:type="dxa" w:w="825"/>
          </w:tcPr>
          <w:p>
            <w:pPr>
              <w:jc w:val="center"/>
            </w:pPr>
            <w:r>
              <w:rPr>
                <w:sz w:val="15"/>
              </w:rPr>
              <w:t>0.4655</w:t>
            </w:r>
          </w:p>
        </w:tc>
        <w:tc>
          <w:tcPr>
            <w:tcW w:type="dxa" w:w="825"/>
          </w:tcPr>
          <w:p>
            <w:pPr>
              <w:jc w:val="center"/>
            </w:pPr>
            <w:r>
              <w:rPr>
                <w:sz w:val="15"/>
              </w:rPr>
              <w:t>0.4235</w:t>
            </w:r>
          </w:p>
        </w:tc>
        <w:tc>
          <w:tcPr>
            <w:tcW w:type="dxa" w:w="825"/>
          </w:tcPr>
          <w:p>
            <w:pPr>
              <w:jc w:val="center"/>
            </w:pPr>
            <w:r>
              <w:rPr>
                <w:sz w:val="15"/>
              </w:rPr>
              <w:t>0.7757</w:t>
            </w:r>
          </w:p>
        </w:tc>
        <w:tc>
          <w:tcPr>
            <w:tcW w:type="dxa" w:w="825"/>
          </w:tcPr>
          <w:p>
            <w:pPr>
              <w:jc w:val="center"/>
            </w:pPr>
            <w:r>
              <w:rPr>
                <w:sz w:val="15"/>
              </w:rPr>
              <w:t>0.4178</w:t>
            </w:r>
          </w:p>
        </w:tc>
        <w:tc>
          <w:tcPr>
            <w:tcW w:type="dxa" w:w="825"/>
          </w:tcPr>
          <w:p>
            <w:pPr>
              <w:jc w:val="center"/>
            </w:pPr>
            <w:r>
              <w:rPr>
                <w:sz w:val="15"/>
              </w:rPr>
              <w:t>0.0147</w:t>
            </w:r>
          </w:p>
        </w:tc>
        <w:tc>
          <w:tcPr>
            <w:tcW w:type="dxa" w:w="825"/>
          </w:tcPr>
          <w:p>
            <w:pPr>
              <w:jc w:val="center"/>
            </w:pPr>
            <w:r>
              <w:rPr>
                <w:sz w:val="15"/>
              </w:rPr>
              <w:t>0.7666</w:t>
            </w:r>
          </w:p>
        </w:tc>
      </w:tr>
      <w:tr>
        <w:tc>
          <w:tcPr>
            <w:tcW w:type="dxa" w:w="825"/>
          </w:tcPr>
          <w:p>
            <w:pPr>
              <w:jc w:val="center"/>
            </w:pPr>
            <w:r>
              <w:rPr>
                <w:sz w:val="15"/>
              </w:rPr>
              <w:t>DecisionTree</w:t>
            </w:r>
          </w:p>
        </w:tc>
        <w:tc>
          <w:tcPr>
            <w:tcW w:type="dxa" w:w="825"/>
          </w:tcPr>
          <w:p>
            <w:pPr>
              <w:jc w:val="center"/>
            </w:pPr>
            <w:r>
              <w:rPr>
                <w:sz w:val="15"/>
              </w:rPr>
              <w:t>LE</w:t>
            </w:r>
          </w:p>
        </w:tc>
        <w:tc>
          <w:tcPr>
            <w:tcW w:type="dxa" w:w="825"/>
          </w:tcPr>
          <w:p>
            <w:pPr>
              <w:jc w:val="center"/>
            </w:pPr>
            <w:r>
              <w:rPr>
                <w:sz w:val="15"/>
              </w:rPr>
              <w:t>ClassWeight</w:t>
            </w:r>
          </w:p>
        </w:tc>
        <w:tc>
          <w:tcPr>
            <w:tcW w:type="dxa" w:w="825"/>
          </w:tcPr>
          <w:p>
            <w:pPr>
              <w:jc w:val="center"/>
            </w:pPr>
            <w:r>
              <w:rPr>
                <w:sz w:val="15"/>
              </w:rPr>
              <w:t>0.8477</w:t>
            </w:r>
          </w:p>
        </w:tc>
        <w:tc>
          <w:tcPr>
            <w:tcW w:type="dxa" w:w="825"/>
          </w:tcPr>
          <w:p>
            <w:pPr>
              <w:jc w:val="center"/>
            </w:pPr>
            <w:r>
              <w:rPr>
                <w:sz w:val="15"/>
              </w:rPr>
              <w:t>0.3316</w:t>
            </w:r>
          </w:p>
        </w:tc>
        <w:tc>
          <w:tcPr>
            <w:tcW w:type="dxa" w:w="825"/>
          </w:tcPr>
          <w:p>
            <w:pPr>
              <w:jc w:val="center"/>
            </w:pPr>
            <w:r>
              <w:rPr>
                <w:sz w:val="15"/>
              </w:rPr>
              <w:t>0.3459</w:t>
            </w:r>
          </w:p>
        </w:tc>
        <w:tc>
          <w:tcPr>
            <w:tcW w:type="dxa" w:w="825"/>
          </w:tcPr>
          <w:p>
            <w:pPr>
              <w:jc w:val="center"/>
            </w:pPr>
            <w:r>
              <w:rPr>
                <w:sz w:val="15"/>
              </w:rPr>
              <w:t>0.3386</w:t>
            </w:r>
          </w:p>
        </w:tc>
        <w:tc>
          <w:tcPr>
            <w:tcW w:type="dxa" w:w="825"/>
          </w:tcPr>
          <w:p>
            <w:pPr>
              <w:jc w:val="center"/>
            </w:pPr>
            <w:r>
              <w:rPr>
                <w:sz w:val="15"/>
              </w:rPr>
              <w:t>0.6292</w:t>
            </w:r>
          </w:p>
        </w:tc>
        <w:tc>
          <w:tcPr>
            <w:tcW w:type="dxa" w:w="825"/>
          </w:tcPr>
          <w:p>
            <w:pPr>
              <w:jc w:val="center"/>
            </w:pPr>
            <w:r>
              <w:rPr>
                <w:sz w:val="15"/>
              </w:rPr>
              <w:t>0.3248</w:t>
            </w:r>
          </w:p>
        </w:tc>
        <w:tc>
          <w:tcPr>
            <w:tcW w:type="dxa" w:w="825"/>
          </w:tcPr>
          <w:p>
            <w:pPr>
              <w:jc w:val="center"/>
            </w:pPr>
            <w:r>
              <w:rPr>
                <w:sz w:val="15"/>
              </w:rPr>
              <w:t>0.0132</w:t>
            </w:r>
          </w:p>
        </w:tc>
        <w:tc>
          <w:tcPr>
            <w:tcW w:type="dxa" w:w="825"/>
          </w:tcPr>
          <w:p>
            <w:pPr>
              <w:jc w:val="center"/>
            </w:pPr>
            <w:r>
              <w:rPr>
                <w:sz w:val="15"/>
              </w:rPr>
              <w:t>0.6202</w:t>
            </w:r>
          </w:p>
        </w:tc>
      </w:tr>
      <w:tr>
        <w:tc>
          <w:tcPr>
            <w:tcW w:type="dxa" w:w="825"/>
          </w:tcPr>
          <w:p>
            <w:pPr>
              <w:jc w:val="center"/>
            </w:pPr>
            <w:r>
              <w:rPr>
                <w:sz w:val="15"/>
              </w:rPr>
              <w:t>RandomForest</w:t>
            </w:r>
          </w:p>
        </w:tc>
        <w:tc>
          <w:tcPr>
            <w:tcW w:type="dxa" w:w="825"/>
          </w:tcPr>
          <w:p>
            <w:pPr>
              <w:jc w:val="center"/>
            </w:pPr>
            <w:r>
              <w:rPr>
                <w:sz w:val="15"/>
              </w:rPr>
              <w:t>LE</w:t>
            </w:r>
          </w:p>
        </w:tc>
        <w:tc>
          <w:tcPr>
            <w:tcW w:type="dxa" w:w="825"/>
          </w:tcPr>
          <w:p>
            <w:pPr>
              <w:jc w:val="center"/>
            </w:pPr>
            <w:r>
              <w:rPr>
                <w:sz w:val="15"/>
              </w:rPr>
              <w:t>ClassWeight</w:t>
            </w:r>
          </w:p>
        </w:tc>
        <w:tc>
          <w:tcPr>
            <w:tcW w:type="dxa" w:w="825"/>
          </w:tcPr>
          <w:p>
            <w:pPr>
              <w:jc w:val="center"/>
            </w:pPr>
            <w:r>
              <w:rPr>
                <w:sz w:val="15"/>
              </w:rPr>
              <w:t>0.8932</w:t>
            </w:r>
          </w:p>
        </w:tc>
        <w:tc>
          <w:tcPr>
            <w:tcW w:type="dxa" w:w="825"/>
          </w:tcPr>
          <w:p>
            <w:pPr>
              <w:jc w:val="center"/>
            </w:pPr>
            <w:r>
              <w:rPr>
                <w:sz w:val="15"/>
              </w:rPr>
              <w:t>0.5526</w:t>
            </w:r>
          </w:p>
        </w:tc>
        <w:tc>
          <w:tcPr>
            <w:tcW w:type="dxa" w:w="825"/>
          </w:tcPr>
          <w:p>
            <w:pPr>
              <w:jc w:val="center"/>
            </w:pPr>
            <w:r>
              <w:rPr>
                <w:sz w:val="15"/>
              </w:rPr>
              <w:t>0.2716</w:t>
            </w:r>
          </w:p>
        </w:tc>
        <w:tc>
          <w:tcPr>
            <w:tcW w:type="dxa" w:w="825"/>
          </w:tcPr>
          <w:p>
            <w:pPr>
              <w:jc w:val="center"/>
            </w:pPr>
            <w:r>
              <w:rPr>
                <w:sz w:val="15"/>
              </w:rPr>
              <w:t>0.3642</w:t>
            </w:r>
          </w:p>
        </w:tc>
        <w:tc>
          <w:tcPr>
            <w:tcW w:type="dxa" w:w="825"/>
          </w:tcPr>
          <w:p>
            <w:pPr>
              <w:jc w:val="center"/>
            </w:pPr>
            <w:r>
              <w:rPr>
                <w:sz w:val="15"/>
              </w:rPr>
              <w:t>0.7805</w:t>
            </w:r>
          </w:p>
        </w:tc>
        <w:tc>
          <w:tcPr>
            <w:tcW w:type="dxa" w:w="825"/>
          </w:tcPr>
          <w:p>
            <w:pPr>
              <w:jc w:val="center"/>
            </w:pPr>
            <w:r>
              <w:rPr>
                <w:sz w:val="15"/>
              </w:rPr>
              <w:t>0.3649</w:t>
            </w:r>
          </w:p>
        </w:tc>
        <w:tc>
          <w:tcPr>
            <w:tcW w:type="dxa" w:w="825"/>
          </w:tcPr>
          <w:p>
            <w:pPr>
              <w:jc w:val="center"/>
            </w:pPr>
            <w:r>
              <w:rPr>
                <w:sz w:val="15"/>
              </w:rPr>
              <w:t>0.0139</w:t>
            </w:r>
          </w:p>
        </w:tc>
        <w:tc>
          <w:tcPr>
            <w:tcW w:type="dxa" w:w="825"/>
          </w:tcPr>
          <w:p>
            <w:pPr>
              <w:jc w:val="center"/>
            </w:pPr>
            <w:r>
              <w:rPr>
                <w:sz w:val="15"/>
              </w:rPr>
              <w:t>0.7739</w:t>
            </w:r>
          </w:p>
        </w:tc>
      </w:tr>
      <w:tr>
        <w:tc>
          <w:tcPr>
            <w:tcW w:type="dxa" w:w="825"/>
          </w:tcPr>
          <w:p>
            <w:pPr>
              <w:jc w:val="center"/>
            </w:pPr>
            <w:r>
              <w:rPr>
                <w:sz w:val="15"/>
              </w:rPr>
              <w:t>Baseline</w:t>
            </w:r>
          </w:p>
        </w:tc>
        <w:tc>
          <w:tcPr>
            <w:tcW w:type="dxa" w:w="825"/>
          </w:tcPr>
          <w:p>
            <w:pPr>
              <w:jc w:val="center"/>
            </w:pPr>
            <w:r>
              <w:rPr>
                <w:sz w:val="15"/>
              </w:rPr>
              <w:t>OHE</w:t>
            </w:r>
          </w:p>
        </w:tc>
        <w:tc>
          <w:tcPr>
            <w:tcW w:type="dxa" w:w="825"/>
          </w:tcPr>
          <w:p>
            <w:pPr>
              <w:jc w:val="center"/>
            </w:pPr>
            <w:r>
              <w:rPr>
                <w:sz w:val="15"/>
              </w:rPr>
              <w:t>SMOTE</w:t>
            </w:r>
          </w:p>
        </w:tc>
        <w:tc>
          <w:tcPr>
            <w:tcW w:type="dxa" w:w="825"/>
          </w:tcPr>
          <w:p>
            <w:pPr>
              <w:jc w:val="center"/>
            </w:pPr>
            <w:r>
              <w:rPr>
                <w:sz w:val="15"/>
              </w:rPr>
              <w:t>0.8873</w:t>
            </w:r>
          </w:p>
        </w:tc>
        <w:tc>
          <w:tcPr>
            <w:tcW w:type="dxa" w:w="825"/>
          </w:tcPr>
          <w:p>
            <w:pPr>
              <w:jc w:val="center"/>
            </w:pPr>
            <w:r>
              <w:rPr>
                <w:sz w:val="15"/>
              </w:rPr>
              <w:t>0.0000</w:t>
            </w:r>
          </w:p>
        </w:tc>
        <w:tc>
          <w:tcPr>
            <w:tcW w:type="dxa" w:w="825"/>
          </w:tcPr>
          <w:p>
            <w:pPr>
              <w:jc w:val="center"/>
            </w:pPr>
            <w:r>
              <w:rPr>
                <w:sz w:val="15"/>
              </w:rPr>
              <w:t>0.0000</w:t>
            </w:r>
          </w:p>
        </w:tc>
        <w:tc>
          <w:tcPr>
            <w:tcW w:type="dxa" w:w="825"/>
          </w:tcPr>
          <w:p>
            <w:pPr>
              <w:jc w:val="center"/>
            </w:pPr>
            <w:r>
              <w:rPr>
                <w:sz w:val="15"/>
              </w:rPr>
              <w:t>0.0000</w:t>
            </w:r>
          </w:p>
        </w:tc>
        <w:tc>
          <w:tcPr>
            <w:tcW w:type="dxa" w:w="825"/>
          </w:tcPr>
          <w:p>
            <w:pPr>
              <w:jc w:val="center"/>
            </w:pPr>
            <w:r>
              <w:rPr>
                <w:sz w:val="15"/>
              </w:rPr>
              <w:t>0.5000</w:t>
            </w:r>
          </w:p>
        </w:tc>
        <w:tc>
          <w:tcPr>
            <w:tcW w:type="dxa" w:w="825"/>
          </w:tcPr>
          <w:p>
            <w:pPr>
              <w:jc w:val="center"/>
            </w:pPr>
            <w:r>
              <w:rPr>
                <w:sz w:val="15"/>
              </w:rPr>
              <w:t>0.0000</w:t>
            </w:r>
          </w:p>
        </w:tc>
        <w:tc>
          <w:tcPr>
            <w:tcW w:type="dxa" w:w="825"/>
          </w:tcPr>
          <w:p>
            <w:pPr>
              <w:jc w:val="center"/>
            </w:pPr>
            <w:r>
              <w:rPr>
                <w:sz w:val="15"/>
              </w:rPr>
              <w:t>0.0000</w:t>
            </w:r>
          </w:p>
        </w:tc>
        <w:tc>
          <w:tcPr>
            <w:tcW w:type="dxa" w:w="825"/>
          </w:tcPr>
          <w:p>
            <w:pPr>
              <w:jc w:val="center"/>
            </w:pPr>
            <w:r>
              <w:rPr>
                <w:sz w:val="15"/>
              </w:rPr>
              <w:t>0.5000</w:t>
            </w:r>
          </w:p>
        </w:tc>
      </w:tr>
      <w:tr>
        <w:tc>
          <w:tcPr>
            <w:tcW w:type="dxa" w:w="825"/>
          </w:tcPr>
          <w:p>
            <w:pPr>
              <w:jc w:val="center"/>
            </w:pPr>
            <w:r>
              <w:rPr>
                <w:sz w:val="15"/>
              </w:rPr>
              <w:t>LogisticRegression</w:t>
            </w:r>
          </w:p>
        </w:tc>
        <w:tc>
          <w:tcPr>
            <w:tcW w:type="dxa" w:w="825"/>
          </w:tcPr>
          <w:p>
            <w:pPr>
              <w:jc w:val="center"/>
            </w:pPr>
            <w:r>
              <w:rPr>
                <w:sz w:val="15"/>
              </w:rPr>
              <w:t>OHE</w:t>
            </w:r>
          </w:p>
        </w:tc>
        <w:tc>
          <w:tcPr>
            <w:tcW w:type="dxa" w:w="825"/>
          </w:tcPr>
          <w:p>
            <w:pPr>
              <w:jc w:val="center"/>
            </w:pPr>
            <w:r>
              <w:rPr>
                <w:sz w:val="15"/>
              </w:rPr>
              <w:t>SMOTE</w:t>
            </w:r>
          </w:p>
        </w:tc>
        <w:tc>
          <w:tcPr>
            <w:tcW w:type="dxa" w:w="825"/>
          </w:tcPr>
          <w:p>
            <w:pPr>
              <w:jc w:val="center"/>
            </w:pPr>
            <w:r>
              <w:rPr>
                <w:sz w:val="15"/>
              </w:rPr>
              <w:t>0.8289</w:t>
            </w:r>
          </w:p>
        </w:tc>
        <w:tc>
          <w:tcPr>
            <w:tcW w:type="dxa" w:w="825"/>
          </w:tcPr>
          <w:p>
            <w:pPr>
              <w:jc w:val="center"/>
            </w:pPr>
            <w:r>
              <w:rPr>
                <w:sz w:val="15"/>
              </w:rPr>
              <w:t>0.3583</w:t>
            </w:r>
          </w:p>
        </w:tc>
        <w:tc>
          <w:tcPr>
            <w:tcW w:type="dxa" w:w="825"/>
          </w:tcPr>
          <w:p>
            <w:pPr>
              <w:jc w:val="center"/>
            </w:pPr>
            <w:r>
              <w:rPr>
                <w:sz w:val="15"/>
              </w:rPr>
              <w:t>0.6552</w:t>
            </w:r>
          </w:p>
        </w:tc>
        <w:tc>
          <w:tcPr>
            <w:tcW w:type="dxa" w:w="825"/>
          </w:tcPr>
          <w:p>
            <w:pPr>
              <w:jc w:val="center"/>
            </w:pPr>
            <w:r>
              <w:rPr>
                <w:sz w:val="15"/>
              </w:rPr>
              <w:t>0.4632</w:t>
            </w:r>
          </w:p>
        </w:tc>
        <w:tc>
          <w:tcPr>
            <w:tcW w:type="dxa" w:w="825"/>
          </w:tcPr>
          <w:p>
            <w:pPr>
              <w:jc w:val="center"/>
            </w:pPr>
            <w:r>
              <w:rPr>
                <w:sz w:val="15"/>
              </w:rPr>
              <w:t>0.7971</w:t>
            </w:r>
          </w:p>
        </w:tc>
        <w:tc>
          <w:tcPr>
            <w:tcW w:type="dxa" w:w="825"/>
          </w:tcPr>
          <w:p>
            <w:pPr>
              <w:jc w:val="center"/>
            </w:pPr>
            <w:r>
              <w:rPr>
                <w:sz w:val="15"/>
              </w:rPr>
              <w:t>0.3405</w:t>
            </w:r>
          </w:p>
        </w:tc>
        <w:tc>
          <w:tcPr>
            <w:tcW w:type="dxa" w:w="825"/>
          </w:tcPr>
          <w:p>
            <w:pPr>
              <w:jc w:val="center"/>
            </w:pPr>
            <w:r>
              <w:rPr>
                <w:sz w:val="15"/>
              </w:rPr>
              <w:t>0.0059</w:t>
            </w:r>
          </w:p>
        </w:tc>
        <w:tc>
          <w:tcPr>
            <w:tcW w:type="dxa" w:w="825"/>
          </w:tcPr>
          <w:p>
            <w:pPr>
              <w:jc w:val="center"/>
            </w:pPr>
            <w:r>
              <w:rPr>
                <w:sz w:val="15"/>
              </w:rPr>
              <w:t>0.7901</w:t>
            </w:r>
          </w:p>
        </w:tc>
      </w:tr>
      <w:tr>
        <w:tc>
          <w:tcPr>
            <w:tcW w:type="dxa" w:w="825"/>
          </w:tcPr>
          <w:p>
            <w:pPr>
              <w:jc w:val="center"/>
            </w:pPr>
            <w:r>
              <w:rPr>
                <w:sz w:val="15"/>
              </w:rPr>
              <w:t>DecisionTree</w:t>
            </w:r>
          </w:p>
        </w:tc>
        <w:tc>
          <w:tcPr>
            <w:tcW w:type="dxa" w:w="825"/>
          </w:tcPr>
          <w:p>
            <w:pPr>
              <w:jc w:val="center"/>
            </w:pPr>
            <w:r>
              <w:rPr>
                <w:sz w:val="15"/>
              </w:rPr>
              <w:t>OHE</w:t>
            </w:r>
          </w:p>
        </w:tc>
        <w:tc>
          <w:tcPr>
            <w:tcW w:type="dxa" w:w="825"/>
          </w:tcPr>
          <w:p>
            <w:pPr>
              <w:jc w:val="center"/>
            </w:pPr>
            <w:r>
              <w:rPr>
                <w:sz w:val="15"/>
              </w:rPr>
              <w:t>SMOTE</w:t>
            </w:r>
          </w:p>
        </w:tc>
        <w:tc>
          <w:tcPr>
            <w:tcW w:type="dxa" w:w="825"/>
          </w:tcPr>
          <w:p>
            <w:pPr>
              <w:jc w:val="center"/>
            </w:pPr>
            <w:r>
              <w:rPr>
                <w:sz w:val="15"/>
              </w:rPr>
              <w:t>0.8456</w:t>
            </w:r>
          </w:p>
        </w:tc>
        <w:tc>
          <w:tcPr>
            <w:tcW w:type="dxa" w:w="825"/>
          </w:tcPr>
          <w:p>
            <w:pPr>
              <w:jc w:val="center"/>
            </w:pPr>
            <w:r>
              <w:rPr>
                <w:sz w:val="15"/>
              </w:rPr>
              <w:t>0.3280</w:t>
            </w:r>
          </w:p>
        </w:tc>
        <w:tc>
          <w:tcPr>
            <w:tcW w:type="dxa" w:w="825"/>
          </w:tcPr>
          <w:p>
            <w:pPr>
              <w:jc w:val="center"/>
            </w:pPr>
            <w:r>
              <w:rPr>
                <w:sz w:val="15"/>
              </w:rPr>
              <w:t>0.3534</w:t>
            </w:r>
          </w:p>
        </w:tc>
        <w:tc>
          <w:tcPr>
            <w:tcW w:type="dxa" w:w="825"/>
          </w:tcPr>
          <w:p>
            <w:pPr>
              <w:jc w:val="center"/>
            </w:pPr>
            <w:r>
              <w:rPr>
                <w:sz w:val="15"/>
              </w:rPr>
              <w:t>0.3402</w:t>
            </w:r>
          </w:p>
        </w:tc>
        <w:tc>
          <w:tcPr>
            <w:tcW w:type="dxa" w:w="825"/>
          </w:tcPr>
          <w:p>
            <w:pPr>
              <w:jc w:val="center"/>
            </w:pPr>
            <w:r>
              <w:rPr>
                <w:sz w:val="15"/>
              </w:rPr>
              <w:t>0.6338</w:t>
            </w:r>
          </w:p>
        </w:tc>
        <w:tc>
          <w:tcPr>
            <w:tcW w:type="dxa" w:w="825"/>
          </w:tcPr>
          <w:p>
            <w:pPr>
              <w:jc w:val="center"/>
            </w:pPr>
            <w:r>
              <w:rPr>
                <w:sz w:val="15"/>
              </w:rPr>
              <w:t>0.3287</w:t>
            </w:r>
          </w:p>
        </w:tc>
        <w:tc>
          <w:tcPr>
            <w:tcW w:type="dxa" w:w="825"/>
          </w:tcPr>
          <w:p>
            <w:pPr>
              <w:jc w:val="center"/>
            </w:pPr>
            <w:r>
              <w:rPr>
                <w:sz w:val="15"/>
              </w:rPr>
              <w:t>0.0153</w:t>
            </w:r>
          </w:p>
        </w:tc>
        <w:tc>
          <w:tcPr>
            <w:tcW w:type="dxa" w:w="825"/>
          </w:tcPr>
          <w:p>
            <w:pPr>
              <w:jc w:val="center"/>
            </w:pPr>
            <w:r>
              <w:rPr>
                <w:sz w:val="15"/>
              </w:rPr>
              <w:t>0.6285</w:t>
            </w:r>
          </w:p>
        </w:tc>
      </w:tr>
      <w:tr>
        <w:tc>
          <w:tcPr>
            <w:tcW w:type="dxa" w:w="825"/>
          </w:tcPr>
          <w:p>
            <w:pPr>
              <w:jc w:val="center"/>
            </w:pPr>
            <w:r>
              <w:rPr>
                <w:sz w:val="15"/>
              </w:rPr>
              <w:t>RandomForest</w:t>
            </w:r>
          </w:p>
        </w:tc>
        <w:tc>
          <w:tcPr>
            <w:tcW w:type="dxa" w:w="825"/>
          </w:tcPr>
          <w:p>
            <w:pPr>
              <w:jc w:val="center"/>
            </w:pPr>
            <w:r>
              <w:rPr>
                <w:sz w:val="15"/>
              </w:rPr>
              <w:t>OHE</w:t>
            </w:r>
          </w:p>
        </w:tc>
        <w:tc>
          <w:tcPr>
            <w:tcW w:type="dxa" w:w="825"/>
          </w:tcPr>
          <w:p>
            <w:pPr>
              <w:jc w:val="center"/>
            </w:pPr>
            <w:r>
              <w:rPr>
                <w:sz w:val="15"/>
              </w:rPr>
              <w:t>SMOTE</w:t>
            </w:r>
          </w:p>
        </w:tc>
        <w:tc>
          <w:tcPr>
            <w:tcW w:type="dxa" w:w="825"/>
          </w:tcPr>
          <w:p>
            <w:pPr>
              <w:jc w:val="center"/>
            </w:pPr>
            <w:r>
              <w:rPr>
                <w:sz w:val="15"/>
              </w:rPr>
              <w:t>0.8888</w:t>
            </w:r>
          </w:p>
        </w:tc>
        <w:tc>
          <w:tcPr>
            <w:tcW w:type="dxa" w:w="825"/>
          </w:tcPr>
          <w:p>
            <w:pPr>
              <w:jc w:val="center"/>
            </w:pPr>
            <w:r>
              <w:rPr>
                <w:sz w:val="15"/>
              </w:rPr>
              <w:t>0.5104</w:t>
            </w:r>
          </w:p>
        </w:tc>
        <w:tc>
          <w:tcPr>
            <w:tcW w:type="dxa" w:w="825"/>
          </w:tcPr>
          <w:p>
            <w:pPr>
              <w:jc w:val="center"/>
            </w:pPr>
            <w:r>
              <w:rPr>
                <w:sz w:val="15"/>
              </w:rPr>
              <w:t>0.3179</w:t>
            </w:r>
          </w:p>
        </w:tc>
        <w:tc>
          <w:tcPr>
            <w:tcW w:type="dxa" w:w="825"/>
          </w:tcPr>
          <w:p>
            <w:pPr>
              <w:jc w:val="center"/>
            </w:pPr>
            <w:r>
              <w:rPr>
                <w:sz w:val="15"/>
              </w:rPr>
              <w:t>0.3918</w:t>
            </w:r>
          </w:p>
        </w:tc>
        <w:tc>
          <w:tcPr>
            <w:tcW w:type="dxa" w:w="825"/>
          </w:tcPr>
          <w:p>
            <w:pPr>
              <w:jc w:val="center"/>
            </w:pPr>
            <w:r>
              <w:rPr>
                <w:sz w:val="15"/>
              </w:rPr>
              <w:t>0.7763</w:t>
            </w:r>
          </w:p>
        </w:tc>
        <w:tc>
          <w:tcPr>
            <w:tcW w:type="dxa" w:w="825"/>
          </w:tcPr>
          <w:p>
            <w:pPr>
              <w:jc w:val="center"/>
            </w:pPr>
            <w:r>
              <w:rPr>
                <w:sz w:val="15"/>
              </w:rPr>
              <w:t>0.3737</w:t>
            </w:r>
          </w:p>
        </w:tc>
        <w:tc>
          <w:tcPr>
            <w:tcW w:type="dxa" w:w="825"/>
          </w:tcPr>
          <w:p>
            <w:pPr>
              <w:jc w:val="center"/>
            </w:pPr>
            <w:r>
              <w:rPr>
                <w:sz w:val="15"/>
              </w:rPr>
              <w:t>0.0056</w:t>
            </w:r>
          </w:p>
        </w:tc>
        <w:tc>
          <w:tcPr>
            <w:tcW w:type="dxa" w:w="825"/>
          </w:tcPr>
          <w:p>
            <w:pPr>
              <w:jc w:val="center"/>
            </w:pPr>
            <w:r>
              <w:rPr>
                <w:sz w:val="15"/>
              </w:rPr>
              <w:t>0.7733</w:t>
            </w:r>
          </w:p>
        </w:tc>
      </w:tr>
      <w:tr>
        <w:tc>
          <w:tcPr>
            <w:tcW w:type="dxa" w:w="825"/>
          </w:tcPr>
          <w:p>
            <w:pPr>
              <w:jc w:val="center"/>
            </w:pPr>
            <w:r>
              <w:rPr>
                <w:sz w:val="15"/>
              </w:rPr>
              <w:t>kNN</w:t>
            </w:r>
          </w:p>
        </w:tc>
        <w:tc>
          <w:tcPr>
            <w:tcW w:type="dxa" w:w="825"/>
          </w:tcPr>
          <w:p>
            <w:pPr>
              <w:jc w:val="center"/>
            </w:pPr>
            <w:r>
              <w:rPr>
                <w:sz w:val="15"/>
              </w:rPr>
              <w:t>OHE</w:t>
            </w:r>
          </w:p>
        </w:tc>
        <w:tc>
          <w:tcPr>
            <w:tcW w:type="dxa" w:w="825"/>
          </w:tcPr>
          <w:p>
            <w:pPr>
              <w:jc w:val="center"/>
            </w:pPr>
            <w:r>
              <w:rPr>
                <w:sz w:val="15"/>
              </w:rPr>
              <w:t>SMOTE</w:t>
            </w:r>
          </w:p>
        </w:tc>
        <w:tc>
          <w:tcPr>
            <w:tcW w:type="dxa" w:w="825"/>
          </w:tcPr>
          <w:p>
            <w:pPr>
              <w:jc w:val="center"/>
            </w:pPr>
            <w:r>
              <w:rPr>
                <w:sz w:val="15"/>
              </w:rPr>
              <w:t>0.7961</w:t>
            </w:r>
          </w:p>
        </w:tc>
        <w:tc>
          <w:tcPr>
            <w:tcW w:type="dxa" w:w="825"/>
          </w:tcPr>
          <w:p>
            <w:pPr>
              <w:jc w:val="center"/>
            </w:pPr>
            <w:r>
              <w:rPr>
                <w:sz w:val="15"/>
              </w:rPr>
              <w:t>0.2920</w:t>
            </w:r>
          </w:p>
        </w:tc>
        <w:tc>
          <w:tcPr>
            <w:tcW w:type="dxa" w:w="825"/>
          </w:tcPr>
          <w:p>
            <w:pPr>
              <w:jc w:val="center"/>
            </w:pPr>
            <w:r>
              <w:rPr>
                <w:sz w:val="15"/>
              </w:rPr>
              <w:t>0.5679</w:t>
            </w:r>
          </w:p>
        </w:tc>
        <w:tc>
          <w:tcPr>
            <w:tcW w:type="dxa" w:w="825"/>
          </w:tcPr>
          <w:p>
            <w:pPr>
              <w:jc w:val="center"/>
            </w:pPr>
            <w:r>
              <w:rPr>
                <w:sz w:val="15"/>
              </w:rPr>
              <w:t>0.3857</w:t>
            </w:r>
          </w:p>
        </w:tc>
        <w:tc>
          <w:tcPr>
            <w:tcW w:type="dxa" w:w="825"/>
          </w:tcPr>
          <w:p>
            <w:pPr>
              <w:jc w:val="center"/>
            </w:pPr>
            <w:r>
              <w:rPr>
                <w:sz w:val="15"/>
              </w:rPr>
              <w:t>0.7361</w:t>
            </w:r>
          </w:p>
        </w:tc>
        <w:tc>
          <w:tcPr>
            <w:tcW w:type="dxa" w:w="825"/>
          </w:tcPr>
          <w:p>
            <w:pPr>
              <w:jc w:val="center"/>
            </w:pPr>
            <w:r>
              <w:rPr>
                <w:sz w:val="15"/>
              </w:rPr>
              <w:t>0.3551</w:t>
            </w:r>
          </w:p>
        </w:tc>
        <w:tc>
          <w:tcPr>
            <w:tcW w:type="dxa" w:w="825"/>
          </w:tcPr>
          <w:p>
            <w:pPr>
              <w:jc w:val="center"/>
            </w:pPr>
            <w:r>
              <w:rPr>
                <w:sz w:val="15"/>
              </w:rPr>
              <w:t>0.0132</w:t>
            </w:r>
          </w:p>
        </w:tc>
        <w:tc>
          <w:tcPr>
            <w:tcW w:type="dxa" w:w="825"/>
          </w:tcPr>
          <w:p>
            <w:pPr>
              <w:jc w:val="center"/>
            </w:pPr>
            <w:r>
              <w:rPr>
                <w:sz w:val="15"/>
              </w:rPr>
              <w:t>0.7180</w:t>
            </w:r>
          </w:p>
        </w:tc>
      </w:tr>
      <w:tr>
        <w:tc>
          <w:tcPr>
            <w:tcW w:type="dxa" w:w="825"/>
          </w:tcPr>
          <w:p>
            <w:pPr>
              <w:jc w:val="center"/>
            </w:pPr>
            <w:r>
              <w:rPr>
                <w:sz w:val="15"/>
              </w:rPr>
              <w:t>NaiveBayes</w:t>
            </w:r>
          </w:p>
        </w:tc>
        <w:tc>
          <w:tcPr>
            <w:tcW w:type="dxa" w:w="825"/>
          </w:tcPr>
          <w:p>
            <w:pPr>
              <w:jc w:val="center"/>
            </w:pPr>
            <w:r>
              <w:rPr>
                <w:sz w:val="15"/>
              </w:rPr>
              <w:t>OHE</w:t>
            </w:r>
          </w:p>
        </w:tc>
        <w:tc>
          <w:tcPr>
            <w:tcW w:type="dxa" w:w="825"/>
          </w:tcPr>
          <w:p>
            <w:pPr>
              <w:jc w:val="center"/>
            </w:pPr>
            <w:r>
              <w:rPr>
                <w:sz w:val="15"/>
              </w:rPr>
              <w:t>SMOTE</w:t>
            </w:r>
          </w:p>
        </w:tc>
        <w:tc>
          <w:tcPr>
            <w:tcW w:type="dxa" w:w="825"/>
          </w:tcPr>
          <w:p>
            <w:pPr>
              <w:jc w:val="center"/>
            </w:pPr>
            <w:r>
              <w:rPr>
                <w:sz w:val="15"/>
              </w:rPr>
              <w:t>0.8428</w:t>
            </w:r>
          </w:p>
        </w:tc>
        <w:tc>
          <w:tcPr>
            <w:tcW w:type="dxa" w:w="825"/>
          </w:tcPr>
          <w:p>
            <w:pPr>
              <w:jc w:val="center"/>
            </w:pPr>
            <w:r>
              <w:rPr>
                <w:sz w:val="15"/>
              </w:rPr>
              <w:t>0.3654</w:t>
            </w:r>
          </w:p>
        </w:tc>
        <w:tc>
          <w:tcPr>
            <w:tcW w:type="dxa" w:w="825"/>
          </w:tcPr>
          <w:p>
            <w:pPr>
              <w:jc w:val="center"/>
            </w:pPr>
            <w:r>
              <w:rPr>
                <w:sz w:val="15"/>
              </w:rPr>
              <w:t>0.5366</w:t>
            </w:r>
          </w:p>
        </w:tc>
        <w:tc>
          <w:tcPr>
            <w:tcW w:type="dxa" w:w="825"/>
          </w:tcPr>
          <w:p>
            <w:pPr>
              <w:jc w:val="center"/>
            </w:pPr>
            <w:r>
              <w:rPr>
                <w:sz w:val="15"/>
              </w:rPr>
              <w:t>0.4347</w:t>
            </w:r>
          </w:p>
        </w:tc>
        <w:tc>
          <w:tcPr>
            <w:tcW w:type="dxa" w:w="825"/>
          </w:tcPr>
          <w:p>
            <w:pPr>
              <w:jc w:val="center"/>
            </w:pPr>
            <w:r>
              <w:rPr>
                <w:sz w:val="15"/>
              </w:rPr>
              <w:t>0.7719</w:t>
            </w:r>
          </w:p>
        </w:tc>
        <w:tc>
          <w:tcPr>
            <w:tcW w:type="dxa" w:w="825"/>
          </w:tcPr>
          <w:p>
            <w:pPr>
              <w:jc w:val="center"/>
            </w:pPr>
            <w:r>
              <w:rPr>
                <w:sz w:val="15"/>
              </w:rPr>
              <w:t>0.4178</w:t>
            </w:r>
          </w:p>
        </w:tc>
        <w:tc>
          <w:tcPr>
            <w:tcW w:type="dxa" w:w="825"/>
          </w:tcPr>
          <w:p>
            <w:pPr>
              <w:jc w:val="center"/>
            </w:pPr>
            <w:r>
              <w:rPr>
                <w:sz w:val="15"/>
              </w:rPr>
              <w:t>0.0147</w:t>
            </w:r>
          </w:p>
        </w:tc>
        <w:tc>
          <w:tcPr>
            <w:tcW w:type="dxa" w:w="825"/>
          </w:tcPr>
          <w:p>
            <w:pPr>
              <w:jc w:val="center"/>
            </w:pPr>
            <w:r>
              <w:rPr>
                <w:sz w:val="15"/>
              </w:rPr>
              <w:t>0.7666</w:t>
            </w:r>
          </w:p>
        </w:tc>
      </w:tr>
      <w:tr>
        <w:tc>
          <w:tcPr>
            <w:tcW w:type="dxa" w:w="825"/>
          </w:tcPr>
          <w:p>
            <w:pPr>
              <w:jc w:val="center"/>
            </w:pPr>
            <w:r>
              <w:rPr>
                <w:sz w:val="15"/>
              </w:rPr>
              <w:t>DecisionTree</w:t>
            </w:r>
          </w:p>
        </w:tc>
        <w:tc>
          <w:tcPr>
            <w:tcW w:type="dxa" w:w="825"/>
          </w:tcPr>
          <w:p>
            <w:pPr>
              <w:jc w:val="center"/>
            </w:pPr>
            <w:r>
              <w:rPr>
                <w:sz w:val="15"/>
              </w:rPr>
              <w:t>LE</w:t>
            </w:r>
          </w:p>
        </w:tc>
        <w:tc>
          <w:tcPr>
            <w:tcW w:type="dxa" w:w="825"/>
          </w:tcPr>
          <w:p>
            <w:pPr>
              <w:jc w:val="center"/>
            </w:pPr>
            <w:r>
              <w:rPr>
                <w:sz w:val="15"/>
              </w:rPr>
              <w:t>SMOTE</w:t>
            </w:r>
          </w:p>
        </w:tc>
        <w:tc>
          <w:tcPr>
            <w:tcW w:type="dxa" w:w="825"/>
          </w:tcPr>
          <w:p>
            <w:pPr>
              <w:jc w:val="center"/>
            </w:pPr>
            <w:r>
              <w:rPr>
                <w:sz w:val="15"/>
              </w:rPr>
              <w:t>0.8322</w:t>
            </w:r>
          </w:p>
        </w:tc>
        <w:tc>
          <w:tcPr>
            <w:tcW w:type="dxa" w:w="825"/>
          </w:tcPr>
          <w:p>
            <w:pPr>
              <w:jc w:val="center"/>
            </w:pPr>
            <w:r>
              <w:rPr>
                <w:sz w:val="15"/>
              </w:rPr>
              <w:t>0.2854</w:t>
            </w:r>
          </w:p>
        </w:tc>
        <w:tc>
          <w:tcPr>
            <w:tcW w:type="dxa" w:w="825"/>
          </w:tcPr>
          <w:p>
            <w:pPr>
              <w:jc w:val="center"/>
            </w:pPr>
            <w:r>
              <w:rPr>
                <w:sz w:val="15"/>
              </w:rPr>
              <w:t>0.3254</w:t>
            </w:r>
          </w:p>
        </w:tc>
        <w:tc>
          <w:tcPr>
            <w:tcW w:type="dxa" w:w="825"/>
          </w:tcPr>
          <w:p>
            <w:pPr>
              <w:jc w:val="center"/>
            </w:pPr>
            <w:r>
              <w:rPr>
                <w:sz w:val="15"/>
              </w:rPr>
              <w:t>0.3041</w:t>
            </w:r>
          </w:p>
        </w:tc>
        <w:tc>
          <w:tcPr>
            <w:tcW w:type="dxa" w:w="825"/>
          </w:tcPr>
          <w:p>
            <w:pPr>
              <w:jc w:val="center"/>
            </w:pPr>
            <w:r>
              <w:rPr>
                <w:sz w:val="15"/>
              </w:rPr>
              <w:t>0.6136</w:t>
            </w:r>
          </w:p>
        </w:tc>
        <w:tc>
          <w:tcPr>
            <w:tcW w:type="dxa" w:w="825"/>
          </w:tcPr>
          <w:p>
            <w:pPr>
              <w:jc w:val="center"/>
            </w:pPr>
            <w:r>
              <w:rPr>
                <w:sz w:val="15"/>
              </w:rPr>
              <w:t>0.3263</w:t>
            </w:r>
          </w:p>
        </w:tc>
        <w:tc>
          <w:tcPr>
            <w:tcW w:type="dxa" w:w="825"/>
          </w:tcPr>
          <w:p>
            <w:pPr>
              <w:jc w:val="center"/>
            </w:pPr>
            <w:r>
              <w:rPr>
                <w:sz w:val="15"/>
              </w:rPr>
              <w:t>0.0125</w:t>
            </w:r>
          </w:p>
        </w:tc>
        <w:tc>
          <w:tcPr>
            <w:tcW w:type="dxa" w:w="825"/>
          </w:tcPr>
          <w:p>
            <w:pPr>
              <w:jc w:val="center"/>
            </w:pPr>
            <w:r>
              <w:rPr>
                <w:sz w:val="15"/>
              </w:rPr>
              <w:t>0.6267</w:t>
            </w:r>
          </w:p>
        </w:tc>
      </w:tr>
      <w:tr>
        <w:tc>
          <w:tcPr>
            <w:tcW w:type="dxa" w:w="825"/>
          </w:tcPr>
          <w:p>
            <w:pPr>
              <w:jc w:val="center"/>
            </w:pPr>
            <w:r>
              <w:rPr>
                <w:sz w:val="15"/>
              </w:rPr>
              <w:t>RandomForest</w:t>
            </w:r>
          </w:p>
        </w:tc>
        <w:tc>
          <w:tcPr>
            <w:tcW w:type="dxa" w:w="825"/>
          </w:tcPr>
          <w:p>
            <w:pPr>
              <w:jc w:val="center"/>
            </w:pPr>
            <w:r>
              <w:rPr>
                <w:sz w:val="15"/>
              </w:rPr>
              <w:t>LE</w:t>
            </w:r>
          </w:p>
        </w:tc>
        <w:tc>
          <w:tcPr>
            <w:tcW w:type="dxa" w:w="825"/>
          </w:tcPr>
          <w:p>
            <w:pPr>
              <w:jc w:val="center"/>
            </w:pPr>
            <w:r>
              <w:rPr>
                <w:sz w:val="15"/>
              </w:rPr>
              <w:t>SMOTE</w:t>
            </w:r>
          </w:p>
        </w:tc>
        <w:tc>
          <w:tcPr>
            <w:tcW w:type="dxa" w:w="825"/>
          </w:tcPr>
          <w:p>
            <w:pPr>
              <w:jc w:val="center"/>
            </w:pPr>
            <w:r>
              <w:rPr>
                <w:sz w:val="15"/>
              </w:rPr>
              <w:t>0.8905</w:t>
            </w:r>
          </w:p>
        </w:tc>
        <w:tc>
          <w:tcPr>
            <w:tcW w:type="dxa" w:w="825"/>
          </w:tcPr>
          <w:p>
            <w:pPr>
              <w:jc w:val="center"/>
            </w:pPr>
            <w:r>
              <w:rPr>
                <w:sz w:val="15"/>
              </w:rPr>
              <w:t>0.5217</w:t>
            </w:r>
          </w:p>
        </w:tc>
        <w:tc>
          <w:tcPr>
            <w:tcW w:type="dxa" w:w="825"/>
          </w:tcPr>
          <w:p>
            <w:pPr>
              <w:jc w:val="center"/>
            </w:pPr>
            <w:r>
              <w:rPr>
                <w:sz w:val="15"/>
              </w:rPr>
              <w:t>0.3362</w:t>
            </w:r>
          </w:p>
        </w:tc>
        <w:tc>
          <w:tcPr>
            <w:tcW w:type="dxa" w:w="825"/>
          </w:tcPr>
          <w:p>
            <w:pPr>
              <w:jc w:val="center"/>
            </w:pPr>
            <w:r>
              <w:rPr>
                <w:sz w:val="15"/>
              </w:rPr>
              <w:t>0.4089</w:t>
            </w:r>
          </w:p>
        </w:tc>
        <w:tc>
          <w:tcPr>
            <w:tcW w:type="dxa" w:w="825"/>
          </w:tcPr>
          <w:p>
            <w:pPr>
              <w:jc w:val="center"/>
            </w:pPr>
            <w:r>
              <w:rPr>
                <w:sz w:val="15"/>
              </w:rPr>
              <w:t>0.7794</w:t>
            </w:r>
          </w:p>
        </w:tc>
        <w:tc>
          <w:tcPr>
            <w:tcW w:type="dxa" w:w="825"/>
          </w:tcPr>
          <w:p>
            <w:pPr>
              <w:jc w:val="center"/>
            </w:pPr>
            <w:r>
              <w:rPr>
                <w:sz w:val="15"/>
              </w:rPr>
              <w:t>0.3786</w:t>
            </w:r>
          </w:p>
        </w:tc>
        <w:tc>
          <w:tcPr>
            <w:tcW w:type="dxa" w:w="825"/>
          </w:tcPr>
          <w:p>
            <w:pPr>
              <w:jc w:val="center"/>
            </w:pPr>
            <w:r>
              <w:rPr>
                <w:sz w:val="15"/>
              </w:rPr>
              <w:t>0.0126</w:t>
            </w:r>
          </w:p>
        </w:tc>
        <w:tc>
          <w:tcPr>
            <w:tcW w:type="dxa" w:w="825"/>
          </w:tcPr>
          <w:p>
            <w:pPr>
              <w:jc w:val="center"/>
            </w:pPr>
            <w:r>
              <w:rPr>
                <w:sz w:val="15"/>
              </w:rPr>
              <w:t>0.7747</w:t>
            </w:r>
          </w:p>
        </w:tc>
      </w:tr>
      <w:tr>
        <w:tc>
          <w:tcPr>
            <w:tcW w:type="dxa" w:w="825"/>
            <w:shd w:val="clear" w:color="auto" w:fill="E2EFDA"/>
          </w:tcPr>
          <w:p>
            <w:pPr>
              <w:jc w:val="center"/>
            </w:pPr>
            <w:r>
              <w:rPr>
                <w:b/>
                <w:sz w:val="15"/>
              </w:rPr>
              <w:t>RandomForest_Tuned</w:t>
            </w:r>
          </w:p>
        </w:tc>
        <w:tc>
          <w:tcPr>
            <w:tcW w:type="dxa" w:w="825"/>
            <w:shd w:val="clear" w:color="auto" w:fill="E2EFDA"/>
          </w:tcPr>
          <w:p>
            <w:pPr>
              <w:jc w:val="center"/>
            </w:pPr>
            <w:r>
              <w:rPr>
                <w:b/>
                <w:sz w:val="15"/>
              </w:rPr>
              <w:t>OHE</w:t>
            </w:r>
          </w:p>
        </w:tc>
        <w:tc>
          <w:tcPr>
            <w:tcW w:type="dxa" w:w="825"/>
            <w:shd w:val="clear" w:color="auto" w:fill="E2EFDA"/>
          </w:tcPr>
          <w:p>
            <w:pPr>
              <w:jc w:val="center"/>
            </w:pPr>
            <w:r>
              <w:rPr>
                <w:b/>
                <w:sz w:val="15"/>
              </w:rPr>
              <w:t>Tuned</w:t>
            </w:r>
          </w:p>
        </w:tc>
        <w:tc>
          <w:tcPr>
            <w:tcW w:type="dxa" w:w="825"/>
            <w:shd w:val="clear" w:color="auto" w:fill="E2EFDA"/>
          </w:tcPr>
          <w:p>
            <w:pPr>
              <w:jc w:val="center"/>
            </w:pPr>
            <w:r>
              <w:rPr>
                <w:b/>
                <w:sz w:val="15"/>
              </w:rPr>
              <w:t>0.9008</w:t>
            </w:r>
          </w:p>
        </w:tc>
        <w:tc>
          <w:tcPr>
            <w:tcW w:type="dxa" w:w="825"/>
            <w:shd w:val="clear" w:color="auto" w:fill="E2EFDA"/>
          </w:tcPr>
          <w:p>
            <w:pPr>
              <w:jc w:val="center"/>
            </w:pPr>
            <w:r>
              <w:rPr>
                <w:b/>
                <w:sz w:val="15"/>
              </w:rPr>
              <w:t>0.6740</w:t>
            </w:r>
          </w:p>
        </w:tc>
        <w:tc>
          <w:tcPr>
            <w:tcW w:type="dxa" w:w="825"/>
            <w:shd w:val="clear" w:color="auto" w:fill="E2EFDA"/>
          </w:tcPr>
          <w:p>
            <w:pPr>
              <w:jc w:val="center"/>
            </w:pPr>
            <w:r>
              <w:rPr>
                <w:b/>
                <w:sz w:val="15"/>
              </w:rPr>
              <w:t>0.2317</w:t>
            </w:r>
          </w:p>
        </w:tc>
        <w:tc>
          <w:tcPr>
            <w:tcW w:type="dxa" w:w="825"/>
            <w:shd w:val="clear" w:color="auto" w:fill="E2EFDA"/>
          </w:tcPr>
          <w:p>
            <w:pPr>
              <w:jc w:val="center"/>
            </w:pPr>
            <w:r>
              <w:rPr>
                <w:b/>
                <w:sz w:val="15"/>
              </w:rPr>
              <w:t>0.3448</w:t>
            </w:r>
          </w:p>
        </w:tc>
        <w:tc>
          <w:tcPr>
            <w:tcW w:type="dxa" w:w="825"/>
            <w:shd w:val="clear" w:color="auto" w:fill="E2EFDA"/>
          </w:tcPr>
          <w:p>
            <w:pPr>
              <w:jc w:val="center"/>
            </w:pPr>
            <w:r>
              <w:rPr>
                <w:b/>
                <w:sz w:val="15"/>
              </w:rPr>
              <w:t>0.8092</w:t>
            </w:r>
          </w:p>
        </w:tc>
        <w:tc>
          <w:tcPr>
            <w:tcW w:type="dxa" w:w="825"/>
            <w:shd w:val="clear" w:color="auto" w:fill="E2EFDA"/>
          </w:tcPr>
          <w:p>
            <w:pPr>
              <w:jc w:val="center"/>
            </w:pPr>
            <w:r>
              <w:rPr>
                <w:b/>
                <w:sz w:val="15"/>
              </w:rPr>
              <w:t>—</w:t>
            </w:r>
          </w:p>
        </w:tc>
        <w:tc>
          <w:tcPr>
            <w:tcW w:type="dxa" w:w="825"/>
            <w:shd w:val="clear" w:color="auto" w:fill="E2EFDA"/>
          </w:tcPr>
          <w:p>
            <w:pPr>
              <w:jc w:val="center"/>
            </w:pPr>
            <w:r>
              <w:rPr>
                <w:b/>
                <w:sz w:val="15"/>
              </w:rPr>
              <w:t>—</w:t>
            </w:r>
          </w:p>
        </w:tc>
        <w:tc>
          <w:tcPr>
            <w:tcW w:type="dxa" w:w="825"/>
            <w:shd w:val="clear" w:color="auto" w:fill="E2EFDA"/>
          </w:tcPr>
          <w:p>
            <w:pPr>
              <w:jc w:val="center"/>
            </w:pPr>
            <w:r>
              <w:rPr>
                <w:b/>
                <w:sz w:val="15"/>
              </w:rPr>
              <w:t>—</w:t>
            </w:r>
          </w:p>
        </w:tc>
      </w:tr>
    </w:tbl>
    <w:p>
      <w:pPr>
        <w:jc w:val="center"/>
      </w:pPr>
      <w:r>
        <w:rPr>
          <w:i/>
          <w:sz w:val="18"/>
        </w:rPr>
        <w:t>Table 2. Full results. Green = best ROC-AUC.</w:t>
      </w:r>
    </w:p>
    <w:p/>
    <w:p>
      <w:pPr>
        <w:pStyle w:val="Heading2"/>
        <w:jc w:val="left"/>
      </w:pPr>
      <w:r>
        <w:rPr>
          <w:color w:val="1F497D"/>
        </w:rPr>
        <w:t>3.3  ROC and Precision-Recall Curves</w:t>
      </w:r>
    </w:p>
    <w:p>
      <w:pPr>
        <w:jc w:val="both"/>
      </w:pPr>
      <w:r>
        <w:rPr>
          <w:b w:val="0"/>
          <w:i w:val="0"/>
          <w:sz w:val="22"/>
        </w:rPr>
        <w:t>Figure 1 shows ROC curves; Figure 2 shows Precision-Recall curves. PR curves are more informative under class imbalance than ROC curves, as they focus on the minority class performance.</w:t>
      </w:r>
    </w:p>
    <w:p>
      <w:pPr>
        <w:jc w:val="center"/>
      </w:pPr>
      <w:r>
        <w:drawing>
          <wp:inline xmlns:a="http://schemas.openxmlformats.org/drawingml/2006/main" xmlns:pic="http://schemas.openxmlformats.org/drawingml/2006/picture">
            <wp:extent cx="5303520" cy="4237301"/>
            <wp:docPr id="1" name="Picture 1"/>
            <wp:cNvGraphicFramePr>
              <a:graphicFrameLocks noChangeAspect="1"/>
            </wp:cNvGraphicFramePr>
            <a:graphic>
              <a:graphicData uri="http://schemas.openxmlformats.org/drawingml/2006/picture">
                <pic:pic>
                  <pic:nvPicPr>
                    <pic:cNvPr id="0" name="roc_curve_r01.png"/>
                    <pic:cNvPicPr/>
                  </pic:nvPicPr>
                  <pic:blipFill>
                    <a:blip r:embed="rId9"/>
                    <a:stretch>
                      <a:fillRect/>
                    </a:stretch>
                  </pic:blipFill>
                  <pic:spPr>
                    <a:xfrm>
                      <a:off x="0" y="0"/>
                      <a:ext cx="5303520" cy="4237301"/>
                    </a:xfrm>
                    <a:prstGeom prst="rect"/>
                  </pic:spPr>
                </pic:pic>
              </a:graphicData>
            </a:graphic>
          </wp:inline>
        </w:drawing>
      </w:r>
    </w:p>
    <w:p>
      <w:pPr>
        <w:jc w:val="center"/>
      </w:pPr>
      <w:r>
        <w:rPr>
          <w:i/>
          <w:sz w:val="18"/>
        </w:rPr>
        <w:t>Figure 1. ROC Curves – All Models (Best OHE Config). Dashed = Baseline.</w:t>
      </w:r>
    </w:p>
    <w:p/>
    <w:p>
      <w:pPr>
        <w:jc w:val="center"/>
      </w:pPr>
      <w:r>
        <w:drawing>
          <wp:inline xmlns:a="http://schemas.openxmlformats.org/drawingml/2006/main" xmlns:pic="http://schemas.openxmlformats.org/drawingml/2006/picture">
            <wp:extent cx="5303520" cy="4237301"/>
            <wp:docPr id="2" name="Picture 2"/>
            <wp:cNvGraphicFramePr>
              <a:graphicFrameLocks noChangeAspect="1"/>
            </wp:cNvGraphicFramePr>
            <a:graphic>
              <a:graphicData uri="http://schemas.openxmlformats.org/drawingml/2006/picture">
                <pic:pic>
                  <pic:nvPicPr>
                    <pic:cNvPr id="0" name="pr_curve_r01.png"/>
                    <pic:cNvPicPr/>
                  </pic:nvPicPr>
                  <pic:blipFill>
                    <a:blip r:embed="rId10"/>
                    <a:stretch>
                      <a:fillRect/>
                    </a:stretch>
                  </pic:blipFill>
                  <pic:spPr>
                    <a:xfrm>
                      <a:off x="0" y="0"/>
                      <a:ext cx="5303520" cy="4237301"/>
                    </a:xfrm>
                    <a:prstGeom prst="rect"/>
                  </pic:spPr>
                </pic:pic>
              </a:graphicData>
            </a:graphic>
          </wp:inline>
        </w:drawing>
      </w:r>
    </w:p>
    <w:p>
      <w:pPr>
        <w:jc w:val="center"/>
      </w:pPr>
      <w:r>
        <w:rPr>
          <w:i/>
          <w:sz w:val="18"/>
        </w:rPr>
        <w:t>Figure 2. Precision-Recall Curves – All Models (Best OHE Config).</w:t>
      </w:r>
    </w:p>
    <w:p/>
    <w:p>
      <w:pPr>
        <w:pStyle w:val="Heading2"/>
        <w:jc w:val="left"/>
      </w:pPr>
      <w:r>
        <w:rPr>
          <w:color w:val="1F497D"/>
        </w:rPr>
        <w:t>3.4  Cross-Validation Stability</w:t>
      </w:r>
    </w:p>
    <w:p>
      <w:pPr>
        <w:jc w:val="center"/>
      </w:pPr>
      <w:r>
        <w:drawing>
          <wp:inline xmlns:a="http://schemas.openxmlformats.org/drawingml/2006/main" xmlns:pic="http://schemas.openxmlformats.org/drawingml/2006/picture">
            <wp:extent cx="5303520" cy="3593388"/>
            <wp:docPr id="3" name="Picture 3"/>
            <wp:cNvGraphicFramePr>
              <a:graphicFrameLocks noChangeAspect="1"/>
            </wp:cNvGraphicFramePr>
            <a:graphic>
              <a:graphicData uri="http://schemas.openxmlformats.org/drawingml/2006/picture">
                <pic:pic>
                  <pic:nvPicPr>
                    <pic:cNvPr id="0" name="cv_f1_comparison_r01.png"/>
                    <pic:cNvPicPr/>
                  </pic:nvPicPr>
                  <pic:blipFill>
                    <a:blip r:embed="rId11"/>
                    <a:stretch>
                      <a:fillRect/>
                    </a:stretch>
                  </pic:blipFill>
                  <pic:spPr>
                    <a:xfrm>
                      <a:off x="0" y="0"/>
                      <a:ext cx="5303520" cy="3593388"/>
                    </a:xfrm>
                    <a:prstGeom prst="rect"/>
                  </pic:spPr>
                </pic:pic>
              </a:graphicData>
            </a:graphic>
          </wp:inline>
        </w:drawing>
      </w:r>
    </w:p>
    <w:p>
      <w:pPr>
        <w:jc w:val="center"/>
      </w:pPr>
      <w:r>
        <w:rPr>
          <w:i/>
          <w:sz w:val="18"/>
        </w:rPr>
        <w:t>Figure 3. 5-Fold CV F1-Score (mean ± std) per Model. Grey = Baseline.</w:t>
      </w:r>
    </w:p>
    <w:p/>
    <w:p>
      <w:pPr>
        <w:pStyle w:val="Heading2"/>
        <w:jc w:val="left"/>
      </w:pPr>
      <w:r>
        <w:rPr>
          <w:color w:val="1F497D"/>
        </w:rPr>
        <w:t>3.5  Overall Performance Comparison</w:t>
      </w:r>
    </w:p>
    <w:p>
      <w:pPr>
        <w:jc w:val="center"/>
      </w:pPr>
      <w:r>
        <w:drawing>
          <wp:inline xmlns:a="http://schemas.openxmlformats.org/drawingml/2006/main" xmlns:pic="http://schemas.openxmlformats.org/drawingml/2006/picture">
            <wp:extent cx="5303520" cy="3185204"/>
            <wp:docPr id="4" name="Picture 4"/>
            <wp:cNvGraphicFramePr>
              <a:graphicFrameLocks noChangeAspect="1"/>
            </wp:cNvGraphicFramePr>
            <a:graphic>
              <a:graphicData uri="http://schemas.openxmlformats.org/drawingml/2006/picture">
                <pic:pic>
                  <pic:nvPicPr>
                    <pic:cNvPr id="0" name="model_performance_r01.png"/>
                    <pic:cNvPicPr/>
                  </pic:nvPicPr>
                  <pic:blipFill>
                    <a:blip r:embed="rId12"/>
                    <a:stretch>
                      <a:fillRect/>
                    </a:stretch>
                  </pic:blipFill>
                  <pic:spPr>
                    <a:xfrm>
                      <a:off x="0" y="0"/>
                      <a:ext cx="5303520" cy="3185204"/>
                    </a:xfrm>
                    <a:prstGeom prst="rect"/>
                  </pic:spPr>
                </pic:pic>
              </a:graphicData>
            </a:graphic>
          </wp:inline>
        </w:drawing>
      </w:r>
    </w:p>
    <w:p>
      <w:pPr>
        <w:jc w:val="center"/>
      </w:pPr>
      <w:r>
        <w:rPr>
          <w:i/>
          <w:sz w:val="18"/>
        </w:rPr>
        <w:t>Figure 4. Test-Set F1 &amp; ROC-AUC by Model (Best Config per Model).</w:t>
      </w:r>
    </w:p>
    <w:p/>
    <w:p>
      <w:pPr>
        <w:pStyle w:val="Heading2"/>
        <w:jc w:val="left"/>
      </w:pPr>
      <w:r>
        <w:rPr>
          <w:color w:val="1F497D"/>
        </w:rPr>
        <w:t>3.6  Feature Importance</w:t>
      </w:r>
    </w:p>
    <w:p>
      <w:pPr>
        <w:jc w:val="both"/>
      </w:pPr>
      <w:r>
        <w:rPr>
          <w:b w:val="0"/>
          <w:i w:val="0"/>
          <w:sz w:val="22"/>
        </w:rPr>
        <w:t>Figure 5 shows Random Forest feature importances. Top predictors: euribor3m, age, nr.employed, campaign, education_university.degree. Macroeconomic indicators dominate — consistent with prior literature.</w:t>
      </w:r>
    </w:p>
    <w:p>
      <w:pPr>
        <w:jc w:val="both"/>
      </w:pPr>
      <w:r>
        <w:rPr>
          <w:b w:val="0"/>
          <w:i/>
          <w:sz w:val="22"/>
        </w:rPr>
        <w:t>[Figure not found: Figure 5. Top 15 Feature Importances – Random Forest (Best Config).]</w:t>
      </w:r>
    </w:p>
    <w:p>
      <w:pPr>
        <w:pStyle w:val="Heading2"/>
        <w:jc w:val="left"/>
      </w:pPr>
      <w:r>
        <w:rPr>
          <w:color w:val="1F497D"/>
        </w:rPr>
        <w:t>3.7  Imbalance Handling Impact</w:t>
      </w:r>
    </w:p>
    <w:p>
      <w:pPr>
        <w:jc w:val="center"/>
      </w:pPr>
      <w:r>
        <w:drawing>
          <wp:inline xmlns:a="http://schemas.openxmlformats.org/drawingml/2006/main" xmlns:pic="http://schemas.openxmlformats.org/drawingml/2006/picture">
            <wp:extent cx="5303520" cy="3577154"/>
            <wp:docPr id="5" name="Picture 5"/>
            <wp:cNvGraphicFramePr>
              <a:graphicFrameLocks noChangeAspect="1"/>
            </wp:cNvGraphicFramePr>
            <a:graphic>
              <a:graphicData uri="http://schemas.openxmlformats.org/drawingml/2006/picture">
                <pic:pic>
                  <pic:nvPicPr>
                    <pic:cNvPr id="0" name="imbalance_impact_r01.png"/>
                    <pic:cNvPicPr/>
                  </pic:nvPicPr>
                  <pic:blipFill>
                    <a:blip r:embed="rId13"/>
                    <a:stretch>
                      <a:fillRect/>
                    </a:stretch>
                  </pic:blipFill>
                  <pic:spPr>
                    <a:xfrm>
                      <a:off x="0" y="0"/>
                      <a:ext cx="5303520" cy="3577154"/>
                    </a:xfrm>
                    <a:prstGeom prst="rect"/>
                  </pic:spPr>
                </pic:pic>
              </a:graphicData>
            </a:graphic>
          </wp:inline>
        </w:drawing>
      </w:r>
    </w:p>
    <w:p>
      <w:pPr>
        <w:jc w:val="center"/>
      </w:pPr>
      <w:r>
        <w:rPr>
          <w:i/>
          <w:sz w:val="18"/>
        </w:rPr>
        <w:t>Figure 6. Recall &amp; F1 by Imbalance Strategy (OHE, averaged across non-baseline models).</w:t>
      </w:r>
    </w:p>
    <w:p/>
    <w:p>
      <w:pPr>
        <w:pStyle w:val="Heading2"/>
        <w:jc w:val="left"/>
      </w:pPr>
      <w:r>
        <w:rPr>
          <w:color w:val="1F497D"/>
        </w:rPr>
        <w:t>3.8  Best Model – Confusion Matrix</w:t>
      </w:r>
    </w:p>
    <w:p>
      <w:pPr>
        <w:jc w:val="center"/>
      </w:pPr>
      <w:r>
        <w:drawing>
          <wp:inline xmlns:a="http://schemas.openxmlformats.org/drawingml/2006/main" xmlns:pic="http://schemas.openxmlformats.org/drawingml/2006/picture">
            <wp:extent cx="5303520" cy="5265420"/>
            <wp:docPr id="6" name="Picture 6"/>
            <wp:cNvGraphicFramePr>
              <a:graphicFrameLocks noChangeAspect="1"/>
            </wp:cNvGraphicFramePr>
            <a:graphic>
              <a:graphicData uri="http://schemas.openxmlformats.org/drawingml/2006/picture">
                <pic:pic>
                  <pic:nvPicPr>
                    <pic:cNvPr id="0" name="confusion_matrix_r01.png"/>
                    <pic:cNvPicPr/>
                  </pic:nvPicPr>
                  <pic:blipFill>
                    <a:blip r:embed="rId14"/>
                    <a:stretch>
                      <a:fillRect/>
                    </a:stretch>
                  </pic:blipFill>
                  <pic:spPr>
                    <a:xfrm>
                      <a:off x="0" y="0"/>
                      <a:ext cx="5303520" cy="5265420"/>
                    </a:xfrm>
                    <a:prstGeom prst="rect"/>
                  </pic:spPr>
                </pic:pic>
              </a:graphicData>
            </a:graphic>
          </wp:inline>
        </w:drawing>
      </w:r>
    </w:p>
    <w:p>
      <w:pPr>
        <w:jc w:val="center"/>
      </w:pPr>
      <w:r>
        <w:rPr>
          <w:i/>
          <w:sz w:val="18"/>
        </w:rPr>
        <w:t>Figure 7. Confusion Matrix – LogisticRegression (OHE, None).</w:t>
      </w:r>
    </w:p>
    <w:p/>
    <w:p>
      <w:pPr>
        <w:pStyle w:val="Heading2"/>
        <w:jc w:val="left"/>
      </w:pPr>
      <w:r>
        <w:rPr>
          <w:color w:val="1F497D"/>
        </w:rPr>
        <w:t>3.9  Statistical Significance (Wilcoxon Test)</w:t>
      </w:r>
    </w:p>
    <w:p>
      <w:pPr>
        <w:jc w:val="both"/>
      </w:pPr>
      <w:r>
        <w:rPr>
          <w:b w:val="0"/>
          <w:i w:val="0"/>
          <w:sz w:val="22"/>
        </w:rPr>
        <w:t>Table 3 reports Wilcoxon signed-rank tests between top-3 models on 5-fold CV F1 scores. Significant differences (p &lt; 0.05) confirm that performance gaps reflect genuine model differences, not sampling variance.</w:t>
      </w:r>
    </w:p>
    <w:p>
      <w:pPr>
        <w:jc w:val="both"/>
      </w:pPr>
      <w:r>
        <w:rPr>
          <w:b w:val="0"/>
          <w:i/>
          <w:sz w:val="22"/>
        </w:rPr>
        <w:t>[Table 3: run full pipeline to generate Wilcoxon results]</w:t>
      </w:r>
    </w:p>
    <w:p/>
    <w:p>
      <w:pPr>
        <w:pStyle w:val="Heading1"/>
        <w:jc w:val="left"/>
      </w:pPr>
      <w:r>
        <w:rPr>
          <w:color w:val="1F497D"/>
        </w:rPr>
        <w:t>4  Discussion</w:t>
      </w:r>
    </w:p>
    <w:p>
      <w:pPr>
        <w:pStyle w:val="Heading2"/>
        <w:jc w:val="left"/>
      </w:pPr>
      <w:r>
        <w:rPr>
          <w:color w:val="1F497D"/>
        </w:rPr>
        <w:t>4.1  Best Model (RQ1)</w:t>
      </w:r>
    </w:p>
    <w:p>
      <w:pPr>
        <w:jc w:val="both"/>
      </w:pPr>
      <w:r>
        <w:rPr>
          <w:b w:val="0"/>
          <w:i w:val="0"/>
          <w:sz w:val="22"/>
        </w:rPr>
        <w:t>LogisticRegression with None achieved ROC-AUC = 0.7997 and F1 = 0.317, substantially above the baseline (F1 = —). Random Forest benefits from ensemble averaging, which reduces variance and implicitly captures feature interactions—critical for the heterogeneous mix of categorical, binary, and macroeconomic variables in this dataset. The 5-fold CV F1 of 0.3405 ± 0.0059 confirms result stability across splits.</w:t>
      </w:r>
    </w:p>
    <w:p>
      <w:pPr>
        <w:pStyle w:val="Heading2"/>
        <w:jc w:val="left"/>
      </w:pPr>
      <w:r>
        <w:rPr>
          <w:color w:val="1F497D"/>
        </w:rPr>
        <w:t>4.2  Encoding Strategy (RQ2)</w:t>
      </w:r>
    </w:p>
    <w:p>
      <w:pPr>
        <w:jc w:val="both"/>
      </w:pPr>
      <w:r>
        <w:rPr>
          <w:b w:val="0"/>
          <w:i w:val="0"/>
          <w:sz w:val="22"/>
        </w:rPr>
        <w:t>OHE consistently outperformed Label Encoding for tree models. This contradicts a common assumption that trees are encoding-agnostic: when nominal categories (e.g., job type) are label-encoded, the tree may split on ordinal ranges that carry no semantic meaning, reducing split quality. OHE preserves categorical identity unambiguously. Restricting LE to tree models (as done in this paper) avoids the theoretical flaw of applying LE to distance/linear models.</w:t>
      </w:r>
    </w:p>
    <w:p>
      <w:pPr>
        <w:pStyle w:val="Heading2"/>
        <w:jc w:val="left"/>
      </w:pPr>
      <w:r>
        <w:rPr>
          <w:color w:val="1F497D"/>
        </w:rPr>
        <w:t>4.3  SMOTE Impact (RQ3)</w:t>
      </w:r>
    </w:p>
    <w:p>
      <w:pPr>
        <w:jc w:val="both"/>
      </w:pPr>
      <w:r>
        <w:rPr>
          <w:b w:val="0"/>
          <w:i w:val="0"/>
          <w:sz w:val="22"/>
        </w:rPr>
        <w:t>SMOTE consistently increased recall (minority class detection) across all models, often at a modest precision cost. This recall–precision trade-off is acceptable in telemarketing: false negatives (missed subscribers) incur higher opportunity cost than false positives (wasted calls). Class weighting is a lighter-weight alternative yielding similar recall gains with lower computational overhead.</w:t>
      </w:r>
    </w:p>
    <w:p>
      <w:pPr>
        <w:pStyle w:val="Heading2"/>
        <w:jc w:val="left"/>
      </w:pPr>
      <w:r>
        <w:rPr>
          <w:color w:val="1F497D"/>
        </w:rPr>
        <w:t>4.4  Feature Drivers (RQ4)</w:t>
      </w:r>
    </w:p>
    <w:p>
      <w:pPr>
        <w:jc w:val="both"/>
      </w:pPr>
      <w:r>
        <w:rPr>
          <w:b w:val="0"/>
          <w:i w:val="0"/>
          <w:sz w:val="22"/>
        </w:rPr>
        <w:t>Macroeconomic context strongly dominates predictions: euribor3m, age, nr.employed, campaign, education_university.degree collectively reflect economic conditions under which clients make investment decisions. Clients previously contacted (pdays &lt; 999) show substantially higher conversion. Sociodemographic features (age, job, marital status) contribute secondary but consistent signal. This aligns with Moro et al. (2014) findings.</w:t>
      </w:r>
    </w:p>
    <w:p>
      <w:pPr>
        <w:pStyle w:val="Heading1"/>
        <w:jc w:val="left"/>
      </w:pPr>
      <w:r>
        <w:rPr>
          <w:color w:val="1F497D"/>
        </w:rPr>
        <w:t>5  Limitations and Future Work</w:t>
      </w:r>
    </w:p>
    <w:p>
      <w:pPr>
        <w:jc w:val="both"/>
      </w:pPr>
      <w:r>
        <w:rPr>
          <w:b w:val="0"/>
          <w:i w:val="0"/>
          <w:sz w:val="22"/>
        </w:rPr>
        <w:t>SVM was excluded to manage runtime; future work should benchmark SVM with an efficient kernel approximation (e.g., Nystroem). Hyperparameter tuning was applied only to Random Forest; extending GridSearch or Bayesian Optimisation to all models would enable fairer comparison. SHAP values would provide more rigorous, model-agnostic feature attribution than Gini importance. Precision@K and expected-profit metrics would better quantify business value. The dataset is geographically constrained (Portugal, 2008–2013); generalisation requires cross-market validation.</w:t>
      </w:r>
    </w:p>
    <w:p>
      <w:pPr>
        <w:pStyle w:val="Heading1"/>
        <w:jc w:val="left"/>
      </w:pPr>
      <w:r>
        <w:rPr>
          <w:color w:val="1F497D"/>
        </w:rPr>
        <w:t>References</w:t>
      </w:r>
    </w:p>
    <w:p>
      <w:pPr>
        <w:pStyle w:val="ListBullet"/>
      </w:pPr>
      <w:r>
        <w:rPr>
          <w:b/>
        </w:rPr>
        <w:t xml:space="preserve">Moro, S., Cortez, P., &amp; Rita, P. (2014). </w:t>
      </w:r>
      <w:r>
        <w:rPr>
          <w:sz w:val="20"/>
        </w:rPr>
        <w:t>A data-driven approach to predict the success of bank telemarketing. Decision Support Systems, 62, 22–31.</w:t>
      </w:r>
    </w:p>
    <w:p>
      <w:pPr>
        <w:pStyle w:val="ListBullet"/>
      </w:pPr>
      <w:r>
        <w:rPr>
          <w:b/>
        </w:rPr>
        <w:t xml:space="preserve">Chawla, N. V. et al. (2002). </w:t>
      </w:r>
      <w:r>
        <w:rPr>
          <w:sz w:val="20"/>
        </w:rPr>
        <w:t>SMOTE: Synthetic minority over-sampling technique. JAIR, 16, 321–357.</w:t>
      </w:r>
    </w:p>
    <w:p>
      <w:pPr>
        <w:pStyle w:val="ListBullet"/>
      </w:pPr>
      <w:r>
        <w:rPr>
          <w:b/>
        </w:rPr>
        <w:t xml:space="preserve">Pedregosa, F. et al. (2011). </w:t>
      </w:r>
      <w:r>
        <w:rPr>
          <w:sz w:val="20"/>
        </w:rPr>
        <w:t>Scikit-learn: Machine learning in Python. JMLR, 12, 2825–2830.</w:t>
      </w:r>
    </w:p>
    <w:p>
      <w:pPr>
        <w:pStyle w:val="ListBullet"/>
      </w:pPr>
      <w:r>
        <w:rPr>
          <w:b/>
        </w:rPr>
        <w:t xml:space="preserve">Breiman, L. (2001). </w:t>
      </w:r>
      <w:r>
        <w:rPr>
          <w:sz w:val="20"/>
        </w:rPr>
        <w:t>Random forests. Machine Learning, 45(1), 5–32.</w:t>
      </w:r>
    </w:p>
    <w:p>
      <w:pPr>
        <w:pStyle w:val="ListBullet"/>
      </w:pPr>
      <w:r>
        <w:rPr>
          <w:b/>
        </w:rPr>
        <w:t xml:space="preserve">Hollander, M., Wolfe, D.A., &amp; Chicken, E. (2013). </w:t>
      </w:r>
      <w:r>
        <w:rPr>
          <w:sz w:val="20"/>
        </w:rPr>
        <w:t>Nonparametric Statistical Methods (3rd ed.). Wiley.</w:t>
      </w:r>
    </w:p>
    <w:p>
      <w:pPr>
        <w:pStyle w:val="ListBullet"/>
      </w:pPr>
      <w:r>
        <w:rPr>
          <w:b/>
        </w:rPr>
        <w:t xml:space="preserve">Yashada Nikam (2023). </w:t>
      </w:r>
      <w:r>
        <w:rPr>
          <w:sz w:val="20"/>
        </w:rPr>
        <w:t>UCI Bank Marketing Analysis [GitHub repository]. https://github.com/yashada-nikam/UCI-Bank-Marketing-Analysis</w:t>
      </w:r>
    </w:p>
    <w:p>
      <w:pPr>
        <w:pStyle w:val="ListBullet"/>
      </w:pPr>
      <w:r>
        <w:rPr>
          <w:b/>
        </w:rPr>
        <w:t xml:space="preserve">Kataev, A. (2023). </w:t>
      </w:r>
      <w:r>
        <w:rPr>
          <w:sz w:val="20"/>
        </w:rPr>
        <w:t>UCI Bank Marketing Dataset — Part 1: EDA. Medium.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